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77D9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510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30"/>
          <w:szCs w:val="30"/>
        </w:rPr>
        <w:t>新晃县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30"/>
          <w:szCs w:val="30"/>
          <w:lang w:val="en-US" w:eastAsia="zh-CN"/>
        </w:rPr>
        <w:t>城市管理和综合执法局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关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于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202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年度预算绩效情况的</w:t>
      </w:r>
    </w:p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3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说</w:t>
      </w:r>
      <w:r>
        <w:rPr>
          <w:rFonts w:hint="eastAsia" w:hAnsi="黑体" w:cs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明</w:t>
      </w:r>
    </w:p>
    <w:p w14:paraId="257D9EB6"/>
    <w:p w14:paraId="4B9CD697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25BA2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1、绩效管理工作、对象和范围</w:t>
      </w:r>
    </w:p>
    <w:p w14:paraId="71317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通过项目支出绩效评价，了解本部门项目资金使用情况、管理情况和项目组织设施及事后的监督情况，分析、检验项目是否达到预期目标，资金使用是否有效，为今后资金项目立项、资金安排提供决策依据。</w:t>
      </w:r>
    </w:p>
    <w:p w14:paraId="1C3E5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2、绩效管理工作方式方法</w:t>
      </w:r>
    </w:p>
    <w:p w14:paraId="710DB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环卫部门项目工作经费绩效评价工作遵循科学、规范、公正公开和绩效相关的工作原则。</w:t>
      </w:r>
    </w:p>
    <w:p w14:paraId="33E2B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3、绩效管理工作过程</w:t>
      </w:r>
    </w:p>
    <w:p w14:paraId="352DE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前期准备：成立绩效评价小组，制定绩效评价方案。</w:t>
      </w:r>
    </w:p>
    <w:p w14:paraId="0938D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组织实施：整理相关资料，细化项目绩效目标，设计绩效评价指标体系，查阅财务会计资料，座谈了解项目实施情况。</w:t>
      </w:r>
    </w:p>
    <w:p w14:paraId="041F1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分析评价：分析项目管理情况和资金效益，根据结果进行综合评价并提出建议。</w:t>
      </w:r>
    </w:p>
    <w:p w14:paraId="0157170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321" w:firstLineChars="100"/>
        <w:jc w:val="left"/>
        <w:textAlignment w:val="auto"/>
        <w:rPr>
          <w:rFonts w:hint="eastAsia" w:ascii="Times New Roman" w:hAnsi="Times New Roman" w:eastAsia="仿宋_GB2312" w:cs="黑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b/>
          <w:bCs/>
          <w:color w:val="000000"/>
          <w:kern w:val="0"/>
          <w:sz w:val="32"/>
          <w:szCs w:val="32"/>
          <w:lang w:val="en-US" w:eastAsia="zh-CN" w:bidi="ar-SA"/>
        </w:rPr>
        <w:t>（二）部门（单位）整体支出绩效情况</w:t>
      </w:r>
    </w:p>
    <w:p w14:paraId="68DD1E7F">
      <w:pPr>
        <w:pStyle w:val="7"/>
        <w:ind w:firstLine="640" w:firstLineChars="200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2023年度财政收支情况总体情况说明：</w:t>
      </w:r>
    </w:p>
    <w:p w14:paraId="2F324865">
      <w:pPr>
        <w:pStyle w:val="7"/>
        <w:ind w:firstLine="640" w:firstLineChars="200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2023年度收入合计2510.97万元。与2022年1601.57万元相比，增加909.4万元，增加36.21%，主要是因为2023年城管局项目经费支出增加，所以2023年收入比2022年增加。</w:t>
      </w:r>
    </w:p>
    <w:p w14:paraId="1F9A2375">
      <w:pPr>
        <w:pStyle w:val="7"/>
        <w:ind w:firstLine="640" w:firstLineChars="200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2023年度支出合计2510.97万元。与2022年1601.57万元相比，增加909.4万元，增加36.21%，主要是因为本单位项目经费支出增加，以及跨年度支付项目款导致。</w:t>
      </w:r>
    </w:p>
    <w:p w14:paraId="3C1113DE">
      <w:pPr>
        <w:ind w:firstLine="640" w:firstLineChars="200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国有资产占用情况：截至2023年12月31日，本单位共有车辆0辆，其中，领导干部用车0辆、机要通信用车0辆、应急保障用车0辆、执法执勤用车1辆（城管执法大队使用）、特种专业技术用车0辆、其他用车0辆；单位价值50万元以上通用设备0台（套）；单位价值100万元以上专用设备0台（套）。</w:t>
      </w:r>
    </w:p>
    <w:p w14:paraId="291B23D7">
      <w:pPr>
        <w:ind w:firstLine="640" w:firstLineChars="200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我单位严格按照《预算法》和相关财经纪律要求，厉行节约，杜绝不合理开支，降低行政成本，努力让财政资金发挥最大效益，较好地完成了全年预算。我单位2023年的公务用车运行维护费到12月止支出0万元，公务接待费到12月止支出2.16万元。</w:t>
      </w:r>
    </w:p>
    <w:p w14:paraId="057BFB66">
      <w:pPr>
        <w:ind w:firstLine="640" w:firstLineChars="200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根据《部门整体支出绩效评价指标》评分表，自评得分83分，主要绩效如下：</w:t>
      </w:r>
    </w:p>
    <w:p w14:paraId="04F1AB9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586" w:lineRule="exact"/>
        <w:ind w:left="0" w:leftChars="0" w:firstLine="720" w:firstLineChars="225"/>
        <w:jc w:val="both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服务中心大局，赋能城市管理高质量发展</w:t>
      </w:r>
    </w:p>
    <w:p w14:paraId="7E195D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86" w:lineRule="exact"/>
        <w:ind w:left="0" w:leftChars="0" w:right="0" w:rightChars="0" w:firstLine="720" w:firstLineChars="225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1.党建引领，全力推进乡村振兴。坚持以习近平新时代中国特色社会主义思想指导乡村振兴，走中国特色社会主义乡村振兴道路。1-5月，我局作为晃州镇新村村、禾排村、水洞村、柏树林村的后盾单位，执法大队共派驻10名工作队员参与乡村振兴工作。自乡村振兴工作开展以来，执法大队积极组织单位干部职工深入4村开展乡村振兴工作、人居环境整治、春夏季森林防火宣传值守等工作，5月底顺利完成工作队工作交接，根据新的安排我局及时选派新一轮工作队共11人入驻中寨镇祥冲、头家、半江、降溪四村，其中执法大队占5人，3人担任第一书记兼工作队长，现乡村振兴各项工作正在稳步顺利开展中。</w:t>
      </w:r>
    </w:p>
    <w:p w14:paraId="169B9F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720" w:firstLineChars="225"/>
        <w:jc w:val="both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.维护市容秩序，还人民以“净、治、好”。规范市容环境秩序，重点整治了占道经营、清理乱堆乱放、流动摊贩、牛皮癣广告、以人行道乱堆放等工作，并取得了良好的成效。其中共纠正倚门出摊(超出门窗占道经营)10000余起；清理本辖区电线杆上的广告绳约五十余斤；清理沿街乱晾晒1200余次；清除乱涂写、乱张贴、牛皮癣12000多处；清理乱堆放2000余处；清理破损门头广告招牌、小灯箱、小黑板800余个；清理流动摊贩13000余次；劝阻噪声污染500余次；城区城郊38个广告招牌登记台账，并且根据上级文件要求，对火车轨道两侧的广告招牌进行合理拆除。办理行政案件处罚9起。其中燃气6起、市容2起、市政1起，罚款金额共计4500元。全年共计下达整改通知书100余次，经过复查均能按时整改到位。</w:t>
      </w:r>
    </w:p>
    <w:p w14:paraId="4B318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6" w:lineRule="exact"/>
        <w:ind w:left="0" w:leftChars="0" w:firstLine="720" w:firstLineChars="225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整治车辆乱停乱放，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zh-CN" w:eastAsia="zh-CN" w:bidi="ar-SA"/>
        </w:rPr>
        <w:t>针对机动车乱停乱放和占用人行道行为进行全面治理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zh-CN" w:eastAsia="zh-CN" w:bidi="ar-SA"/>
        </w:rPr>
        <w:t>对摩托车乱停乱放实施拖离现场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192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zh-CN" w:eastAsia="zh-CN" w:bidi="ar-SA"/>
        </w:rPr>
        <w:t>台次，对机动车乱停乱放实施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锁车贴条3990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zh-CN" w:eastAsia="zh-CN" w:bidi="ar-SA"/>
        </w:rPr>
        <w:t>台次。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增强柏树林320国道两侧占用人行道停放车辆的执法力度。</w:t>
      </w:r>
    </w:p>
    <w:p w14:paraId="0D9AE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6" w:lineRule="exact"/>
        <w:ind w:left="0" w:leftChars="0" w:firstLine="720" w:firstLineChars="225"/>
        <w:textAlignment w:val="auto"/>
        <w:rPr>
          <w:rFonts w:hint="default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依法打击违建，确保人民群众生命财产权安全。截至目前，共下达《责令停止建设通知书》7份、《整改通知书》4份，向违建户耐心细致地做好解释及宣讲法律政策工作，有效地遏制违建蔓延势头；强制拆除3处，拆除面积约为597.52㎡；立案查处一般行政程序的17起，结案8起（5起行政处罚，3起不予行政处罚），正在办理案件9起，处罚金额13070.62元。</w:t>
      </w:r>
    </w:p>
    <w:p w14:paraId="7A5B8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86" w:lineRule="exact"/>
        <w:ind w:left="0" w:leftChars="0" w:right="0" w:rightChars="0" w:firstLine="720" w:firstLineChars="225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3.优化县域营商环境，把好行政审批关。截止目前(2023年1月至11月30日)，共受理各类审批业务130件，办结件130件，办结率均为100%。其中，建筑垃圾事项办理56件，花草树木移植事项办理2件，绿地建设报建事项办理15件，门头广告事项办理15件，道路占用事项办理30件，道路挖掘事项办理8件，报备事项办理4件。行政事业性收费825459.3元(渣土处置费27753.5元，占道费10609.8元，异地绿化费787096元)，挖掘押金63695元；行政事业性减免费用39.4万元。</w:t>
      </w:r>
    </w:p>
    <w:p w14:paraId="5EF3B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86" w:lineRule="exact"/>
        <w:ind w:left="0" w:leftChars="0" w:right="0" w:rightChars="0" w:firstLine="720" w:firstLineChars="225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4.落实信访督办工作，维护社会安全稳定。一是建立领导定期接访制度。二是依法依规办理各类信访案件。三是持续完善城市管理矛盾纠纷调处机制。针对城市管理出现的邻里纠纷问题，通过邀请相关部门、街道、人大代表、政协委员、社区、双方当事人等予以调解，既达到执法效果，又妥善解决双方之间的纠纷。</w:t>
      </w:r>
    </w:p>
    <w:p w14:paraId="6F50E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86" w:lineRule="exact"/>
        <w:ind w:left="0" w:leftChars="0" w:right="0" w:rightChars="0" w:firstLine="720" w:firstLineChars="225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5.认真办理人大、政协提案议案。经办人员以高度的责任感和使命感，深入调查，分析问题，做好建议、提案的办理工作。今年办理人大建议案3件（重点建议1件，B类建议1件）、政协提案5件,目前已全部办理完毕。微建议71，已办结69件。</w:t>
      </w:r>
    </w:p>
    <w:p w14:paraId="2877A3B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586" w:lineRule="exact"/>
        <w:ind w:left="0" w:leftChars="0" w:firstLine="720" w:firstLineChars="225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敢担当有作为，推进城市品质持续提升</w:t>
      </w:r>
    </w:p>
    <w:p w14:paraId="68402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86" w:lineRule="exact"/>
        <w:ind w:left="0" w:leftChars="0" w:right="0" w:rightChars="0" w:firstLine="720" w:firstLineChars="225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1.加强公共基础设施建设管理，提升服务水平。对城区人行道混凝土彩砖破损、松动零星维修435m²；下水道疏通、清淤2.1km；城区沥青混凝土路面基坑冷补零星修复765㎡；市政下水道井盖更换42座；高铁站门楼大理石零星维修23㎡；竹王大道休闲椅维修16根；320国道林业局段人行道麻石板破损改造维修130㎡；城区易积水地段新增雨水井17座；城区雨水井清淤35座；风雨桥伸缩缝安装24m；风雨桥头防护栏杆安装27m；舞水星城与县幼儿园中山分园巷子道路地面硬化145m2;对夜郎广场、鼓楼广场、商业步行街麻石板破损零星维修275m2；城区公厕零星维修及下水道疏通35次；鼓楼广场沟盖板破损板更换维修35m；夜郎广场摩托车停车位划泊73个；晃山路与通达路十字路口安装高杆灯2盏，对晃州国际至沙湾大桥段路灯线路进行改造1.1公里，路灯灯头更换33盏；龙溪社区姚家院子路灯线路改造恢复65米。对城区路灯车辆撞毁、倾斜拆除，消除安全隐患4处，路灯维修45次等；对一河两岸景观亮化灯进行日常维修。</w:t>
      </w:r>
    </w:p>
    <w:p w14:paraId="0B56F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firstLine="720" w:firstLineChars="225"/>
        <w:textAlignment w:val="auto"/>
        <w:rPr>
          <w:rFonts w:hint="default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2.聚焦精细管理，提升城市园林绿化品质。一是严格绿化管控审查。二是切实做好园林绿化。三是迎接省级园林县城复查专家组的现场考评。四是提升生活垃圾无害化处理率。截止2023年10月县城镇生活垃圾无害化处理场无害化处理生活垃圾3.4万吨，共计9795车次，渗滤液处理2.6万吨，进场垃圾无害化处理率达到100%。五是加强城区餐厨垃圾的收集处理工作。今年以来，我县对城区内400多家餐饮企业和学校、单位食堂产生的餐厨垃圾进行统一收集处理。一年来，共收集处理餐厨垃圾4000余吨。</w:t>
      </w:r>
    </w:p>
    <w:p w14:paraId="0ECF283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4D85D41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一、根据</w:t>
      </w:r>
      <w:r>
        <w:rPr>
          <w:rFonts w:hint="eastAsia" w:ascii="Times New Roman" w:hAnsi="Times New Roman" w:eastAsia="仿宋_GB2312"/>
          <w:sz w:val="32"/>
          <w:szCs w:val="32"/>
        </w:rPr>
        <w:t>预算和预算绩效管理，部门履职效能，资金分配、使用和管理，资产和财务管理、政府采购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反映各种预算支出执行偏离绩效目标的情况等方面归纳存在的问题；</w:t>
      </w:r>
    </w:p>
    <w:p w14:paraId="5BDE1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1、对于预算绩效管理工作的认识不够深入，把项目支出绩效简单等同于工作目标、工作考核和业务管理，绩效目标和指标往往根据项目实际完成情况制定，对项目执行过程有效约束不够，存在一定的偏差。</w:t>
      </w:r>
    </w:p>
    <w:p w14:paraId="793F1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9036D02">
      <w:pPr>
        <w:pStyle w:val="6"/>
        <w:numPr>
          <w:ilvl w:val="0"/>
          <w:numId w:val="2"/>
        </w:numPr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default" w:eastAsia="仿宋_GB2312"/>
          <w:sz w:val="32"/>
          <w:szCs w:val="32"/>
          <w:lang w:val="en-US" w:eastAsia="zh-CN"/>
        </w:rPr>
        <w:t>单位存在预算未全部按照经济科</w:t>
      </w:r>
      <w:r>
        <w:rPr>
          <w:rFonts w:hint="eastAsia" w:eastAsia="仿宋_GB2312"/>
          <w:sz w:val="32"/>
          <w:szCs w:val="32"/>
          <w:lang w:val="en-US" w:eastAsia="zh-CN"/>
        </w:rPr>
        <w:t>目</w:t>
      </w:r>
      <w:r>
        <w:rPr>
          <w:rFonts w:hint="default" w:eastAsia="仿宋_GB2312"/>
          <w:sz w:val="32"/>
          <w:szCs w:val="32"/>
          <w:lang w:val="en-US" w:eastAsia="zh-CN"/>
        </w:rPr>
        <w:t>细化进行预算的问题。</w:t>
      </w:r>
    </w:p>
    <w:p w14:paraId="3182C2AE">
      <w:pPr>
        <w:pStyle w:val="6"/>
        <w:numPr>
          <w:ilvl w:val="0"/>
          <w:numId w:val="2"/>
        </w:numPr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预算调整率、公用经费调整率、三公经费控制率等指标偏离绩效目标，主要原因城区清扫保洁服务等项目导致与年初预算有偏离；</w:t>
      </w:r>
    </w:p>
    <w:p w14:paraId="00584DA3">
      <w:pPr>
        <w:pStyle w:val="6"/>
        <w:numPr>
          <w:ilvl w:val="0"/>
          <w:numId w:val="2"/>
        </w:numPr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三公经费控制率指标偏离绩效目标，主要原因是车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辆置换，维护费增加。</w:t>
      </w:r>
    </w:p>
    <w:p w14:paraId="1C49D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</w:t>
      </w:r>
    </w:p>
    <w:p w14:paraId="4907F12A"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</w:p>
    <w:p w14:paraId="5B9AAB34"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</w:t>
      </w:r>
    </w:p>
    <w:p w14:paraId="5FAD739F">
      <w:pPr>
        <w:spacing w:before="240"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</w:p>
    <w:p w14:paraId="0BB664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54B4A3"/>
    <w:multiLevelType w:val="singleLevel"/>
    <w:tmpl w:val="9454B4A3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706A1A20"/>
    <w:multiLevelType w:val="singleLevel"/>
    <w:tmpl w:val="706A1A2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94F6D67"/>
    <w:rsid w:val="25793C88"/>
    <w:rsid w:val="289B5C2D"/>
    <w:rsid w:val="2AE85AC3"/>
    <w:rsid w:val="2C701096"/>
    <w:rsid w:val="321C7033"/>
    <w:rsid w:val="3AA24F77"/>
    <w:rsid w:val="489A18C8"/>
    <w:rsid w:val="5F6F0822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  <w:style w:type="paragraph" w:customStyle="1" w:styleId="6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8">
    <w:name w:val="正文首行缩进 21"/>
    <w:basedOn w:val="9"/>
    <w:autoRedefine/>
    <w:qFormat/>
    <w:uiPriority w:val="0"/>
    <w:pPr>
      <w:ind w:firstLine="420" w:firstLineChars="200"/>
    </w:pPr>
  </w:style>
  <w:style w:type="paragraph" w:customStyle="1" w:styleId="9">
    <w:name w:val="正文文本缩进1"/>
    <w:basedOn w:val="1"/>
    <w:autoRedefine/>
    <w:qFormat/>
    <w:uiPriority w:val="0"/>
    <w:pPr>
      <w:ind w:firstLine="540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2969</Words>
  <Characters>3229</Characters>
  <Lines>0</Lines>
  <Paragraphs>0</Paragraphs>
  <TotalTime>3</TotalTime>
  <ScaleCrop>false</ScaleCrop>
  <LinksUpToDate>false</LinksUpToDate>
  <CharactersWithSpaces>3277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摇曳</cp:lastModifiedBy>
  <dcterms:modified xsi:type="dcterms:W3CDTF">2024-11-22T08:01:20Z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A8057305B3D746E3B75475CCDC7100C5_13</vt:lpwstr>
  </property>
</Properties>
</file>