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sz w:val="24"/>
        </w:rPr>
      </w:pPr>
      <w:r>
        <w:rPr>
          <w:rFonts w:hint="eastAsia" w:ascii="仿宋_GB2312" w:hAnsi="仿宋_GB2312" w:eastAsia="仿宋_GB2312" w:cs="仿宋_GB2312"/>
          <w:sz w:val="24"/>
        </w:rPr>
        <w:t>附件1-1</w:t>
      </w:r>
    </w:p>
    <w:p>
      <w:pPr>
        <w:spacing w:line="500" w:lineRule="exact"/>
        <w:jc w:val="center"/>
        <w:rPr>
          <w:rFonts w:eastAsia="方正粗宋简体"/>
          <w:w w:val="85"/>
          <w:sz w:val="36"/>
          <w:szCs w:val="36"/>
        </w:rPr>
      </w:pPr>
      <w:r>
        <w:rPr>
          <w:rFonts w:hint="eastAsia" w:eastAsia="方正粗宋简体"/>
          <w:w w:val="85"/>
          <w:sz w:val="36"/>
          <w:szCs w:val="36"/>
          <w:lang w:eastAsia="zh-CN"/>
        </w:rPr>
        <w:t>2023</w:t>
      </w:r>
      <w:r>
        <w:rPr>
          <w:rFonts w:hAnsi="方正粗宋简体" w:eastAsia="方正粗宋简体"/>
          <w:w w:val="85"/>
          <w:sz w:val="36"/>
          <w:szCs w:val="36"/>
        </w:rPr>
        <w:t>年度新晃县</w:t>
      </w:r>
      <w:r>
        <w:rPr>
          <w:rFonts w:hint="eastAsia" w:hAnsi="方正粗宋简体" w:eastAsia="方正粗宋简体"/>
          <w:w w:val="85"/>
          <w:sz w:val="36"/>
          <w:szCs w:val="36"/>
        </w:rPr>
        <w:t>城市管理和综合执法局</w:t>
      </w:r>
      <w:r>
        <w:rPr>
          <w:rFonts w:hAnsi="方正粗宋简体" w:eastAsia="方正粗宋简体"/>
          <w:w w:val="85"/>
          <w:sz w:val="36"/>
          <w:szCs w:val="36"/>
        </w:rPr>
        <w:t>部门（单位）整体支出绩效</w:t>
      </w:r>
      <w:r>
        <w:rPr>
          <w:rFonts w:hint="eastAsia" w:hAnsi="方正粗宋简体" w:eastAsia="方正粗宋简体"/>
          <w:w w:val="85"/>
          <w:sz w:val="36"/>
          <w:szCs w:val="36"/>
        </w:rPr>
        <w:t>自评表</w:t>
      </w:r>
    </w:p>
    <w:tbl>
      <w:tblPr>
        <w:tblStyle w:val="6"/>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2963"/>
        <w:gridCol w:w="177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2963"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774"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制定了年度预算整体绩效目标，但是细化不够</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774" w:type="dxa"/>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所有项目都设定绩效目标，完全科学合理且目标清晰细化</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7/10*100%=70%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hint="default" w:eastAsia="楷体_GB2312"/>
                <w:sz w:val="18"/>
                <w:szCs w:val="18"/>
                <w:lang w:val="en-US"/>
              </w:rPr>
            </w:pPr>
            <w:r>
              <w:rPr>
                <w:rFonts w:hint="eastAsia" w:eastAsia="楷体_GB2312"/>
                <w:sz w:val="18"/>
                <w:szCs w:val="18"/>
                <w:lang w:val="en-US" w:eastAsia="zh-CN"/>
              </w:rPr>
              <w:t>三公经费预算没有变化</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无重点项目</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774" w:type="dxa"/>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决算报表为90%</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774" w:type="dxa"/>
            <w:tcMar>
              <w:top w:w="0" w:type="dxa"/>
              <w:left w:w="105" w:type="dxa"/>
              <w:bottom w:w="0" w:type="dxa"/>
              <w:right w:w="105" w:type="dxa"/>
            </w:tcMar>
            <w:vAlign w:val="center"/>
          </w:tcPr>
          <w:p>
            <w:pPr>
              <w:ind w:right="238" w:rightChars="119"/>
              <w:jc w:val="center"/>
              <w:rPr>
                <w:rFonts w:eastAsia="楷体_GB2312"/>
                <w:sz w:val="18"/>
                <w:szCs w:val="18"/>
              </w:rPr>
            </w:pPr>
            <w:r>
              <w:rPr>
                <w:rFonts w:eastAsia="楷体_GB2312"/>
                <w:sz w:val="18"/>
                <w:szCs w:val="18"/>
              </w:rPr>
              <w:t>预算调整率</w:t>
            </w:r>
            <w:r>
              <w:rPr>
                <w:rFonts w:hint="eastAsia" w:eastAsia="楷体_GB2312"/>
                <w:sz w:val="18"/>
                <w:szCs w:val="18"/>
                <w:lang w:val="en-US" w:eastAsia="zh-CN"/>
              </w:rPr>
              <w:t>=201%</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公用经费控制率</w:t>
            </w:r>
            <w:r>
              <w:rPr>
                <w:rFonts w:hint="eastAsia" w:eastAsia="楷体_GB2312"/>
                <w:sz w:val="18"/>
                <w:szCs w:val="18"/>
                <w:lang w:val="en-US" w:eastAsia="zh-CN"/>
              </w:rPr>
              <w:t>=1550%</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2.16/3=72%</w:t>
            </w:r>
            <w:r>
              <w:rPr>
                <w:rFonts w:eastAsia="楷体_GB2312"/>
                <w:sz w:val="18"/>
                <w:szCs w:val="18"/>
              </w:rPr>
              <w:t>≤100%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无政府采购项目</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资金管理办法、内部财务管理制度、内控制度、会计核算制度完整</w:t>
            </w:r>
          </w:p>
        </w:tc>
        <w:tc>
          <w:tcPr>
            <w:tcW w:w="745" w:type="dxa"/>
            <w:vMerge w:val="restart"/>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3</w:t>
            </w:r>
          </w:p>
        </w:tc>
        <w:tc>
          <w:tcPr>
            <w:tcW w:w="4750" w:type="dxa"/>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774" w:type="dxa"/>
            <w:tcMar>
              <w:top w:w="0" w:type="dxa"/>
              <w:left w:w="105" w:type="dxa"/>
              <w:bottom w:w="0" w:type="dxa"/>
              <w:right w:w="105" w:type="dxa"/>
            </w:tcMar>
            <w:vAlign w:val="center"/>
          </w:tcPr>
          <w:p>
            <w:pPr>
              <w:jc w:val="center"/>
              <w:rPr>
                <w:rFonts w:hint="default" w:eastAsia="楷体_GB2312"/>
                <w:sz w:val="18"/>
                <w:szCs w:val="18"/>
                <w:lang w:val="en-US"/>
              </w:rPr>
            </w:pPr>
            <w:r>
              <w:rPr>
                <w:rFonts w:hint="eastAsia" w:eastAsia="楷体_GB2312"/>
                <w:sz w:val="18"/>
                <w:szCs w:val="18"/>
                <w:lang w:val="en-US" w:eastAsia="zh-CN"/>
              </w:rPr>
              <w:t>合规率=100%</w:t>
            </w:r>
          </w:p>
        </w:tc>
        <w:tc>
          <w:tcPr>
            <w:tcW w:w="745" w:type="dxa"/>
            <w:vMerge w:val="continue"/>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相符率100%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2963" w:type="dxa"/>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没发现违法违规问题</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管理制度健全完整</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保存完整、使用合规、配置合理、处置规范</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774" w:type="dxa"/>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固定资产利用率=</w:t>
            </w:r>
            <w:r>
              <w:rPr>
                <w:rFonts w:hint="eastAsia" w:eastAsia="楷体_GB2312"/>
                <w:sz w:val="18"/>
                <w:szCs w:val="18"/>
                <w:lang w:val="en-US" w:eastAsia="zh-CN"/>
              </w:rPr>
              <w:t>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设置了</w:t>
            </w:r>
            <w:r>
              <w:rPr>
                <w:rFonts w:eastAsia="楷体_GB2312"/>
                <w:sz w:val="18"/>
                <w:szCs w:val="18"/>
              </w:rPr>
              <w:t>整体绩效目标，</w:t>
            </w:r>
            <w:r>
              <w:rPr>
                <w:rFonts w:hint="eastAsia" w:eastAsia="楷体_GB2312"/>
                <w:sz w:val="18"/>
                <w:szCs w:val="18"/>
                <w:lang w:val="en-US" w:eastAsia="zh-CN"/>
              </w:rPr>
              <w:t>但是</w:t>
            </w:r>
            <w:r>
              <w:rPr>
                <w:rFonts w:eastAsia="楷体_GB2312"/>
                <w:sz w:val="18"/>
                <w:szCs w:val="18"/>
              </w:rPr>
              <w:t>整体绩效目标设置不完善的</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从严执法，严厉打击违规违法</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工作完成及时性</w:t>
            </w:r>
            <w:r>
              <w:rPr>
                <w:rFonts w:hint="eastAsia" w:eastAsia="楷体_GB2312"/>
                <w:sz w:val="18"/>
                <w:szCs w:val="18"/>
                <w:lang w:val="en-US" w:eastAsia="zh-CN"/>
              </w:rPr>
              <w:t>100%</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restart"/>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eastAsia="楷体_GB2312"/>
                <w:sz w:val="18"/>
                <w:szCs w:val="18"/>
              </w:rPr>
            </w:pPr>
            <w:r>
              <w:rPr>
                <w:rFonts w:eastAsia="楷体_GB2312"/>
                <w:sz w:val="18"/>
                <w:szCs w:val="18"/>
              </w:rPr>
              <w:t>效益</w:t>
            </w:r>
          </w:p>
        </w:tc>
        <w:tc>
          <w:tcPr>
            <w:tcW w:w="701" w:type="dxa"/>
            <w:vMerge w:val="restart"/>
            <w:tcBorders>
              <w:top w:val="single" w:color="auto" w:sz="4" w:space="0"/>
            </w:tcBorders>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不适用</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Borders>
              <w:right w:val="single" w:color="auto" w:sz="4" w:space="0"/>
            </w:tcBorders>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pPr>
              <w:jc w:val="center"/>
              <w:rPr>
                <w:rFonts w:eastAsia="楷体_GB2312"/>
                <w:sz w:val="18"/>
                <w:szCs w:val="18"/>
              </w:rPr>
            </w:pPr>
          </w:p>
        </w:tc>
        <w:tc>
          <w:tcPr>
            <w:tcW w:w="4750" w:type="dxa"/>
            <w:tcBorders>
              <w:top w:val="single" w:color="auto" w:sz="4" w:space="0"/>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市容市貌</w:t>
            </w:r>
            <w:r>
              <w:rPr>
                <w:rFonts w:hint="eastAsia" w:eastAsia="楷体_GB2312"/>
                <w:sz w:val="18"/>
                <w:szCs w:val="18"/>
              </w:rPr>
              <w:t>明显改观，群众满意度大幅度提高，幸福感增强</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vAlign w:val="center"/>
          </w:tcPr>
          <w:p>
            <w:pPr>
              <w:jc w:val="center"/>
              <w:rPr>
                <w:rFonts w:eastAsia="楷体_GB2312"/>
                <w:sz w:val="18"/>
                <w:szCs w:val="18"/>
              </w:rPr>
            </w:pPr>
          </w:p>
        </w:tc>
        <w:tc>
          <w:tcPr>
            <w:tcW w:w="4750" w:type="dxa"/>
            <w:tcBorders>
              <w:right w:val="nil"/>
            </w:tcBorders>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城市提质，环境改善，增进市民身体健康</w:t>
            </w:r>
            <w:r>
              <w:rPr>
                <w:rFonts w:hint="eastAsia" w:eastAsia="楷体_GB2312"/>
                <w:sz w:val="18"/>
                <w:szCs w:val="18"/>
                <w:lang w:val="en-US" w:eastAsia="zh-CN"/>
              </w:rPr>
              <w:t xml:space="preserve">  明显提高</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vAlign w:val="center"/>
          </w:tcPr>
          <w:p>
            <w:pPr>
              <w:jc w:val="center"/>
              <w:rPr>
                <w:rFonts w:eastAsia="楷体_GB2312"/>
                <w:sz w:val="18"/>
                <w:szCs w:val="18"/>
              </w:rPr>
            </w:pP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保持文明县城，国家卫生城市，全国园林县城的各项指标</w:t>
            </w:r>
          </w:p>
        </w:tc>
        <w:tc>
          <w:tcPr>
            <w:tcW w:w="745" w:type="dxa"/>
            <w:tcMar>
              <w:top w:w="0" w:type="dxa"/>
              <w:left w:w="105" w:type="dxa"/>
              <w:bottom w:w="0" w:type="dxa"/>
              <w:right w:w="105" w:type="dxa"/>
            </w:tcMar>
            <w:vAlign w:val="center"/>
          </w:tcPr>
          <w:p>
            <w:pPr>
              <w:jc w:val="center"/>
              <w:rPr>
                <w:rFonts w:eastAsia="楷体_GB2312"/>
              </w:rPr>
            </w:pPr>
            <w:r>
              <w:rPr>
                <w:rFonts w:hint="eastAsia" w:eastAsia="楷体_GB2312"/>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vAlign w:val="center"/>
          </w:tcPr>
          <w:p>
            <w:pPr>
              <w:jc w:val="center"/>
              <w:rPr>
                <w:rFonts w:eastAsia="楷体_GB2312"/>
                <w:sz w:val="18"/>
                <w:szCs w:val="18"/>
              </w:rPr>
            </w:pPr>
          </w:p>
        </w:tc>
        <w:tc>
          <w:tcPr>
            <w:tcW w:w="1179" w:type="dxa"/>
            <w:vMerge w:val="continue"/>
            <w:vAlign w:val="center"/>
          </w:tcPr>
          <w:p>
            <w:pPr>
              <w:jc w:val="center"/>
              <w:rPr>
                <w:rFonts w:eastAsia="楷体_GB2312"/>
                <w:sz w:val="18"/>
                <w:szCs w:val="18"/>
              </w:rPr>
            </w:pPr>
          </w:p>
        </w:tc>
        <w:tc>
          <w:tcPr>
            <w:tcW w:w="1226" w:type="dxa"/>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2963" w:type="dxa"/>
            <w:tcMar>
              <w:top w:w="0" w:type="dxa"/>
              <w:left w:w="105" w:type="dxa"/>
              <w:bottom w:w="0" w:type="dxa"/>
              <w:right w:w="105" w:type="dxa"/>
            </w:tcMar>
            <w:vAlign w:val="center"/>
          </w:tcPr>
          <w:p>
            <w:pPr>
              <w:spacing w:line="300" w:lineRule="exact"/>
              <w:jc w:val="left"/>
              <w:rPr>
                <w:rFonts w:eastAsia="楷体_GB2312"/>
                <w:sz w:val="18"/>
                <w:szCs w:val="18"/>
              </w:rPr>
            </w:pPr>
            <w:r>
              <w:rPr>
                <w:rFonts w:hint="eastAsia" w:eastAsia="楷体_GB2312"/>
                <w:sz w:val="18"/>
                <w:szCs w:val="18"/>
              </w:rPr>
              <w:t>90%≤满意度≤100%记10分，</w:t>
            </w:r>
          </w:p>
          <w:p>
            <w:pPr>
              <w:spacing w:line="300" w:lineRule="exact"/>
              <w:jc w:val="left"/>
              <w:rPr>
                <w:rFonts w:eastAsia="楷体_GB2312"/>
                <w:sz w:val="18"/>
                <w:szCs w:val="18"/>
              </w:rPr>
            </w:pPr>
            <w:r>
              <w:rPr>
                <w:rFonts w:hint="eastAsia" w:eastAsia="楷体_GB2312"/>
                <w:sz w:val="18"/>
                <w:szCs w:val="18"/>
              </w:rPr>
              <w:t>80%≤满意度&lt;90%记8分，</w:t>
            </w:r>
          </w:p>
          <w:p>
            <w:pPr>
              <w:spacing w:line="300" w:lineRule="exact"/>
              <w:jc w:val="left"/>
              <w:rPr>
                <w:rFonts w:eastAsia="楷体_GB2312"/>
                <w:sz w:val="18"/>
                <w:szCs w:val="18"/>
              </w:rPr>
            </w:pPr>
            <w:r>
              <w:rPr>
                <w:rFonts w:hint="eastAsia" w:eastAsia="楷体_GB2312"/>
                <w:sz w:val="18"/>
                <w:szCs w:val="18"/>
              </w:rPr>
              <w:t>70%≤满意度&lt;80%  记6分，</w:t>
            </w:r>
          </w:p>
          <w:p>
            <w:pPr>
              <w:spacing w:line="300" w:lineRule="exact"/>
              <w:jc w:val="left"/>
              <w:rPr>
                <w:rFonts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774" w:type="dxa"/>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满意度85%</w:t>
            </w:r>
          </w:p>
        </w:tc>
        <w:tc>
          <w:tcPr>
            <w:tcW w:w="745" w:type="dxa"/>
            <w:tcMar>
              <w:top w:w="0" w:type="dxa"/>
              <w:left w:w="105" w:type="dxa"/>
              <w:bottom w:w="0" w:type="dxa"/>
              <w:right w:w="105" w:type="dxa"/>
            </w:tcMar>
            <w:vAlign w:val="center"/>
          </w:tcPr>
          <w:p>
            <w:pPr>
              <w:jc w:val="center"/>
              <w:rPr>
                <w:rFonts w:hint="eastAsia" w:eastAsia="楷体_GB2312"/>
                <w:lang w:eastAsia="zh-CN"/>
              </w:rPr>
            </w:pPr>
            <w:r>
              <w:rPr>
                <w:rFonts w:hint="eastAsia" w:eastAsia="楷体_GB2312"/>
                <w:lang w:val="en-US" w:eastAsia="zh-CN"/>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2963" w:type="dxa"/>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774" w:type="dxa"/>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tcMar>
              <w:top w:w="0" w:type="dxa"/>
              <w:left w:w="105" w:type="dxa"/>
              <w:bottom w:w="0" w:type="dxa"/>
              <w:right w:w="105" w:type="dxa"/>
            </w:tcMar>
            <w:vAlign w:val="center"/>
          </w:tcPr>
          <w:p>
            <w:pPr>
              <w:rPr>
                <w:rFonts w:hint="eastAsia" w:eastAsia="楷体_GB2312"/>
                <w:lang w:val="en-US" w:eastAsia="zh-CN"/>
              </w:rPr>
            </w:pPr>
            <w:r>
              <w:rPr>
                <w:rFonts w:hint="eastAsia" w:eastAsia="楷体_GB2312"/>
              </w:rPr>
              <w:t>8</w:t>
            </w: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tcMar>
              <w:top w:w="0" w:type="dxa"/>
              <w:left w:w="105" w:type="dxa"/>
              <w:bottom w:w="0" w:type="dxa"/>
              <w:right w:w="105" w:type="dxa"/>
            </w:tcMar>
            <w:vAlign w:val="center"/>
          </w:tcPr>
          <w:p>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tcMar>
              <w:top w:w="0" w:type="dxa"/>
              <w:left w:w="105" w:type="dxa"/>
              <w:bottom w:w="0" w:type="dxa"/>
              <w:right w:w="105" w:type="dxa"/>
            </w:tcMar>
            <w:vAlign w:val="center"/>
          </w:tcPr>
          <w:p>
            <w:pPr>
              <w:spacing w:line="400" w:lineRule="exact"/>
              <w:ind w:firstLine="210" w:firstLineChars="100"/>
              <w:rPr>
                <w:rFonts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w:t>
            </w: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ascii="楷体" w:hAnsi="楷体" w:eastAsia="楷体" w:cs="楷体"/>
          <w:sz w:val="22"/>
          <w:szCs w:val="24"/>
        </w:rPr>
      </w:pP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单位负责人（签字）：</w:t>
      </w:r>
    </w:p>
    <w:p>
      <w:pPr>
        <w:spacing w:line="320" w:lineRule="exact"/>
        <w:ind w:firstLine="6270" w:firstLineChars="2850"/>
        <w:jc w:val="center"/>
        <w:rPr>
          <w:rFonts w:ascii="楷体" w:hAnsi="楷体" w:eastAsia="楷体" w:cs="楷体"/>
          <w:sz w:val="22"/>
          <w:szCs w:val="24"/>
        </w:rPr>
        <w:sectPr>
          <w:footerReference r:id="rId5" w:type="default"/>
          <w:pgSz w:w="16838" w:h="11906" w:orient="landscape"/>
          <w:pgMar w:top="1800" w:right="1440" w:bottom="1800" w:left="1440" w:header="851" w:footer="992" w:gutter="0"/>
          <w:cols w:space="720" w:num="1"/>
          <w:docGrid w:type="lines" w:linePitch="312" w:charSpace="0"/>
        </w:sectPr>
      </w:pP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填表日期： 202</w:t>
      </w:r>
      <w:r>
        <w:rPr>
          <w:rFonts w:hint="eastAsia" w:ascii="楷体" w:hAnsi="楷体" w:eastAsia="楷体" w:cs="楷体"/>
          <w:sz w:val="22"/>
          <w:szCs w:val="24"/>
          <w:lang w:val="en-US" w:eastAsia="zh-CN"/>
        </w:rPr>
        <w:t>4</w:t>
      </w:r>
      <w:r>
        <w:rPr>
          <w:rFonts w:hint="eastAsia" w:ascii="楷体" w:hAnsi="楷体" w:eastAsia="楷体" w:cs="楷体"/>
          <w:sz w:val="22"/>
          <w:szCs w:val="24"/>
        </w:rPr>
        <w:t xml:space="preserve"> 年  </w:t>
      </w:r>
      <w:r>
        <w:rPr>
          <w:rFonts w:hint="eastAsia" w:ascii="楷体" w:hAnsi="楷体" w:eastAsia="楷体" w:cs="楷体"/>
          <w:sz w:val="22"/>
          <w:szCs w:val="24"/>
          <w:lang w:val="en-US" w:eastAsia="zh-CN"/>
        </w:rPr>
        <w:t>4</w:t>
      </w:r>
      <w:r>
        <w:rPr>
          <w:rFonts w:hint="eastAsia" w:ascii="楷体" w:hAnsi="楷体" w:eastAsia="楷体" w:cs="楷体"/>
          <w:sz w:val="22"/>
          <w:szCs w:val="24"/>
        </w:rPr>
        <w:t>月 </w:t>
      </w:r>
      <w:r>
        <w:rPr>
          <w:rFonts w:hint="eastAsia" w:ascii="楷体" w:hAnsi="楷体" w:eastAsia="楷体" w:cs="楷体"/>
          <w:sz w:val="22"/>
          <w:szCs w:val="24"/>
          <w:lang w:val="en-US" w:eastAsia="zh-CN"/>
        </w:rPr>
        <w:t>18</w:t>
      </w:r>
      <w:r>
        <w:rPr>
          <w:rFonts w:hint="eastAsia" w:ascii="楷体" w:hAnsi="楷体" w:eastAsia="楷体" w:cs="楷体"/>
          <w:sz w:val="22"/>
          <w:szCs w:val="24"/>
        </w:rPr>
        <w:t xml:space="preserve"> 日</w:t>
      </w:r>
    </w:p>
    <w:p>
      <w:pPr>
        <w:spacing w:line="320" w:lineRule="exact"/>
        <w:ind w:firstLine="6270" w:firstLineChars="2850"/>
        <w:jc w:val="center"/>
        <w:rPr>
          <w:rFonts w:ascii="楷体" w:hAnsi="楷体" w:eastAsia="楷体" w:cs="楷体"/>
          <w:sz w:val="22"/>
          <w:szCs w:val="24"/>
        </w:rPr>
      </w:pPr>
    </w:p>
    <w:p>
      <w:pPr>
        <w:spacing w:before="100" w:beforeAutospacing="1" w:after="100" w:afterAutospacing="1"/>
        <w:jc w:val="left"/>
        <w:rPr>
          <w:rFonts w:ascii="仿宋_GB2312" w:hAnsi="仿宋_GB2312" w:eastAsia="仿宋_GB2312" w:cs="仿宋_GB2312"/>
          <w:sz w:val="24"/>
        </w:rPr>
      </w:pPr>
      <w:r>
        <w:rPr>
          <w:rFonts w:hint="eastAsia" w:ascii="仿宋_GB2312" w:hAnsi="仿宋_GB2312" w:eastAsia="仿宋_GB2312" w:cs="仿宋_GB2312"/>
          <w:sz w:val="24"/>
        </w:rPr>
        <w:t>附件1-2</w:t>
      </w:r>
    </w:p>
    <w:p>
      <w:pPr>
        <w:pStyle w:val="5"/>
        <w:widowControl w:val="0"/>
        <w:spacing w:before="0" w:beforeAutospacing="0" w:after="0" w:afterAutospacing="0" w:line="800" w:lineRule="exact"/>
        <w:jc w:val="center"/>
        <w:rPr>
          <w:rStyle w:val="9"/>
          <w:rFonts w:ascii="Times New Roman" w:hAnsi="Times New Roman" w:eastAsia="方正粗宋简体" w:cs="Times New Roman"/>
          <w:b w:val="0"/>
          <w:bCs w:val="0"/>
          <w:spacing w:val="-23"/>
          <w:sz w:val="36"/>
          <w:szCs w:val="36"/>
        </w:rPr>
      </w:pPr>
      <w:r>
        <w:rPr>
          <w:rStyle w:val="9"/>
          <w:rFonts w:hint="eastAsia" w:ascii="Times New Roman" w:hAnsi="Times New Roman" w:eastAsia="方正粗宋简体" w:cs="Times New Roman"/>
          <w:b w:val="0"/>
          <w:bCs w:val="0"/>
          <w:spacing w:val="-23"/>
          <w:sz w:val="36"/>
          <w:szCs w:val="36"/>
          <w:lang w:eastAsia="zh-CN"/>
        </w:rPr>
        <w:t>2023</w:t>
      </w:r>
      <w:r>
        <w:rPr>
          <w:rStyle w:val="9"/>
          <w:rFonts w:ascii="Times New Roman" w:hAnsi="Times New Roman" w:eastAsia="方正粗宋简体" w:cs="Times New Roman"/>
          <w:b w:val="0"/>
          <w:bCs w:val="0"/>
          <w:spacing w:val="-23"/>
          <w:sz w:val="36"/>
          <w:szCs w:val="36"/>
        </w:rPr>
        <w:t>年度</w:t>
      </w:r>
      <w:r>
        <w:rPr>
          <w:rFonts w:hint="eastAsia" w:hAnsi="方正粗宋简体" w:eastAsia="方正粗宋简体"/>
          <w:w w:val="85"/>
          <w:sz w:val="36"/>
          <w:szCs w:val="36"/>
        </w:rPr>
        <w:t>城市管理和综合执法局</w:t>
      </w:r>
      <w:r>
        <w:rPr>
          <w:rStyle w:val="9"/>
          <w:rFonts w:ascii="Times New Roman" w:hAnsi="Times New Roman" w:eastAsia="方正粗宋简体" w:cs="Times New Roman"/>
          <w:b w:val="0"/>
          <w:bCs w:val="0"/>
          <w:spacing w:val="-23"/>
          <w:sz w:val="36"/>
          <w:szCs w:val="36"/>
        </w:rPr>
        <w:t>部门（单位）整体支出绩效</w:t>
      </w:r>
    </w:p>
    <w:p>
      <w:pPr>
        <w:pStyle w:val="5"/>
        <w:widowControl w:val="0"/>
        <w:spacing w:before="0" w:beforeAutospacing="0" w:after="0" w:afterAutospacing="0" w:line="800" w:lineRule="exact"/>
        <w:jc w:val="center"/>
        <w:rPr>
          <w:rStyle w:val="9"/>
          <w:rFonts w:ascii="Times New Roman" w:hAnsi="Times New Roman" w:eastAsia="方正粗宋简体" w:cs="Times New Roman"/>
          <w:b w:val="0"/>
          <w:bCs w:val="0"/>
          <w:spacing w:val="-23"/>
          <w:sz w:val="36"/>
          <w:szCs w:val="36"/>
        </w:rPr>
      </w:pPr>
      <w:r>
        <w:rPr>
          <w:rStyle w:val="9"/>
          <w:rFonts w:ascii="Times New Roman" w:hAnsi="Times New Roman" w:eastAsia="方正粗宋简体" w:cs="Times New Roman"/>
          <w:b w:val="0"/>
          <w:bCs w:val="0"/>
          <w:spacing w:val="-23"/>
          <w:sz w:val="36"/>
          <w:szCs w:val="36"/>
        </w:rPr>
        <w:t>自评报告</w:t>
      </w:r>
    </w:p>
    <w:p>
      <w:pPr>
        <w:spacing w:before="240" w:line="560" w:lineRule="exact"/>
        <w:ind w:firstLine="400" w:firstLineChars="200"/>
        <w:jc w:val="left"/>
      </w:pPr>
      <w:r>
        <w:t xml:space="preserve">   </w:t>
      </w:r>
      <w:r>
        <w:rPr>
          <w:rFonts w:eastAsia="仿宋_GB2312"/>
          <w:sz w:val="32"/>
          <w:szCs w:val="32"/>
        </w:rPr>
        <w:t>一、部门（单位）基本概况</w:t>
      </w:r>
    </w:p>
    <w:p>
      <w:pPr>
        <w:spacing w:before="240" w:line="560" w:lineRule="exact"/>
        <w:ind w:firstLine="640" w:firstLineChars="200"/>
        <w:jc w:val="left"/>
        <w:rPr>
          <w:rFonts w:asciiTheme="minorEastAsia" w:hAnsiTheme="minorEastAsia" w:eastAsiaTheme="minorEastAsia"/>
          <w:sz w:val="32"/>
          <w:szCs w:val="32"/>
        </w:rPr>
      </w:pPr>
      <w:r>
        <w:rPr>
          <w:rFonts w:hint="eastAsia" w:cs="宋体" w:asciiTheme="minorEastAsia" w:hAnsiTheme="minorEastAsia" w:eastAsiaTheme="minorEastAsia"/>
          <w:sz w:val="32"/>
          <w:szCs w:val="32"/>
        </w:rPr>
        <w:t>1.负责贯彻执行国家、省、市有关城市管理和综合执法的法律、法规和政策；</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2.负责对城区城市管理和综合执法工作的组织领导、指挥协调、考核监督与绩效评价。</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3.负责“智慧城市”数字城管平台的建设和管理。</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4.负责城市规划区内主次干道的城市市容、环境卫生的管理工作；</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5.负责城市市政公用设施、市政道路、路灯、城市桥涵、城市排水系统的管理、执法和维护工作；</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6.负责城市规划区园林、绿化的管理工作；</w:t>
      </w:r>
    </w:p>
    <w:p>
      <w:pPr>
        <w:snapToGrid w:val="0"/>
        <w:spacing w:line="520" w:lineRule="exact"/>
        <w:ind w:firstLine="640" w:firstLineChars="200"/>
        <w:rPr>
          <w:rFonts w:hint="eastAsia" w:cs="宋体" w:asciiTheme="minorEastAsia" w:hAnsiTheme="minorEastAsia" w:eastAsiaTheme="minorEastAsia"/>
          <w:sz w:val="32"/>
          <w:szCs w:val="32"/>
        </w:rPr>
      </w:pPr>
      <w:r>
        <w:rPr>
          <w:rFonts w:hint="eastAsia" w:cs="宋体" w:asciiTheme="minorEastAsia" w:hAnsiTheme="minorEastAsia" w:eastAsiaTheme="minorEastAsia"/>
          <w:sz w:val="32"/>
          <w:szCs w:val="32"/>
        </w:rPr>
        <w:t>7.负责城市规划区内城市供水（含二次供水）、计划用水、节约用水的管理和执法工作；</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8.负责城市辖区内户外广告设置管理和执法工作。</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9.负责监督管理城市辖区内车辆清洗站、场。</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10.负责城区建筑垃圾倾倒、运输、消纳、处置的管理和执法工作。</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11.负责城市规划区内临时占用道路两侧和公共场地的行政许可。</w:t>
      </w:r>
    </w:p>
    <w:p>
      <w:pPr>
        <w:snapToGrid w:val="0"/>
        <w:spacing w:line="520" w:lineRule="exact"/>
        <w:ind w:firstLine="640" w:firstLineChars="200"/>
        <w:rPr>
          <w:rFonts w:cs="宋体" w:asciiTheme="minorEastAsia" w:hAnsiTheme="minorEastAsia" w:eastAsiaTheme="minorEastAsia"/>
          <w:sz w:val="32"/>
          <w:szCs w:val="32"/>
        </w:rPr>
      </w:pPr>
      <w:r>
        <w:rPr>
          <w:rFonts w:hint="eastAsia" w:cs="宋体" w:asciiTheme="minorEastAsia" w:hAnsiTheme="minorEastAsia" w:eastAsiaTheme="minorEastAsia"/>
          <w:sz w:val="32"/>
          <w:szCs w:val="32"/>
        </w:rPr>
        <w:t>12.负责城市规划区内城市管理综合执法。</w:t>
      </w:r>
    </w:p>
    <w:p>
      <w:pPr>
        <w:spacing w:line="540" w:lineRule="exact"/>
        <w:rPr>
          <w:rFonts w:asciiTheme="minorEastAsia" w:hAnsiTheme="minorEastAsia" w:eastAsiaTheme="minorEastAsia"/>
          <w:sz w:val="32"/>
          <w:szCs w:val="32"/>
        </w:rPr>
      </w:pPr>
      <w:r>
        <w:rPr>
          <w:rFonts w:hint="eastAsia" w:cs="Arial" w:asciiTheme="minorEastAsia" w:hAnsiTheme="minorEastAsia" w:eastAsiaTheme="minorEastAsia"/>
          <w:color w:val="333333"/>
          <w:sz w:val="32"/>
          <w:szCs w:val="32"/>
        </w:rPr>
        <w:t>（二）机构设置 </w:t>
      </w:r>
    </w:p>
    <w:p>
      <w:pPr>
        <w:widowControl/>
        <w:ind w:firstLine="640" w:firstLineChars="200"/>
        <w:jc w:val="left"/>
        <w:rPr>
          <w:rFonts w:cs="Arial" w:asciiTheme="minorEastAsia" w:hAnsiTheme="minorEastAsia" w:eastAsiaTheme="minorEastAsia"/>
          <w:color w:val="333333"/>
          <w:sz w:val="32"/>
          <w:szCs w:val="32"/>
        </w:rPr>
      </w:pPr>
      <w:r>
        <w:rPr>
          <w:rFonts w:hint="eastAsia" w:asciiTheme="minorEastAsia" w:hAnsiTheme="minorEastAsia" w:eastAsiaTheme="minorEastAsia"/>
          <w:color w:val="333333"/>
          <w:sz w:val="32"/>
          <w:szCs w:val="32"/>
        </w:rPr>
        <w:t xml:space="preserve">根据上级要求，我单位核定机关行政编制为10名，设局长1名，副局长2名，股室长职数7名， </w:t>
      </w:r>
      <w:r>
        <w:rPr>
          <w:rFonts w:hint="eastAsia" w:asciiTheme="minorEastAsia" w:hAnsiTheme="minorEastAsia" w:eastAsiaTheme="minorEastAsia"/>
          <w:color w:val="333333"/>
          <w:sz w:val="32"/>
          <w:szCs w:val="32"/>
          <w:lang w:eastAsia="zh-CN"/>
        </w:rPr>
        <w:t>2023</w:t>
      </w:r>
      <w:r>
        <w:rPr>
          <w:rFonts w:hint="eastAsia" w:asciiTheme="minorEastAsia" w:hAnsiTheme="minorEastAsia" w:eastAsiaTheme="minorEastAsia"/>
          <w:color w:val="333333"/>
          <w:sz w:val="32"/>
          <w:szCs w:val="32"/>
        </w:rPr>
        <w:t>年末实有人员数</w:t>
      </w:r>
      <w:r>
        <w:rPr>
          <w:rFonts w:hint="eastAsia" w:asciiTheme="minorEastAsia" w:hAnsiTheme="minorEastAsia" w:eastAsiaTheme="minorEastAsia"/>
          <w:color w:val="333333"/>
          <w:sz w:val="32"/>
          <w:szCs w:val="32"/>
          <w:lang w:val="en-US" w:eastAsia="zh-CN"/>
        </w:rPr>
        <w:t>6</w:t>
      </w:r>
      <w:r>
        <w:rPr>
          <w:rFonts w:hint="eastAsia" w:asciiTheme="minorEastAsia" w:hAnsiTheme="minorEastAsia" w:eastAsiaTheme="minorEastAsia"/>
          <w:color w:val="333333"/>
          <w:sz w:val="32"/>
          <w:szCs w:val="32"/>
        </w:rPr>
        <w:t>人。我单位设下列内设股室：办公室、公用事业管理股（园林绿化管理股）、政策法规股、行政审批服务股、市政设施管理股、督查考评股、财务装备股。</w:t>
      </w:r>
    </w:p>
    <w:p>
      <w:pPr>
        <w:spacing w:line="560" w:lineRule="exact"/>
        <w:ind w:firstLine="640" w:firstLineChars="200"/>
        <w:jc w:val="left"/>
        <w:rPr>
          <w:rFonts w:eastAsia="仿宋_GB2312"/>
          <w:sz w:val="32"/>
          <w:szCs w:val="32"/>
        </w:rPr>
      </w:pPr>
      <w:r>
        <w:rPr>
          <w:rFonts w:eastAsia="仿宋_GB2312"/>
          <w:sz w:val="32"/>
          <w:szCs w:val="32"/>
        </w:rPr>
        <w:t>二、部门（单位）整体支出绩效状况</w:t>
      </w:r>
    </w:p>
    <w:p>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2023</w:t>
      </w:r>
      <w:r>
        <w:rPr>
          <w:rFonts w:asciiTheme="minorEastAsia" w:hAnsiTheme="minorEastAsia" w:eastAsiaTheme="minorEastAsia"/>
          <w:sz w:val="32"/>
          <w:szCs w:val="32"/>
        </w:rPr>
        <w:t>年度财政收支</w:t>
      </w:r>
      <w:r>
        <w:rPr>
          <w:rFonts w:hint="eastAsia" w:asciiTheme="minorEastAsia" w:hAnsiTheme="minorEastAsia" w:eastAsiaTheme="minorEastAsia"/>
          <w:sz w:val="32"/>
          <w:szCs w:val="32"/>
        </w:rPr>
        <w:t>情况总体情况说明：</w:t>
      </w:r>
    </w:p>
    <w:p>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2023</w:t>
      </w:r>
      <w:r>
        <w:rPr>
          <w:rFonts w:hint="eastAsia" w:asciiTheme="minorEastAsia" w:hAnsiTheme="minorEastAsia" w:eastAsiaTheme="minorEastAsia"/>
          <w:sz w:val="32"/>
          <w:szCs w:val="32"/>
        </w:rPr>
        <w:t>年度收入合计</w:t>
      </w:r>
      <w:r>
        <w:rPr>
          <w:rFonts w:hint="eastAsia" w:asciiTheme="minorEastAsia" w:hAnsiTheme="minorEastAsia" w:eastAsiaTheme="minorEastAsia"/>
          <w:sz w:val="32"/>
          <w:szCs w:val="32"/>
          <w:lang w:val="en-US" w:eastAsia="zh-CN"/>
        </w:rPr>
        <w:t>2510.97</w:t>
      </w:r>
      <w:r>
        <w:rPr>
          <w:rFonts w:hint="eastAsia" w:asciiTheme="minorEastAsia" w:hAnsiTheme="minorEastAsia" w:eastAsiaTheme="minorEastAsia"/>
          <w:sz w:val="32"/>
          <w:szCs w:val="32"/>
        </w:rPr>
        <w:t>万元。与</w:t>
      </w: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val="en-US" w:eastAsia="zh-CN"/>
        </w:rPr>
        <w:t>1601.57</w:t>
      </w:r>
      <w:r>
        <w:rPr>
          <w:rFonts w:hint="eastAsia" w:asciiTheme="minorEastAsia" w:hAnsiTheme="minorEastAsia" w:eastAsiaTheme="minorEastAsia"/>
          <w:sz w:val="32"/>
          <w:szCs w:val="32"/>
        </w:rPr>
        <w:t>万元相比，</w:t>
      </w:r>
      <w:r>
        <w:rPr>
          <w:rFonts w:hint="eastAsia" w:asciiTheme="minorEastAsia" w:hAnsiTheme="minorEastAsia" w:eastAsiaTheme="minorEastAsia"/>
          <w:sz w:val="32"/>
          <w:szCs w:val="32"/>
          <w:lang w:val="en-US" w:eastAsia="zh-CN"/>
        </w:rPr>
        <w:t>增加909.4</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增加36.21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2023</w:t>
      </w:r>
      <w:r>
        <w:rPr>
          <w:rFonts w:hint="eastAsia" w:asciiTheme="minorEastAsia" w:hAnsiTheme="minorEastAsia" w:eastAsiaTheme="minorEastAsia"/>
          <w:sz w:val="32"/>
          <w:szCs w:val="32"/>
        </w:rPr>
        <w:t>年城管局</w:t>
      </w:r>
      <w:r>
        <w:rPr>
          <w:rFonts w:hint="eastAsia" w:asciiTheme="minorEastAsia" w:hAnsiTheme="minorEastAsia" w:eastAsiaTheme="minorEastAsia"/>
          <w:sz w:val="32"/>
          <w:szCs w:val="32"/>
          <w:lang w:val="en-US" w:eastAsia="zh-CN"/>
        </w:rPr>
        <w:t>项目经费支出增加</w:t>
      </w:r>
      <w:r>
        <w:rPr>
          <w:rFonts w:hint="eastAsia" w:asciiTheme="minorEastAsia" w:hAnsiTheme="minorEastAsia" w:eastAsiaTheme="minorEastAsia"/>
          <w:sz w:val="32"/>
          <w:szCs w:val="32"/>
        </w:rPr>
        <w:t>，所以</w:t>
      </w:r>
      <w:r>
        <w:rPr>
          <w:rFonts w:hint="eastAsia" w:asciiTheme="minorEastAsia" w:hAnsiTheme="minorEastAsia" w:eastAsiaTheme="minorEastAsia"/>
          <w:sz w:val="32"/>
          <w:szCs w:val="32"/>
          <w:lang w:eastAsia="zh-CN"/>
        </w:rPr>
        <w:t>202</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年收入比</w:t>
      </w:r>
      <w:r>
        <w:rPr>
          <w:rFonts w:hint="eastAsia" w:asciiTheme="minorEastAsia" w:hAnsiTheme="minorEastAsia" w:eastAsiaTheme="minorEastAsia"/>
          <w:sz w:val="32"/>
          <w:szCs w:val="32"/>
          <w:lang w:eastAsia="zh-CN"/>
        </w:rPr>
        <w:t>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val="en-US" w:eastAsia="zh-CN"/>
        </w:rPr>
        <w:t>增加</w:t>
      </w:r>
      <w:r>
        <w:rPr>
          <w:rFonts w:hint="eastAsia" w:asciiTheme="minorEastAsia" w:hAnsiTheme="minorEastAsia" w:eastAsiaTheme="minorEastAsia"/>
          <w:sz w:val="32"/>
          <w:szCs w:val="32"/>
        </w:rPr>
        <w:t>。</w:t>
      </w:r>
    </w:p>
    <w:p>
      <w:pPr>
        <w:pStyle w:val="14"/>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2023</w:t>
      </w:r>
      <w:r>
        <w:rPr>
          <w:rFonts w:hint="eastAsia" w:asciiTheme="minorEastAsia" w:hAnsiTheme="minorEastAsia" w:eastAsiaTheme="minorEastAsia"/>
          <w:sz w:val="32"/>
          <w:szCs w:val="32"/>
        </w:rPr>
        <w:t>年度支出合计</w:t>
      </w:r>
      <w:r>
        <w:rPr>
          <w:rFonts w:hint="eastAsia" w:asciiTheme="minorEastAsia" w:hAnsiTheme="minorEastAsia" w:eastAsiaTheme="minorEastAsia"/>
          <w:sz w:val="32"/>
          <w:szCs w:val="32"/>
          <w:lang w:val="en-US" w:eastAsia="zh-CN"/>
        </w:rPr>
        <w:t>2510.97</w:t>
      </w:r>
      <w:r>
        <w:rPr>
          <w:rFonts w:hint="eastAsia" w:asciiTheme="minorEastAsia" w:hAnsiTheme="minorEastAsia" w:eastAsiaTheme="minorEastAsia"/>
          <w:sz w:val="32"/>
          <w:szCs w:val="32"/>
        </w:rPr>
        <w:t>万元。与</w:t>
      </w: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w:t>
      </w:r>
      <w:r>
        <w:rPr>
          <w:rFonts w:hint="eastAsia" w:asciiTheme="minorEastAsia" w:hAnsiTheme="minorEastAsia" w:eastAsiaTheme="minorEastAsia"/>
          <w:sz w:val="32"/>
          <w:szCs w:val="32"/>
          <w:lang w:val="en-US" w:eastAsia="zh-CN"/>
        </w:rPr>
        <w:t>1601.57</w:t>
      </w:r>
      <w:r>
        <w:rPr>
          <w:rFonts w:hint="eastAsia" w:asciiTheme="minorEastAsia" w:hAnsiTheme="minorEastAsia" w:eastAsiaTheme="minorEastAsia"/>
          <w:sz w:val="32"/>
          <w:szCs w:val="32"/>
        </w:rPr>
        <w:t>万元相比，</w:t>
      </w:r>
      <w:r>
        <w:rPr>
          <w:rFonts w:hint="eastAsia" w:asciiTheme="minorEastAsia" w:hAnsiTheme="minorEastAsia" w:eastAsiaTheme="minorEastAsia"/>
          <w:sz w:val="32"/>
          <w:szCs w:val="32"/>
          <w:lang w:val="en-US" w:eastAsia="zh-CN"/>
        </w:rPr>
        <w:t>增加909.4</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增加36.21</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本单位项目经费支出增加，以及跨年度支付项目款导致</w:t>
      </w:r>
      <w:r>
        <w:rPr>
          <w:rFonts w:hint="eastAsia" w:asciiTheme="minorEastAsia" w:hAnsiTheme="minorEastAsia" w:eastAsiaTheme="minorEastAsia"/>
          <w:sz w:val="32"/>
          <w:szCs w:val="32"/>
        </w:rPr>
        <w:t>。</w:t>
      </w:r>
    </w:p>
    <w:p>
      <w:pPr>
        <w:ind w:firstLine="640" w:firstLineChars="200"/>
        <w:rPr>
          <w:rFonts w:cs="黑体" w:asciiTheme="minorEastAsia" w:hAnsiTheme="minorEastAsia" w:eastAsiaTheme="minorEastAsia"/>
          <w:color w:val="000000"/>
          <w:sz w:val="32"/>
          <w:szCs w:val="32"/>
        </w:rPr>
      </w:pPr>
      <w:r>
        <w:rPr>
          <w:rFonts w:hint="eastAsia" w:cs="黑体" w:asciiTheme="minorEastAsia" w:hAnsiTheme="minorEastAsia" w:eastAsiaTheme="minorEastAsia"/>
          <w:color w:val="000000"/>
          <w:sz w:val="32"/>
          <w:szCs w:val="32"/>
        </w:rPr>
        <w:t>国有资产占用情况</w:t>
      </w:r>
      <w:r>
        <w:rPr>
          <w:rFonts w:hint="eastAsia" w:asciiTheme="minorEastAsia" w:hAnsiTheme="minorEastAsia" w:eastAsiaTheme="minorEastAsia"/>
          <w:sz w:val="32"/>
          <w:szCs w:val="32"/>
        </w:rPr>
        <w:t>：</w:t>
      </w:r>
      <w:r>
        <w:rPr>
          <w:rFonts w:hint="eastAsia" w:cs="黑体" w:asciiTheme="minorEastAsia" w:hAnsiTheme="minorEastAsia" w:eastAsiaTheme="minorEastAsia"/>
          <w:color w:val="000000"/>
          <w:sz w:val="32"/>
          <w:szCs w:val="32"/>
        </w:rPr>
        <w:t>截至</w:t>
      </w:r>
      <w:r>
        <w:rPr>
          <w:rFonts w:hint="eastAsia" w:cs="黑体" w:asciiTheme="minorEastAsia" w:hAnsiTheme="minorEastAsia" w:eastAsiaTheme="minorEastAsia"/>
          <w:color w:val="000000"/>
          <w:sz w:val="32"/>
          <w:szCs w:val="32"/>
          <w:lang w:eastAsia="zh-CN"/>
        </w:rPr>
        <w:t>2023</w:t>
      </w:r>
      <w:r>
        <w:rPr>
          <w:rFonts w:hint="eastAsia" w:cs="黑体" w:asciiTheme="minorEastAsia" w:hAnsiTheme="minorEastAsia" w:eastAsiaTheme="minorEastAsia"/>
          <w:color w:val="000000"/>
          <w:sz w:val="32"/>
          <w:szCs w:val="32"/>
        </w:rPr>
        <w:t>年12月31日，本单位共有车辆</w:t>
      </w:r>
      <w:r>
        <w:rPr>
          <w:rFonts w:hint="eastAsia" w:cs="黑体" w:asciiTheme="minorEastAsia" w:hAnsiTheme="minorEastAsia" w:eastAsiaTheme="minorEastAsia"/>
          <w:color w:val="000000"/>
          <w:sz w:val="32"/>
          <w:szCs w:val="32"/>
          <w:lang w:val="en-US" w:eastAsia="zh-CN"/>
        </w:rPr>
        <w:t>0</w:t>
      </w:r>
      <w:r>
        <w:rPr>
          <w:rFonts w:hint="eastAsia" w:cs="黑体" w:asciiTheme="minorEastAsia" w:hAnsiTheme="minorEastAsia" w:eastAsiaTheme="minorEastAsia"/>
          <w:color w:val="000000"/>
          <w:sz w:val="32"/>
          <w:szCs w:val="32"/>
        </w:rPr>
        <w:t>辆，其中，领导干部用车0辆、机要通信用车0辆、应急保障用车0辆、执法执勤用车</w:t>
      </w:r>
      <w:r>
        <w:rPr>
          <w:rFonts w:hint="eastAsia" w:cs="黑体" w:asciiTheme="minorEastAsia" w:hAnsiTheme="minorEastAsia" w:eastAsiaTheme="minorEastAsia"/>
          <w:color w:val="000000"/>
          <w:sz w:val="32"/>
          <w:szCs w:val="32"/>
          <w:lang w:val="en-US" w:eastAsia="zh-CN"/>
        </w:rPr>
        <w:t>1</w:t>
      </w:r>
      <w:r>
        <w:rPr>
          <w:rFonts w:hint="eastAsia" w:cs="黑体" w:asciiTheme="minorEastAsia" w:hAnsiTheme="minorEastAsia" w:eastAsiaTheme="minorEastAsia"/>
          <w:color w:val="000000"/>
          <w:sz w:val="32"/>
          <w:szCs w:val="32"/>
        </w:rPr>
        <w:t>辆</w:t>
      </w:r>
      <w:r>
        <w:rPr>
          <w:rFonts w:hint="eastAsia" w:cs="黑体" w:asciiTheme="minorEastAsia" w:hAnsiTheme="minorEastAsia" w:eastAsiaTheme="minorEastAsia"/>
          <w:color w:val="000000"/>
          <w:sz w:val="32"/>
          <w:szCs w:val="32"/>
          <w:lang w:eastAsia="zh-CN"/>
        </w:rPr>
        <w:t>（</w:t>
      </w:r>
      <w:r>
        <w:rPr>
          <w:rFonts w:hint="eastAsia" w:cs="黑体" w:asciiTheme="minorEastAsia" w:hAnsiTheme="minorEastAsia" w:eastAsiaTheme="minorEastAsia"/>
          <w:color w:val="000000"/>
          <w:sz w:val="32"/>
          <w:szCs w:val="32"/>
          <w:lang w:val="en-US" w:eastAsia="zh-CN"/>
        </w:rPr>
        <w:t>城管执法大队使用</w:t>
      </w:r>
      <w:r>
        <w:rPr>
          <w:rFonts w:hint="eastAsia" w:cs="黑体" w:asciiTheme="minorEastAsia" w:hAnsiTheme="minorEastAsia" w:eastAsiaTheme="minorEastAsia"/>
          <w:color w:val="000000"/>
          <w:sz w:val="32"/>
          <w:szCs w:val="32"/>
          <w:lang w:eastAsia="zh-CN"/>
        </w:rPr>
        <w:t>）</w:t>
      </w:r>
      <w:r>
        <w:rPr>
          <w:rFonts w:hint="eastAsia" w:cs="黑体" w:asciiTheme="minorEastAsia" w:hAnsiTheme="minorEastAsia" w:eastAsiaTheme="minorEastAsia"/>
          <w:color w:val="000000"/>
          <w:sz w:val="32"/>
          <w:szCs w:val="32"/>
        </w:rPr>
        <w:t>、特种专业技术用车0辆、其他用车0辆；单位价值50万元以上通用设备0台（套）；单位价值100万元以上专用设备0台（套）。</w:t>
      </w:r>
    </w:p>
    <w:p>
      <w:pPr>
        <w:ind w:firstLine="640" w:firstLineChars="200"/>
        <w:rPr>
          <w:rFonts w:cs="仿宋_GB2312" w:asciiTheme="minorEastAsia" w:hAnsiTheme="minorEastAsia" w:eastAsiaTheme="minorEastAsia"/>
          <w:sz w:val="32"/>
          <w:szCs w:val="32"/>
        </w:rPr>
      </w:pPr>
      <w:r>
        <w:rPr>
          <w:rFonts w:hint="eastAsia" w:asciiTheme="minorEastAsia" w:hAnsiTheme="minorEastAsia" w:eastAsiaTheme="minorEastAsia"/>
          <w:sz w:val="32"/>
          <w:szCs w:val="32"/>
        </w:rPr>
        <w:t>我单位严格按照《预算法》和相关财经纪律要求，厉行节约，杜绝不合理开支，降低行政成本，努力让财政资金发挥最大效益，较好地完成了全年预算。</w:t>
      </w:r>
      <w:r>
        <w:rPr>
          <w:rFonts w:hint="eastAsia" w:cs="仿宋_GB2312" w:asciiTheme="minorEastAsia" w:hAnsiTheme="minorEastAsia" w:eastAsiaTheme="minorEastAsia"/>
          <w:sz w:val="32"/>
          <w:szCs w:val="32"/>
        </w:rPr>
        <w:t>我单位</w:t>
      </w:r>
      <w:r>
        <w:rPr>
          <w:rFonts w:hint="eastAsia" w:cs="仿宋_GB2312" w:asciiTheme="minorEastAsia" w:hAnsiTheme="minorEastAsia" w:eastAsiaTheme="minorEastAsia"/>
          <w:sz w:val="32"/>
          <w:szCs w:val="32"/>
          <w:lang w:eastAsia="zh-CN"/>
        </w:rPr>
        <w:t>2023</w:t>
      </w:r>
      <w:r>
        <w:rPr>
          <w:rFonts w:hint="eastAsia" w:cs="仿宋_GB2312" w:asciiTheme="minorEastAsia" w:hAnsiTheme="minorEastAsia" w:eastAsiaTheme="minorEastAsia"/>
          <w:sz w:val="32"/>
          <w:szCs w:val="32"/>
        </w:rPr>
        <w:t>年的公务用车运行维护费到12月止支出</w:t>
      </w:r>
      <w:r>
        <w:rPr>
          <w:rFonts w:hint="eastAsia" w:cs="仿宋_GB2312" w:asciiTheme="minorEastAsia" w:hAnsiTheme="minorEastAsia" w:eastAsiaTheme="minorEastAsia"/>
          <w:sz w:val="32"/>
          <w:szCs w:val="32"/>
          <w:lang w:val="en-US" w:eastAsia="zh-CN"/>
        </w:rPr>
        <w:t>0</w:t>
      </w:r>
      <w:r>
        <w:rPr>
          <w:rFonts w:hint="eastAsia" w:cs="仿宋_GB2312" w:asciiTheme="minorEastAsia" w:hAnsiTheme="minorEastAsia" w:eastAsiaTheme="minorEastAsia"/>
          <w:sz w:val="32"/>
          <w:szCs w:val="32"/>
        </w:rPr>
        <w:t>万元，公务接待费到12月止支出</w:t>
      </w:r>
      <w:r>
        <w:rPr>
          <w:rFonts w:hint="eastAsia" w:cs="仿宋_GB2312" w:asciiTheme="minorEastAsia" w:hAnsiTheme="minorEastAsia" w:eastAsiaTheme="minorEastAsia"/>
          <w:sz w:val="32"/>
          <w:szCs w:val="32"/>
          <w:lang w:val="en-US" w:eastAsia="zh-CN"/>
        </w:rPr>
        <w:t>2.16</w:t>
      </w:r>
      <w:r>
        <w:rPr>
          <w:rFonts w:hint="eastAsia" w:cs="仿宋_GB2312" w:asciiTheme="minorEastAsia" w:hAnsiTheme="minorEastAsia" w:eastAsiaTheme="minorEastAsia"/>
          <w:sz w:val="32"/>
          <w:szCs w:val="32"/>
        </w:rPr>
        <w:t>万元。</w:t>
      </w:r>
    </w:p>
    <w:p>
      <w:p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根据《部门整体支出绩效评价指标》评分表，自评得分8</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分，主要绩效如下：</w:t>
      </w:r>
    </w:p>
    <w:p>
      <w:pPr>
        <w:pStyle w:val="14"/>
        <w:keepNext w:val="0"/>
        <w:keepLines w:val="0"/>
        <w:pageBreakBefore w:val="0"/>
        <w:widowControl w:val="0"/>
        <w:kinsoku/>
        <w:wordWrap/>
        <w:overflowPunct/>
        <w:topLinePunct w:val="0"/>
        <w:bidi w:val="0"/>
        <w:adjustRightInd/>
        <w:snapToGrid/>
        <w:spacing w:beforeAutospacing="0" w:afterAutospacing="0" w:line="586" w:lineRule="exact"/>
        <w:ind w:left="0" w:leftChars="0" w:firstLine="720" w:firstLineChars="225"/>
        <w:jc w:val="both"/>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服务中心大局，赋能城市管理高质量发展</w:t>
      </w:r>
    </w:p>
    <w:p>
      <w:pPr>
        <w:keepNext w:val="0"/>
        <w:keepLines w:val="0"/>
        <w:pageBreakBefore w:val="0"/>
        <w:widowControl w:val="0"/>
        <w:numPr>
          <w:ilvl w:val="0"/>
          <w:numId w:val="0"/>
        </w:numPr>
        <w:kinsoku/>
        <w:wordWrap/>
        <w:overflowPunct/>
        <w:topLinePunct w:val="0"/>
        <w:autoSpaceDN/>
        <w:bidi w:val="0"/>
        <w:adjustRightInd/>
        <w:snapToGrid/>
        <w:spacing w:line="586" w:lineRule="exact"/>
        <w:ind w:left="0" w:leftChars="0" w:right="0" w:righ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1.党建引领，全力推进乡村振兴。坚持以习近平新时代中国特色社会主义思想指导乡村振兴，走中国特色社会主义乡村振兴道路。1-5月，我局作为晃州镇新村村、禾排村、水洞村、柏树林村的后盾单位，执法大队共派驻10名工作队员参与乡村振兴工作。自乡村振兴工作开展以来，执法大队积极组织单位干部职工深入4村开展乡村振兴工作、人居环境整治、春夏季森林防火宣传值守等工作，5月底顺利完成工作队工作交接，根据新的安排我局及时选派新一轮工作队共11人入驻中寨镇祥冲、头家、半江、降溪四村，其中执法大队占5人，3人担任第一书记兼工作队长，现乡村振兴各项工作正在稳步顺利开展中。</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right="0" w:rightChars="0" w:firstLine="720" w:firstLineChars="225"/>
        <w:jc w:val="both"/>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2.维护市容秩序，还人民以“净、治、好”。规范市容环境秩序，重点整治了占道经营、清理乱堆乱放、流动摊贩、牛皮癣广告、以人行道乱堆放等工作，并取得了良好的成效。其中共纠正倚门出摊(超出门窗占道经营)10000余起；清理本辖区电线杆上的广告绳约五十余斤；清理沿街乱晾晒1200余次；清除乱涂写、乱张贴、牛皮癣12000多处；清理乱堆放2000余处；清理破损门头广告招牌、小灯箱、小黑板800余个；清理流动摊贩13000余次；劝阻噪声污染500余次；城区城郊38个广告招牌登记台账，并且根据上级文件要求，对火车轨道两侧的广告招牌进行合理拆除。办理行政案件处罚9起。其中燃气6起、市容2起、市政1起，罚款金额共计4500元。全年共计下达整改通知书100余次，经过复查均能按时整改到位。</w:t>
      </w:r>
    </w:p>
    <w:p>
      <w:pPr>
        <w:keepNext w:val="0"/>
        <w:keepLines w:val="0"/>
        <w:pageBreakBefore w:val="0"/>
        <w:widowControl w:val="0"/>
        <w:kinsoku/>
        <w:wordWrap/>
        <w:overflowPunct/>
        <w:topLinePunct w:val="0"/>
        <w:autoSpaceDN/>
        <w:bidi w:val="0"/>
        <w:adjustRightInd/>
        <w:snapToGrid/>
        <w:spacing w:line="586" w:lineRule="exact"/>
        <w:ind w:left="0" w:lef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整治车辆乱停乱放，</w:t>
      </w:r>
      <w:r>
        <w:rPr>
          <w:rFonts w:hint="eastAsia" w:cs="Times New Roman" w:asciiTheme="minorEastAsia" w:hAnsiTheme="minorEastAsia" w:eastAsiaTheme="minorEastAsia"/>
          <w:color w:val="auto"/>
          <w:sz w:val="32"/>
          <w:szCs w:val="32"/>
          <w:lang w:val="zh-CN" w:eastAsia="zh-CN" w:bidi="ar-SA"/>
        </w:rPr>
        <w:t>针对机动车乱停乱放和占用人行道行为进行全面治理</w:t>
      </w:r>
      <w:r>
        <w:rPr>
          <w:rFonts w:hint="eastAsia" w:cs="Times New Roman" w:asciiTheme="minorEastAsia" w:hAnsiTheme="minorEastAsia" w:eastAsiaTheme="minorEastAsia"/>
          <w:color w:val="auto"/>
          <w:sz w:val="32"/>
          <w:szCs w:val="32"/>
          <w:lang w:val="en-US" w:eastAsia="zh-CN" w:bidi="ar-SA"/>
        </w:rPr>
        <w:t>.</w:t>
      </w:r>
      <w:r>
        <w:rPr>
          <w:rFonts w:hint="eastAsia" w:cs="Times New Roman" w:asciiTheme="minorEastAsia" w:hAnsiTheme="minorEastAsia" w:eastAsiaTheme="minorEastAsia"/>
          <w:color w:val="auto"/>
          <w:sz w:val="32"/>
          <w:szCs w:val="32"/>
          <w:lang w:val="zh-CN" w:eastAsia="zh-CN" w:bidi="ar-SA"/>
        </w:rPr>
        <w:t>对摩托车乱停乱放实施拖离现场</w:t>
      </w:r>
      <w:r>
        <w:rPr>
          <w:rFonts w:hint="eastAsia" w:cs="Times New Roman" w:asciiTheme="minorEastAsia" w:hAnsiTheme="minorEastAsia" w:eastAsiaTheme="minorEastAsia"/>
          <w:color w:val="auto"/>
          <w:sz w:val="32"/>
          <w:szCs w:val="32"/>
          <w:lang w:val="en-US" w:eastAsia="zh-CN" w:bidi="ar-SA"/>
        </w:rPr>
        <w:t>192</w:t>
      </w:r>
      <w:r>
        <w:rPr>
          <w:rFonts w:hint="eastAsia" w:cs="Times New Roman" w:asciiTheme="minorEastAsia" w:hAnsiTheme="minorEastAsia" w:eastAsiaTheme="minorEastAsia"/>
          <w:color w:val="auto"/>
          <w:sz w:val="32"/>
          <w:szCs w:val="32"/>
          <w:lang w:val="zh-CN" w:eastAsia="zh-CN" w:bidi="ar-SA"/>
        </w:rPr>
        <w:t>台次，对机动车乱停乱放实施</w:t>
      </w:r>
      <w:r>
        <w:rPr>
          <w:rFonts w:hint="eastAsia" w:cs="Times New Roman" w:asciiTheme="minorEastAsia" w:hAnsiTheme="minorEastAsia" w:eastAsiaTheme="minorEastAsia"/>
          <w:color w:val="auto"/>
          <w:sz w:val="32"/>
          <w:szCs w:val="32"/>
          <w:lang w:val="en-US" w:eastAsia="zh-CN" w:bidi="ar-SA"/>
        </w:rPr>
        <w:t>锁车贴条3990</w:t>
      </w:r>
      <w:r>
        <w:rPr>
          <w:rFonts w:hint="eastAsia" w:cs="Times New Roman" w:asciiTheme="minorEastAsia" w:hAnsiTheme="minorEastAsia" w:eastAsiaTheme="minorEastAsia"/>
          <w:color w:val="auto"/>
          <w:sz w:val="32"/>
          <w:szCs w:val="32"/>
          <w:lang w:val="zh-CN" w:eastAsia="zh-CN" w:bidi="ar-SA"/>
        </w:rPr>
        <w:t>台次。</w:t>
      </w:r>
      <w:r>
        <w:rPr>
          <w:rFonts w:hint="eastAsia" w:cs="Times New Roman" w:asciiTheme="minorEastAsia" w:hAnsiTheme="minorEastAsia" w:eastAsiaTheme="minorEastAsia"/>
          <w:color w:val="auto"/>
          <w:sz w:val="32"/>
          <w:szCs w:val="32"/>
          <w:lang w:val="en-US" w:eastAsia="zh-CN" w:bidi="ar-SA"/>
        </w:rPr>
        <w:t>增强柏树林320国道两侧占用人行道停放车辆的执法力度。</w:t>
      </w:r>
    </w:p>
    <w:p>
      <w:pPr>
        <w:keepNext w:val="0"/>
        <w:keepLines w:val="0"/>
        <w:pageBreakBefore w:val="0"/>
        <w:widowControl w:val="0"/>
        <w:kinsoku/>
        <w:wordWrap/>
        <w:overflowPunct/>
        <w:topLinePunct w:val="0"/>
        <w:autoSpaceDN/>
        <w:bidi w:val="0"/>
        <w:adjustRightInd/>
        <w:snapToGrid/>
        <w:spacing w:line="586" w:lineRule="exact"/>
        <w:ind w:left="0" w:leftChars="0" w:firstLine="720" w:firstLineChars="225"/>
        <w:textAlignment w:val="auto"/>
        <w:rPr>
          <w:rFonts w:hint="default"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依法打击违建，确保人民群众生命财产权安全。截至目前，共下达《责令停止建设通知书》7份、《整改通知书》4份，向违建户耐心细致地做好解释及宣讲法律政策工作，有效地遏制违建蔓延势头；强制拆除3处，拆除面积约为597.52㎡；立案查处一般行政程序的17起，结案8起（5起行政处罚，3起不予行政处罚），正在办理案件9起，处罚金额13070.62元。</w:t>
      </w:r>
    </w:p>
    <w:p>
      <w:pPr>
        <w:keepNext w:val="0"/>
        <w:keepLines w:val="0"/>
        <w:pageBreakBefore w:val="0"/>
        <w:widowControl w:val="0"/>
        <w:kinsoku/>
        <w:wordWrap/>
        <w:overflowPunct/>
        <w:topLinePunct w:val="0"/>
        <w:autoSpaceDN/>
        <w:bidi w:val="0"/>
        <w:adjustRightInd/>
        <w:snapToGrid/>
        <w:spacing w:beforeAutospacing="0" w:afterAutospacing="0" w:line="586" w:lineRule="exact"/>
        <w:ind w:left="0" w:leftChars="0" w:right="0" w:righ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3.优化县域营商环境，把好行政审批关。截止目前(2023年1月至11月30日)，共受理各类审批业务130件，办结件130件，办结率均为100%。其中，建筑垃圾事项办理56件，花草树木移植事项办理2件，绿地建设报建事项办理15件，门头广告事项办理15件，道路占用事项办理30件，道路挖掘事项办理8件，报备事项办理4件。行政事业性收费825459.3元(渣土处置费27753.5元，占道费10609.8元，异地绿化费787096元)，挖掘押金63695元；行政事业性减免费用39.4万元。</w:t>
      </w:r>
    </w:p>
    <w:p>
      <w:pPr>
        <w:keepNext w:val="0"/>
        <w:keepLines w:val="0"/>
        <w:pageBreakBefore w:val="0"/>
        <w:widowControl w:val="0"/>
        <w:kinsoku/>
        <w:wordWrap/>
        <w:overflowPunct/>
        <w:topLinePunct w:val="0"/>
        <w:autoSpaceDN/>
        <w:bidi w:val="0"/>
        <w:adjustRightInd/>
        <w:snapToGrid/>
        <w:spacing w:beforeAutospacing="0" w:afterAutospacing="0" w:line="586" w:lineRule="exact"/>
        <w:ind w:left="0" w:leftChars="0" w:right="0" w:righ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4.落实信访督办工作，维护社会安全稳定。一是建立领导定期接访制度。二是依法依规办理各类信访案件。三是持续完善城市管理矛盾纠纷调处机制。针对城市管理出现的邻里纠纷问题，通过邀请相关部门、街道、人大代表、政协委员、社区、双方当事人等予以调解，既达到执法效果，又妥善解决双方之间的纠纷。</w:t>
      </w:r>
    </w:p>
    <w:p>
      <w:pPr>
        <w:keepNext w:val="0"/>
        <w:keepLines w:val="0"/>
        <w:pageBreakBefore w:val="0"/>
        <w:widowControl w:val="0"/>
        <w:kinsoku/>
        <w:wordWrap/>
        <w:overflowPunct/>
        <w:topLinePunct w:val="0"/>
        <w:autoSpaceDN/>
        <w:bidi w:val="0"/>
        <w:adjustRightInd/>
        <w:snapToGrid/>
        <w:spacing w:beforeAutospacing="0" w:afterAutospacing="0" w:line="586" w:lineRule="exact"/>
        <w:ind w:left="0" w:leftChars="0" w:right="0" w:righ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5.认真办理人大、政协提案议案。经办人员以高度的责任感和使命感，深入调查，分析问题，做好建议、提案的办理工作。今年办理人大建议案3件（重点建议1件，B类建议1件）、政协提案5件,目前已全部办理完毕。微建议71，已办结69件。</w:t>
      </w:r>
    </w:p>
    <w:p>
      <w:pPr>
        <w:pStyle w:val="17"/>
        <w:keepNext w:val="0"/>
        <w:keepLines w:val="0"/>
        <w:pageBreakBefore w:val="0"/>
        <w:widowControl w:val="0"/>
        <w:kinsoku/>
        <w:wordWrap/>
        <w:overflowPunct/>
        <w:topLinePunct w:val="0"/>
        <w:bidi w:val="0"/>
        <w:adjustRightInd/>
        <w:snapToGrid/>
        <w:spacing w:beforeAutospacing="0" w:afterAutospacing="0" w:line="586" w:lineRule="exact"/>
        <w:ind w:left="0" w:lef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敢担当有作为，推进城市品质持续提升</w:t>
      </w:r>
    </w:p>
    <w:p>
      <w:pPr>
        <w:keepNext w:val="0"/>
        <w:keepLines w:val="0"/>
        <w:pageBreakBefore w:val="0"/>
        <w:widowControl w:val="0"/>
        <w:kinsoku/>
        <w:wordWrap/>
        <w:overflowPunct/>
        <w:topLinePunct w:val="0"/>
        <w:autoSpaceDN/>
        <w:bidi w:val="0"/>
        <w:adjustRightInd/>
        <w:snapToGrid/>
        <w:spacing w:beforeAutospacing="0" w:afterAutospacing="0" w:line="586" w:lineRule="exact"/>
        <w:ind w:left="0" w:leftChars="0" w:right="0" w:rightChars="0" w:firstLine="720" w:firstLineChars="225"/>
        <w:textAlignment w:val="auto"/>
        <w:rPr>
          <w:rFonts w:hint="eastAsia"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1.加强公共基础设施建设管理，提升服务水平。对城区人行道混凝土彩砖破损、松动零星维修435m²；下水道疏通、清淤2.1km；城区沥青混凝土路面基坑冷补零星修复765㎡；市政下水道井盖更换42座；高铁站门楼大理石零星维修23㎡；竹王大道休闲椅维修16根；320国道林业局段人行道麻石板破损改造维修130㎡；城区易积水地段新增雨水井17座；城区雨水井清淤35座；风雨桥伸缩缝安装24m；风雨桥头防护栏杆安装27m；舞水星城与县幼儿园中山分园巷子道路地面硬化145m2;对夜郎广场、鼓楼广场、商业步行街麻石板破损零星维修275m2；城区公厕零星维修及下水道疏通35次；鼓楼广场沟盖板破损板更换维修35m；夜郎广场摩托车停车位划泊73个；晃山路与通达路十字路口安装高杆灯2盏，对晃州国际至沙湾大桥段路灯线路进行改造1.1公里，路灯灯头更换33盏；龙溪社区姚家院子路灯线路改造恢复65米。对城区路灯车辆撞毁、倾斜拆除，消除安全隐患4处，路灯维修45次等；对一河两岸景观亮化灯进行日常维修。</w:t>
      </w:r>
    </w:p>
    <w:p>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720" w:firstLineChars="225"/>
        <w:textAlignment w:val="auto"/>
        <w:rPr>
          <w:rFonts w:hint="default" w:cs="Times New Roman" w:asciiTheme="minorEastAsia" w:hAnsiTheme="minorEastAsia" w:eastAsiaTheme="minorEastAsia"/>
          <w:color w:val="auto"/>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2.聚焦精细管理，提升城市园林绿化品质。一是严格绿化管控审查。二是切实做好园林绿化。三是迎接省级园林县城复查专家组的现场考评。四是提升生活垃圾无害化处理率。截止2023年10月县城镇生活垃圾无害化处理场无害化处理生活垃圾3.4万吨，共计9795车次，渗滤液处理2.6万吨，进场垃圾无害化处理率达到100%。五是加强城区餐厨垃圾的收集处理工作。今年以来，我县对城区内400多家餐饮企业和学校、单位食堂产生的餐厨垃圾进行统一收集处理。一年来，共收集处理餐厨垃圾4000余吨。</w:t>
      </w:r>
    </w:p>
    <w:p>
      <w:pPr>
        <w:spacing w:line="560" w:lineRule="exact"/>
        <w:ind w:firstLine="640" w:firstLineChars="200"/>
        <w:jc w:val="left"/>
        <w:rPr>
          <w:rFonts w:eastAsia="仿宋_GB2312"/>
          <w:sz w:val="32"/>
          <w:szCs w:val="32"/>
        </w:rPr>
      </w:pPr>
      <w:r>
        <w:rPr>
          <w:rFonts w:eastAsia="仿宋_GB2312"/>
          <w:sz w:val="32"/>
          <w:szCs w:val="32"/>
        </w:rPr>
        <w:t>三、存在的问题及原因</w:t>
      </w:r>
    </w:p>
    <w:p>
      <w:pPr>
        <w:spacing w:line="700" w:lineRule="exact"/>
        <w:ind w:firstLine="640" w:firstLineChars="200"/>
        <w:jc w:val="left"/>
        <w:rPr>
          <w:rFonts w:asciiTheme="minorEastAsia" w:hAnsiTheme="minorEastAsia" w:eastAsiaTheme="minorEastAsia"/>
          <w:sz w:val="32"/>
          <w:szCs w:val="32"/>
        </w:rPr>
      </w:pPr>
      <w:r>
        <w:rPr>
          <w:rFonts w:asciiTheme="minorEastAsia" w:hAnsiTheme="minorEastAsia" w:eastAsiaTheme="minorEastAsia"/>
          <w:sz w:val="32"/>
          <w:szCs w:val="32"/>
        </w:rPr>
        <w:t>当前影响财政资金使用绩效的问题</w:t>
      </w:r>
      <w:r>
        <w:rPr>
          <w:rFonts w:hint="eastAsia" w:asciiTheme="minorEastAsia" w:hAnsiTheme="minorEastAsia" w:eastAsiaTheme="minorEastAsia"/>
          <w:sz w:val="32"/>
          <w:szCs w:val="32"/>
        </w:rPr>
        <w:t>及原因：</w:t>
      </w:r>
    </w:p>
    <w:p>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color w:val="121212"/>
          <w:sz w:val="32"/>
          <w:szCs w:val="32"/>
          <w:shd w:val="clear" w:color="auto" w:fill="FFFFFF"/>
        </w:rPr>
        <w:t>绩效理念尚未完全形成，思想认识不一致</w:t>
      </w:r>
    </w:p>
    <w:p>
      <w:pPr>
        <w:spacing w:line="700" w:lineRule="exact"/>
        <w:ind w:firstLine="640" w:firstLineChars="200"/>
        <w:jc w:val="left"/>
        <w:rPr>
          <w:rFonts w:asciiTheme="minorEastAsia" w:hAnsiTheme="minorEastAsia" w:eastAsiaTheme="minorEastAsia"/>
          <w:color w:val="121212"/>
          <w:sz w:val="32"/>
          <w:szCs w:val="32"/>
          <w:shd w:val="clear" w:color="auto" w:fill="FFFFFF"/>
        </w:rPr>
      </w:pPr>
      <w:r>
        <w:rPr>
          <w:rFonts w:hint="eastAsia" w:asciiTheme="minorEastAsia" w:hAnsiTheme="minorEastAsia" w:eastAsiaTheme="minorEastAsia"/>
          <w:color w:val="121212"/>
          <w:sz w:val="32"/>
          <w:szCs w:val="32"/>
          <w:shd w:val="clear" w:color="auto" w:fill="FFFFFF"/>
        </w:rPr>
        <w:t>财政资金本身错综复杂的利益关系，增加了对绩效评价工作认识的错综复杂性。财政部门、项目管理单位及项目执行单位的理解和把握就有较大的差距，从不同方面削弱了绩效评价工作的地位和作用。绩效评价主要以了解项目进展情况、财政资金使用情况进行监督检查为主，或多或少地涉及了评价绩效的内容，还没有成为真正意义上的财政资金绩效评价。全社会对绩效评价的认识还有一个过程，传统的、固有的观念给绩效评价工作带来相当大的阻力。</w:t>
      </w:r>
    </w:p>
    <w:p>
      <w:pPr>
        <w:spacing w:line="700" w:lineRule="exact"/>
        <w:ind w:firstLine="640" w:firstLineChars="200"/>
        <w:jc w:val="left"/>
        <w:rPr>
          <w:rFonts w:asciiTheme="minorEastAsia" w:hAnsiTheme="minorEastAsia" w:eastAsiaTheme="minorEastAsia"/>
          <w:color w:val="121212"/>
          <w:sz w:val="32"/>
          <w:szCs w:val="32"/>
          <w:shd w:val="clear" w:color="auto" w:fill="FFFFFF"/>
        </w:rPr>
      </w:pPr>
      <w:r>
        <w:rPr>
          <w:rFonts w:hint="eastAsia" w:asciiTheme="minorEastAsia" w:hAnsiTheme="minorEastAsia" w:eastAsiaTheme="minorEastAsia"/>
          <w:color w:val="121212"/>
          <w:sz w:val="32"/>
          <w:szCs w:val="32"/>
          <w:shd w:val="clear" w:color="auto" w:fill="FFFFFF"/>
        </w:rPr>
        <w:t>2、绩效评价工作缺乏法律性约束和制度保障</w:t>
      </w:r>
    </w:p>
    <w:p>
      <w:pPr>
        <w:spacing w:line="70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color w:val="121212"/>
          <w:sz w:val="32"/>
          <w:szCs w:val="32"/>
          <w:shd w:val="clear" w:color="auto" w:fill="FFFFFF"/>
        </w:rPr>
        <w:t>财政资金绩效评价工作要取得实效，必须得到立法支持，而且要制度化、经常化。而我国公共投资部门虽然也提出要完善项目投资决策程序，对国家重点投资项目要从立项决策、竣工验收直到财政资金绩效评价，实行全过程管理，但迄今尚未出台全国统一的有关财政资金绩效评价工作的法律法规，使我国财政资金绩效评价工作缺乏法律约束和制度保障。</w:t>
      </w:r>
    </w:p>
    <w:p>
      <w:pPr>
        <w:spacing w:line="560" w:lineRule="exact"/>
        <w:ind w:firstLine="640" w:firstLineChars="200"/>
        <w:jc w:val="left"/>
        <w:rPr>
          <w:rFonts w:eastAsia="仿宋_GB2312"/>
          <w:sz w:val="32"/>
          <w:szCs w:val="32"/>
        </w:rPr>
      </w:pPr>
      <w:r>
        <w:rPr>
          <w:rFonts w:eastAsia="仿宋_GB2312"/>
          <w:sz w:val="32"/>
          <w:szCs w:val="32"/>
        </w:rPr>
        <w:t>四、提高财政资金绩效的措施与建议</w:t>
      </w:r>
    </w:p>
    <w:p>
      <w:pPr>
        <w:spacing w:line="560" w:lineRule="exact"/>
        <w:ind w:firstLine="640" w:firstLineChars="200"/>
        <w:jc w:val="left"/>
        <w:rPr>
          <w:rFonts w:asciiTheme="minorEastAsia" w:hAnsiTheme="minorEastAsia" w:eastAsiaTheme="minorEastAsia"/>
          <w:sz w:val="32"/>
          <w:szCs w:val="32"/>
        </w:rPr>
      </w:pPr>
      <w:r>
        <w:rPr>
          <w:rFonts w:asciiTheme="minorEastAsia" w:hAnsiTheme="minorEastAsia" w:eastAsiaTheme="minorEastAsia"/>
          <w:sz w:val="32"/>
          <w:szCs w:val="32"/>
        </w:rPr>
        <w:t>针对存在的问题及有关情况，提出下一步提高</w:t>
      </w:r>
      <w:r>
        <w:rPr>
          <w:rFonts w:hint="eastAsia" w:asciiTheme="minorEastAsia" w:hAnsiTheme="minorEastAsia" w:eastAsiaTheme="minorEastAsia"/>
          <w:sz w:val="32"/>
          <w:szCs w:val="32"/>
        </w:rPr>
        <w:t>本单位</w:t>
      </w:r>
      <w:r>
        <w:rPr>
          <w:rFonts w:asciiTheme="minorEastAsia" w:hAnsiTheme="minorEastAsia" w:eastAsiaTheme="minorEastAsia"/>
          <w:sz w:val="32"/>
          <w:szCs w:val="32"/>
        </w:rPr>
        <w:t>财政资金使用绩效的措施与建议</w:t>
      </w:r>
      <w:r>
        <w:rPr>
          <w:rFonts w:hint="eastAsia" w:asciiTheme="minorEastAsia" w:hAnsiTheme="minorEastAsia" w:eastAsiaTheme="minorEastAsia"/>
          <w:sz w:val="32"/>
          <w:szCs w:val="32"/>
        </w:rPr>
        <w:t>：建立健全的财政支出绩效评价体系。进行财政支出绩效评价，最终目的是为了提高财政支出效益，因此财政支出绩效评价体系还必须包括绩效评价信息反馈制度、激励机制和奖惩制度等内容。一方面通过绩效评价信息反馈制度及时了解各项目的实施情况和实施效果；另一方面通过建立激励机制和奖惩制度，改变现行预算制度只重视资金分配、不重视资金使用的状况。首先，把对项目预期目标的绩效评价结果作为预算编制和批复的重要依据，从源头上控制没有绩效和低绩效的项目；其次，实现财政预算管理上的两个转变，即预算拨款由传统的按预算拨款转为按绩效拨款，从过去对预算的重过程管理转变为重结果管理；第三，将本年度绩效评价的结果作为下年度预算安排的重要依据。</w:t>
      </w:r>
    </w:p>
    <w:p>
      <w:pPr>
        <w:spacing w:line="560" w:lineRule="exact"/>
        <w:ind w:firstLine="640" w:firstLineChars="200"/>
        <w:jc w:val="left"/>
        <w:rPr>
          <w:rFonts w:eastAsia="仿宋_GB2312"/>
          <w:sz w:val="32"/>
          <w:szCs w:val="32"/>
        </w:rPr>
      </w:pPr>
      <w:r>
        <w:rPr>
          <w:rFonts w:eastAsia="仿宋_GB2312"/>
          <w:sz w:val="32"/>
          <w:szCs w:val="32"/>
        </w:rPr>
        <w:t>五、附件（佐证依据）</w:t>
      </w:r>
    </w:p>
    <w:p>
      <w:pPr>
        <w:spacing w:line="560" w:lineRule="exact"/>
        <w:ind w:firstLine="640" w:firstLineChars="200"/>
        <w:jc w:val="left"/>
        <w:rPr>
          <w:rFonts w:asciiTheme="minorEastAsia" w:hAnsiTheme="minorEastAsia" w:eastAsiaTheme="minorEastAsia"/>
          <w:sz w:val="32"/>
          <w:szCs w:val="32"/>
        </w:rPr>
      </w:pPr>
      <w:r>
        <w:rPr>
          <w:rFonts w:hint="eastAsia" w:asciiTheme="minorEastAsia" w:hAnsiTheme="minorEastAsia" w:eastAsiaTheme="minorEastAsia"/>
          <w:sz w:val="32"/>
          <w:szCs w:val="32"/>
        </w:rPr>
        <w:t>此项附件无。</w:t>
      </w:r>
    </w:p>
    <w:p>
      <w:pPr>
        <w:spacing w:line="56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rPr>
        <w:t xml:space="preserve">               </w:t>
      </w:r>
      <w:r>
        <w:rPr>
          <w:rFonts w:eastAsia="仿宋_GB2312"/>
          <w:sz w:val="32"/>
          <w:szCs w:val="32"/>
        </w:rPr>
        <w:t>部门（签章）</w:t>
      </w:r>
    </w:p>
    <w:p>
      <w:pPr>
        <w:spacing w:before="100" w:beforeAutospacing="1" w:after="100" w:afterAutospacing="1" w:line="240" w:lineRule="exact"/>
        <w:jc w:val="left"/>
        <w:rPr>
          <w:rFonts w:ascii="仿宋_GB2312" w:hAnsi="仿宋_GB2312" w:eastAsia="仿宋_GB2312" w:cs="仿宋_GB2312"/>
          <w:sz w:val="24"/>
        </w:rPr>
      </w:pPr>
      <w:r>
        <w:rPr>
          <w:rFonts w:eastAsia="仿宋_GB2312"/>
          <w:sz w:val="32"/>
          <w:szCs w:val="32"/>
        </w:rPr>
        <w:t xml:space="preserve">                                  </w:t>
      </w:r>
      <w:r>
        <w:rPr>
          <w:rFonts w:hint="eastAsia" w:eastAsia="仿宋_GB2312"/>
          <w:sz w:val="32"/>
          <w:szCs w:val="32"/>
        </w:rPr>
        <w:t xml:space="preserve">   202</w:t>
      </w:r>
      <w:r>
        <w:rPr>
          <w:rFonts w:hint="eastAsia" w:eastAsia="仿宋_GB2312"/>
          <w:sz w:val="32"/>
          <w:szCs w:val="32"/>
          <w:lang w:val="en-US" w:eastAsia="zh-CN"/>
        </w:rPr>
        <w:t>4</w:t>
      </w:r>
      <w:r>
        <w:rPr>
          <w:rFonts w:eastAsia="仿宋_GB2312"/>
          <w:sz w:val="32"/>
          <w:szCs w:val="32"/>
        </w:rPr>
        <w:t>年</w:t>
      </w:r>
      <w:r>
        <w:rPr>
          <w:rFonts w:hint="eastAsia" w:eastAsia="仿宋_GB2312"/>
          <w:sz w:val="32"/>
          <w:szCs w:val="32"/>
          <w:lang w:val="en-US" w:eastAsia="zh-CN"/>
        </w:rPr>
        <w:t>4</w:t>
      </w:r>
      <w:r>
        <w:rPr>
          <w:rFonts w:eastAsia="仿宋_GB2312"/>
          <w:sz w:val="32"/>
          <w:szCs w:val="32"/>
        </w:rPr>
        <w:t xml:space="preserve"> 月 </w:t>
      </w:r>
      <w:r>
        <w:rPr>
          <w:rFonts w:hint="eastAsia" w:eastAsia="仿宋_GB2312"/>
          <w:sz w:val="32"/>
          <w:szCs w:val="32"/>
          <w:lang w:val="en-US" w:eastAsia="zh-CN"/>
        </w:rPr>
        <w:t>18</w:t>
      </w:r>
      <w:r>
        <w:rPr>
          <w:rFonts w:eastAsia="仿宋_GB2312"/>
          <w:sz w:val="32"/>
          <w:szCs w:val="32"/>
        </w:rPr>
        <w:t>日</w:t>
      </w:r>
      <w:r>
        <w:rPr>
          <w:sz w:val="24"/>
        </w:rPr>
        <w:br w:type="page"/>
      </w: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景观亮化维护和一河两岸电费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460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346.12</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75.24</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67.2</w:t>
            </w:r>
            <w:r>
              <w:rPr>
                <w:rFonts w:hint="eastAsia" w:ascii="仿宋_GB2312" w:hAnsi="仿宋_GB2312" w:eastAsia="仿宋_GB2312" w:cs="仿宋_GB2312"/>
                <w:szCs w:val="21"/>
              </w:rPr>
              <w:t>%。根据实际情况评分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ind w:left="0" w:leftChars="0" w:firstLine="0" w:firstLineChars="0"/>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按时按量且及时支付项目费用</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美化城区环境，便利群众出行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w:t>
            </w: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val="en-US" w:eastAsia="zh-CN"/>
              </w:rPr>
              <w:t>为</w:t>
            </w:r>
            <w:r>
              <w:rPr>
                <w:rFonts w:hint="eastAsia" w:ascii="仿宋_GB2312" w:hAnsi="仿宋_GB2312" w:eastAsia="仿宋_GB2312" w:cs="仿宋_GB2312"/>
                <w:szCs w:val="21"/>
              </w:rPr>
              <w:t>：9</w:t>
            </w: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89</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rPr>
        <w:t xml:space="preserve">   </w:t>
      </w:r>
      <w:r>
        <w:rPr>
          <w:rFonts w:ascii="华文中宋" w:hAnsi="华文中宋" w:eastAsia="华文中宋"/>
          <w:szCs w:val="21"/>
        </w:rPr>
        <w:t xml:space="preserve">  项目负责人（签字）：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w:t>
      </w:r>
      <w:r>
        <w:rPr>
          <w:rFonts w:hint="eastAsia" w:ascii="华文中宋" w:hAnsi="华文中宋" w:eastAsia="华文中宋"/>
          <w:szCs w:val="21"/>
          <w:lang w:val="en-US" w:eastAsia="zh-CN"/>
        </w:rPr>
        <w:t>4</w:t>
      </w:r>
      <w:r>
        <w:rPr>
          <w:rFonts w:hint="eastAsia" w:ascii="华文中宋" w:hAnsi="华文中宋" w:eastAsia="华文中宋"/>
          <w:szCs w:val="21"/>
        </w:rPr>
        <w:t xml:space="preserve"> </w:t>
      </w:r>
      <w:r>
        <w:rPr>
          <w:rFonts w:ascii="华文中宋" w:hAnsi="华文中宋" w:eastAsia="华文中宋"/>
          <w:szCs w:val="21"/>
        </w:rPr>
        <w:t>年 </w:t>
      </w:r>
      <w:r>
        <w:rPr>
          <w:rFonts w:hint="eastAsia" w:ascii="华文中宋" w:hAnsi="华文中宋" w:eastAsia="华文中宋"/>
          <w:szCs w:val="21"/>
          <w:lang w:val="en-US" w:eastAsia="zh-CN"/>
        </w:rPr>
        <w:t>4</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附件2-3 </w:t>
      </w:r>
    </w:p>
    <w:p>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lang w:eastAsia="zh-CN"/>
        </w:rPr>
        <w:t>2023</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为保障城市整洁卫生，为市民提供良好的生活环境，县财政安排460万元的年初预算专项资金，用于景观亮化维护和一河两岸电费项目主要是用于城区景观亮化的维护费和一河两岸的电费。</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（二）项目绩效目标。</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1、保障一河两岸市政路灯亮化；</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2、保障一河两岸路灯的正常运行。</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2023年度项目绩效的绩效评价,了解2023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一河两岸市政路灯亮化电费及维护工程费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560" w:lineRule="exact"/>
        <w:ind w:firstLine="640" w:firstLineChars="200"/>
        <w:jc w:val="left"/>
        <w:rPr>
          <w:rFonts w:hint="default" w:asciiTheme="minorEastAsia" w:hAnsiTheme="minorEastAsia" w:eastAsiaTheme="minorEastAsia"/>
          <w:sz w:val="30"/>
          <w:szCs w:val="30"/>
          <w:lang w:val="en-US" w:eastAsia="zh-CN"/>
        </w:rPr>
      </w:pPr>
      <w:r>
        <w:rPr>
          <w:rFonts w:hint="eastAsia" w:ascii="仿宋_GB2312" w:eastAsia="仿宋_GB2312"/>
          <w:color w:val="000000"/>
          <w:sz w:val="32"/>
          <w:szCs w:val="32"/>
          <w:lang w:val="en-US" w:eastAsia="zh-CN"/>
        </w:rPr>
        <w:t>保障一河两岸市政路灯亮化；保障一河两岸路灯的正常运行。按时支付了相关的电费以及运行维护费用。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一河两岸的亮化美化，促进市容市貌有了很大的改变,提升了新晃县城区的城市形象。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该项目主要对一河两岸进行亮化，为辖区居民创造一个环境优美、宜居的生活及工作环境，项目的可持续性较强。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根据对我所2023年项目支出绩效评价指标体系和绩效情况的检查，2023年我局项目支出绩效自评分</w:t>
      </w:r>
      <w:r>
        <w:rPr>
          <w:rFonts w:hint="eastAsia" w:ascii="仿宋_GB2312" w:eastAsia="仿宋_GB2312"/>
          <w:color w:val="000000"/>
          <w:sz w:val="32"/>
          <w:szCs w:val="32"/>
          <w:highlight w:val="none"/>
          <w:lang w:val="en-US" w:eastAsia="zh-CN"/>
        </w:rPr>
        <w:t>89</w:t>
      </w:r>
      <w:r>
        <w:rPr>
          <w:rFonts w:hint="eastAsia" w:ascii="仿宋_GB2312" w:eastAsia="仿宋_GB2312"/>
          <w:color w:val="000000"/>
          <w:sz w:val="32"/>
          <w:szCs w:val="32"/>
          <w:lang w:val="en-US" w:eastAsia="zh-CN"/>
        </w:rPr>
        <w:t>分，为“良好”等级（附件2-1）。</w:t>
      </w:r>
    </w:p>
    <w:p>
      <w:pPr>
        <w:numPr>
          <w:ilvl w:val="0"/>
          <w:numId w:val="1"/>
        </w:numPr>
        <w:spacing w:line="560" w:lineRule="exact"/>
        <w:ind w:firstLine="602" w:firstLine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通过执行县委政府的安排，财政预算460万元用于该项目的实施，最终据实结算相关费用支出。同时监督相关部门保质保量完成设施的正常运转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1、保障一河两岸路灯的改造大于等于100盏。</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2、路灯亮灯率（一）项目决策情况。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通过执行县委县政府的决策安排，我局安排专人对该项目进行管理和监督，保障该项目能够顺利实施。</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1、一河两岸路灯的改造≧100盏。</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2、一河两岸路灯亮化率≧95%。</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3、产生的电费以及运行维护费资金拨付按时按量。</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4、整个项目成本控制在460万元以内。</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通过对该项目的运行，使城区居民有了更美好的居住环境。美化城市周边环境，方便居民夜间出行。该项目能持续运行，能发挥较大作用。通过问卷调查，社会公众满意度≧95%。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40" w:firstLineChars="200"/>
        <w:jc w:val="left"/>
        <w:rPr>
          <w:rFonts w:asciiTheme="minorEastAsia" w:hAnsiTheme="minorEastAsia" w:eastAsiaTheme="minorEastAsia"/>
          <w:b/>
          <w:bCs/>
          <w:sz w:val="30"/>
          <w:szCs w:val="30"/>
        </w:rPr>
      </w:pPr>
      <w:r>
        <w:rPr>
          <w:rFonts w:hint="eastAsia" w:ascii="仿宋_GB2312" w:eastAsia="仿宋_GB2312"/>
          <w:color w:val="000000"/>
          <w:sz w:val="32"/>
          <w:szCs w:val="32"/>
          <w:lang w:val="en-US" w:eastAsia="zh-CN"/>
        </w:rPr>
        <w:t>城市景观亮化应该以人文本，照明设计应成为解读城市、明晰城市空间结构的视觉引导；照明工程的建设定位和建设步骤都应该与政策相匹配；照明工程的运营维护要符合节能标准，在满足照明效果的前提下，合理利用每一份能源，降低能耗和成本。</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hint="eastAsia"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pStyle w:val="5"/>
        <w:widowControl w:val="0"/>
        <w:spacing w:before="0" w:beforeAutospacing="0" w:after="0" w:afterAutospacing="0" w:line="520" w:lineRule="exact"/>
        <w:rPr>
          <w:rFonts w:hint="eastAsia" w:cs="Times New Roman" w:asciiTheme="minorEastAsia" w:hAnsiTheme="minorEastAsia" w:eastAsiaTheme="minorEastAsia"/>
          <w:sz w:val="30"/>
          <w:szCs w:val="30"/>
        </w:rPr>
      </w:pP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pPr>
        <w:ind w:right="600"/>
        <w:jc w:val="right"/>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lang w:val="en-US" w:eastAsia="zh-CN"/>
        </w:rPr>
        <w:t>4</w:t>
      </w:r>
      <w:r>
        <w:rPr>
          <w:rFonts w:asciiTheme="minorEastAsia" w:hAnsiTheme="minorEastAsia" w:eastAsiaTheme="minorEastAsia"/>
          <w:sz w:val="30"/>
          <w:szCs w:val="30"/>
        </w:rPr>
        <w:t xml:space="preserve"> 月 </w:t>
      </w:r>
      <w:r>
        <w:rPr>
          <w:rFonts w:hint="eastAsia" w:asciiTheme="minorEastAsia" w:hAnsiTheme="minorEastAsia" w:eastAsiaTheme="minorEastAsia"/>
          <w:sz w:val="30"/>
          <w:szCs w:val="30"/>
          <w:lang w:val="en-US" w:eastAsia="zh-CN"/>
        </w:rPr>
        <w:t>18</w:t>
      </w:r>
      <w:r>
        <w:rPr>
          <w:rFonts w:asciiTheme="minorEastAsia" w:hAnsiTheme="minorEastAsia" w:eastAsiaTheme="minorEastAsia"/>
          <w:sz w:val="30"/>
          <w:szCs w:val="30"/>
        </w:rPr>
        <w:t xml:space="preserve"> 日</w:t>
      </w: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ind w:right="600"/>
        <w:jc w:val="right"/>
        <w:rPr>
          <w:rFonts w:asciiTheme="minorEastAsia" w:hAnsiTheme="minorEastAsia" w:eastAsiaTheme="minorEastAsia"/>
          <w:sz w:val="30"/>
          <w:szCs w:val="30"/>
        </w:rPr>
      </w:pPr>
    </w:p>
    <w:p>
      <w:pPr>
        <w:spacing w:before="100" w:beforeAutospacing="1" w:after="100" w:afterAutospacing="1" w:line="240" w:lineRule="exact"/>
        <w:ind w:left="0"/>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城市维护费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r>
              <w:rPr>
                <w:rFonts w:hint="eastAsia" w:ascii="仿宋_GB2312" w:hAnsi="仿宋_GB2312" w:eastAsia="仿宋_GB2312" w:cs="仿宋_GB2312"/>
                <w:szCs w:val="21"/>
                <w:lang w:val="en-US" w:eastAsia="zh-CN"/>
              </w:rPr>
              <w:t>7</w:t>
            </w:r>
            <w:r>
              <w:rPr>
                <w:rFonts w:hint="eastAsia" w:ascii="仿宋_GB2312" w:hAnsi="仿宋_GB2312" w:eastAsia="仿宋_GB2312" w:cs="仿宋_GB2312"/>
                <w:szCs w:val="21"/>
              </w:rPr>
              <w:t>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170</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及时对城市里的各项设施进行维护，且项目款按时支付</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美化城市，维护公共设施的安全，便利群众生产生活</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86</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w:t>
      </w:r>
      <w:r>
        <w:rPr>
          <w:rFonts w:hint="eastAsia" w:ascii="华文中宋" w:hAnsi="华文中宋" w:eastAsia="华文中宋"/>
          <w:szCs w:val="21"/>
          <w:lang w:val="en-US" w:eastAsia="zh-CN"/>
        </w:rPr>
        <w:t>4</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4</w:t>
      </w:r>
      <w:r>
        <w:rPr>
          <w:rFonts w:ascii="华文中宋" w:hAnsi="华文中宋" w:eastAsia="华文中宋"/>
          <w:szCs w:val="21"/>
        </w:rPr>
        <w:t xml:space="preserve"> 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ind w:left="0"/>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附件2-3 </w:t>
      </w:r>
    </w:p>
    <w:p>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lang w:eastAsia="zh-CN"/>
        </w:rPr>
        <w:t>2023</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城市维护费项目主要是城区内市政维修。为保障该项目的正常实施，财政预算安排金额为170万元。</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1、对出现破损的市政设施进行修复，保证市政设施正常运作；2、提供市民良好的出行环境。</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2023年度项目绩效的绩效评价,了解2023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城市维护费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560" w:lineRule="exact"/>
        <w:ind w:firstLine="640" w:firstLineChars="200"/>
        <w:jc w:val="left"/>
        <w:rPr>
          <w:rFonts w:hint="default" w:asciiTheme="minorEastAsia" w:hAnsiTheme="minorEastAsia" w:eastAsiaTheme="minorEastAsia"/>
          <w:sz w:val="30"/>
          <w:szCs w:val="30"/>
          <w:lang w:val="en-US" w:eastAsia="zh-CN"/>
        </w:rPr>
      </w:pPr>
      <w:r>
        <w:rPr>
          <w:rFonts w:hint="eastAsia" w:ascii="仿宋_GB2312" w:eastAsia="仿宋_GB2312"/>
          <w:color w:val="000000"/>
          <w:sz w:val="32"/>
          <w:szCs w:val="32"/>
          <w:lang w:val="en-US" w:eastAsia="zh-CN"/>
        </w:rPr>
        <w:t>1、对出现破损的市政设施进行修复，保证市政设施正常运作；2、提供市民良好的出行环境。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促进市容市貌有了很大的改变,提升了新晃县城区的城市形象，给市民出行提供了良好环境。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该项目为辖区居民创造一个良好的出行环境和生活环境，项目的可持续性较强。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86</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通过执行县委政府的安排，财政预算170万元用于该项目的实施，最终据实结算相关费用支出。同时监督相关部门保质保量完成设施的正常运转。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1、对全城区的各项市政设施进行维护。</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2、路灯亮灯率；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3、各项设施维修合格率以及及时率达100%；</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4、全年的资金控制在170万元以内。</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通过对该项目的运行，使城区居民有了更美好的居住环境。美化城市周边环境，市政设施对市民产生的投诉率明显降低。该项目能持续运行，能发挥较大作用。通过问卷调查，社会公众满意度≧95%。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Arial" w:asciiTheme="minorEastAsia" w:hAnsiTheme="minorEastAsia" w:eastAsiaTheme="minorEastAsia"/>
          <w:color w:val="191919"/>
          <w:sz w:val="30"/>
          <w:szCs w:val="30"/>
          <w:shd w:val="clear" w:color="auto" w:fill="FFFFFF"/>
        </w:rPr>
        <w:t>城市的维护在人们的出行中起着举足轻重的作用，加强对市政监督，对人行道无破损、桥梁设施无安全隐患等全面精细化管理。</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pPr>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w:t>
      </w:r>
      <w:r>
        <w:rPr>
          <w:rFonts w:hint="eastAsia" w:asciiTheme="minorEastAsia" w:hAnsiTheme="minorEastAsia" w:eastAsiaTheme="minorEastAsia"/>
          <w:sz w:val="30"/>
          <w:szCs w:val="30"/>
          <w:lang w:val="en-US" w:eastAsia="zh-CN"/>
        </w:rPr>
        <w:t>4</w:t>
      </w:r>
      <w:r>
        <w:rPr>
          <w:rFonts w:asciiTheme="minorEastAsia" w:hAnsiTheme="minorEastAsia" w:eastAsiaTheme="minorEastAsia"/>
          <w:sz w:val="30"/>
          <w:szCs w:val="30"/>
        </w:rPr>
        <w:t>年</w:t>
      </w:r>
      <w:r>
        <w:rPr>
          <w:rFonts w:hint="eastAsia" w:asciiTheme="minorEastAsia" w:hAnsiTheme="minorEastAsia" w:eastAsiaTheme="minorEastAsia"/>
          <w:sz w:val="30"/>
          <w:szCs w:val="30"/>
          <w:lang w:val="en-US" w:eastAsia="zh-CN"/>
        </w:rPr>
        <w:t>4</w:t>
      </w:r>
      <w:r>
        <w:rPr>
          <w:rFonts w:asciiTheme="minorEastAsia" w:hAnsiTheme="minorEastAsia" w:eastAsiaTheme="minorEastAsia"/>
          <w:sz w:val="30"/>
          <w:szCs w:val="30"/>
        </w:rPr>
        <w:t>月</w:t>
      </w:r>
      <w:r>
        <w:rPr>
          <w:rFonts w:hint="eastAsia" w:asciiTheme="minorEastAsia" w:hAnsiTheme="minorEastAsia" w:eastAsiaTheme="minorEastAsia"/>
          <w:sz w:val="30"/>
          <w:szCs w:val="30"/>
          <w:lang w:val="en-US" w:eastAsia="zh-CN"/>
        </w:rPr>
        <w:t>18</w:t>
      </w:r>
      <w:r>
        <w:rPr>
          <w:rFonts w:asciiTheme="minorEastAsia" w:hAnsiTheme="minorEastAsia" w:eastAsiaTheme="minorEastAsia"/>
          <w:sz w:val="30"/>
          <w:szCs w:val="30"/>
        </w:rPr>
        <w:t>日</w:t>
      </w: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餐厨垃圾收集处理服务费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按产出数量、产出质量、产出时效以及成本控制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及时对产生的餐厨拦击进行收集和处理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优化城区环境，便利群众生产生活</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w:t>
      </w:r>
      <w:r>
        <w:rPr>
          <w:rFonts w:hint="eastAsia" w:ascii="华文中宋" w:hAnsi="华文中宋" w:eastAsia="华文中宋"/>
          <w:szCs w:val="21"/>
          <w:lang w:val="en-US" w:eastAsia="zh-CN"/>
        </w:rPr>
        <w:t>4</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4月18</w:t>
      </w:r>
      <w:r>
        <w:rPr>
          <w:rFonts w:ascii="华文中宋" w:hAnsi="华文中宋" w:eastAsia="华文中宋"/>
          <w:szCs w:val="21"/>
        </w:rPr>
        <w:t>日</w:t>
      </w:r>
    </w:p>
    <w:p>
      <w:pPr>
        <w:spacing w:before="240" w:line="340" w:lineRule="exact"/>
        <w:ind w:left="0"/>
        <w:jc w:val="left"/>
        <w:rPr>
          <w:rFonts w:hint="eastAsia" w:ascii="仿宋_GB2312" w:hAnsi="仿宋_GB2312" w:eastAsia="仿宋_GB2312" w:cs="仿宋_GB2312"/>
          <w:sz w:val="24"/>
        </w:rPr>
      </w:pPr>
    </w:p>
    <w:p>
      <w:pPr>
        <w:spacing w:before="240" w:line="340" w:lineRule="exact"/>
        <w:ind w:left="0"/>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Theme="minorEastAsia" w:hAnsiTheme="minorEastAsia" w:eastAsiaTheme="minorEastAsia"/>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餐厨垃圾收集处理服务费项目主要对县城区范围内所有从事餐饮的企业、门店、学校、单位、医院、厂矿工地及乡镇学校等产生的餐厨垃圾进行收集、密闭运输及终端无害化处理。为保障该项目的正常运行，财政预算资金100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1、为城区餐厨垃圾提供保洁服务；2、完成餐厨垃圾的清运处理。</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2023年度项目绩效的绩效评价,了解2023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城市维护费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1.为城区餐厨垃圾提供保洁服务；2.完成餐厨垃圾的清运处理.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环境卫生水平提升，促进市容市貌有了很大的改变,提升了新晃县城区的城市形象。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该项目为辖区居民创造一个良好的卫生环境和生活环境，项目的可持续性较强。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88</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通过执行县委政府的安排，财政预算100万元用于该项目的实施，最终据实结算相关费用支出。同时我局安排专人监督相关部门保质保量完成该项目的正常运转。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1、对全城区的餐厨垃圾转运量达10吨每天。</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2、全年每天都正常的及时转运并处理；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3、餐厨垃圾处置质量达标；</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4、全年的资金控制在100万元以内。</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促进了社会就业和增收，使城区居民有了更美好的居住环境。美化城市周边环境，空气质量、水的质量率提升。市政设施对市民产生的投诉率明显降低。该项目能持续运行，对生态环境能发挥较大作用。通过问卷调查，社会公众满意度≧90%。</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40" w:firstLineChars="200"/>
        <w:jc w:val="left"/>
        <w:rPr>
          <w:rFonts w:hint="default" w:asciiTheme="minorEastAsia" w:hAnsiTheme="minorEastAsia" w:eastAsiaTheme="minorEastAsia"/>
          <w:b/>
          <w:bCs/>
          <w:sz w:val="30"/>
          <w:szCs w:val="30"/>
          <w:lang w:val="en-US"/>
        </w:rPr>
      </w:pPr>
      <w:r>
        <w:rPr>
          <w:rFonts w:hint="eastAsia" w:ascii="仿宋_GB2312" w:eastAsia="仿宋_GB2312"/>
          <w:color w:val="000000"/>
          <w:sz w:val="32"/>
          <w:szCs w:val="32"/>
          <w:lang w:val="en-US" w:eastAsia="zh-CN"/>
        </w:rPr>
        <w:t>餐厨垃圾收集处理服务的管理只是城市环境卫生管理工作的一个方面，不完善的餐厨垃圾管理机制对城市环境卫生管理的问题存在着不利的影响。</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eastAsia" w:eastAsia="仿宋_GB2312"/>
          <w:sz w:val="28"/>
          <w:szCs w:val="28"/>
        </w:rPr>
        <w:t>202</w:t>
      </w:r>
      <w:r>
        <w:rPr>
          <w:rFonts w:hint="eastAsia" w:eastAsia="仿宋_GB2312"/>
          <w:sz w:val="28"/>
          <w:szCs w:val="28"/>
          <w:lang w:val="en-US" w:eastAsia="zh-CN"/>
        </w:rPr>
        <w:t>4</w:t>
      </w:r>
      <w:r>
        <w:rPr>
          <w:rFonts w:eastAsia="仿宋_GB2312"/>
          <w:sz w:val="28"/>
          <w:szCs w:val="28"/>
        </w:rPr>
        <w:t>年</w:t>
      </w:r>
      <w:r>
        <w:rPr>
          <w:rFonts w:hint="eastAsia" w:eastAsia="仿宋_GB2312"/>
          <w:sz w:val="28"/>
          <w:szCs w:val="28"/>
          <w:lang w:val="en-US" w:eastAsia="zh-CN"/>
        </w:rPr>
        <w:t>4</w:t>
      </w:r>
      <w:r>
        <w:rPr>
          <w:rFonts w:eastAsia="仿宋_GB2312"/>
          <w:sz w:val="28"/>
          <w:szCs w:val="28"/>
        </w:rPr>
        <w:t>月</w:t>
      </w:r>
      <w:r>
        <w:rPr>
          <w:rFonts w:hint="eastAsia" w:eastAsia="仿宋_GB2312"/>
          <w:sz w:val="28"/>
          <w:szCs w:val="28"/>
          <w:lang w:val="en-US" w:eastAsia="zh-CN"/>
        </w:rPr>
        <w:t>18</w:t>
      </w:r>
      <w:r>
        <w:rPr>
          <w:rFonts w:eastAsia="仿宋_GB2312"/>
          <w:sz w:val="28"/>
          <w:szCs w:val="28"/>
        </w:rPr>
        <w:t>日</w:t>
      </w:r>
    </w:p>
    <w:p>
      <w:pPr>
        <w:ind w:firstLine="5600" w:firstLineChars="2000"/>
        <w:rPr>
          <w:rFonts w:eastAsia="仿宋_GB2312"/>
          <w:sz w:val="28"/>
          <w:szCs w:val="28"/>
        </w:rPr>
      </w:pPr>
    </w:p>
    <w:p>
      <w:pPr>
        <w:ind w:firstLine="5600" w:firstLineChars="2000"/>
        <w:rPr>
          <w:rFonts w:eastAsia="仿宋_GB2312"/>
          <w:sz w:val="28"/>
          <w:szCs w:val="28"/>
        </w:rPr>
      </w:pPr>
    </w:p>
    <w:p>
      <w:pPr>
        <w:ind w:firstLine="5600" w:firstLineChars="2000"/>
        <w:rPr>
          <w:rFonts w:eastAsia="仿宋_GB2312"/>
          <w:sz w:val="28"/>
          <w:szCs w:val="28"/>
        </w:rPr>
      </w:pPr>
    </w:p>
    <w:p>
      <w:pPr>
        <w:spacing w:before="100" w:beforeAutospacing="1" w:after="100" w:afterAutospacing="1" w:line="240" w:lineRule="exact"/>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公益性水电及城区路灯维护管养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85</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rPr>
            </w:pPr>
            <w:r>
              <w:rPr>
                <w:rFonts w:hint="eastAsia" w:ascii="仿宋_GB2312" w:hAnsi="仿宋_GB2312" w:eastAsia="仿宋_GB2312" w:cs="仿宋_GB2312"/>
                <w:szCs w:val="21"/>
                <w:lang w:val="en-US" w:eastAsia="zh-CN"/>
              </w:rPr>
              <w:t>83.45</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98.17</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96.2</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城区的公益水费及路灯维护很及时，项目款支付按时按量</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便利群里的生产生活。</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w:t>
            </w:r>
            <w:r>
              <w:rPr>
                <w:rFonts w:hint="eastAsia" w:ascii="仿宋_GB2312" w:hAnsi="仿宋_GB2312" w:eastAsia="仿宋_GB2312" w:cs="仿宋_GB2312"/>
                <w:szCs w:val="21"/>
                <w:lang w:val="en-US" w:eastAsia="zh-CN"/>
              </w:rPr>
              <w:t>5</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86</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hint="eastAsia" w:ascii="华文中宋" w:hAnsi="华文中宋" w:eastAsia="华文中宋"/>
          <w:szCs w:val="21"/>
        </w:rPr>
        <w:t>202</w:t>
      </w:r>
      <w:r>
        <w:rPr>
          <w:rFonts w:hint="eastAsia" w:ascii="华文中宋" w:hAnsi="华文中宋" w:eastAsia="华文中宋"/>
          <w:szCs w:val="21"/>
          <w:lang w:val="en-US" w:eastAsia="zh-CN"/>
        </w:rPr>
        <w:t>4</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4</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ind w:left="0"/>
        <w:jc w:val="left"/>
        <w:rPr>
          <w:rFonts w:hint="eastAsia" w:cs="仿宋_GB2312" w:asciiTheme="minorEastAsia" w:hAnsiTheme="minorEastAsia" w:eastAsiaTheme="minorEastAsia"/>
          <w:sz w:val="30"/>
          <w:szCs w:val="30"/>
        </w:rPr>
      </w:pPr>
    </w:p>
    <w:p>
      <w:pPr>
        <w:spacing w:before="240" w:line="340" w:lineRule="exact"/>
        <w:ind w:left="0"/>
        <w:jc w:val="left"/>
        <w:rPr>
          <w:rFonts w:hint="eastAsia" w:cs="仿宋_GB2312" w:asciiTheme="minorEastAsia" w:hAnsiTheme="minorEastAsia" w:eastAsiaTheme="minorEastAsia"/>
          <w:sz w:val="30"/>
          <w:szCs w:val="30"/>
        </w:rPr>
      </w:pPr>
    </w:p>
    <w:p>
      <w:pPr>
        <w:spacing w:before="240" w:line="340" w:lineRule="exact"/>
        <w:ind w:left="0"/>
        <w:jc w:val="left"/>
        <w:rPr>
          <w:rFonts w:hint="eastAsia" w:cs="仿宋_GB2312" w:asciiTheme="minorEastAsia" w:hAnsiTheme="minorEastAsia" w:eastAsiaTheme="minorEastAsia"/>
          <w:sz w:val="30"/>
          <w:szCs w:val="30"/>
        </w:rPr>
      </w:pPr>
    </w:p>
    <w:p>
      <w:pPr>
        <w:spacing w:before="240" w:line="340" w:lineRule="exact"/>
        <w:ind w:left="0"/>
        <w:jc w:val="left"/>
        <w:rPr>
          <w:rFonts w:asciiTheme="minorEastAsia" w:hAnsiTheme="minorEastAsia" w:eastAsiaTheme="minorEastAsia"/>
          <w:sz w:val="30"/>
          <w:szCs w:val="30"/>
        </w:rPr>
      </w:pPr>
      <w:r>
        <w:rPr>
          <w:rFonts w:hint="eastAsia" w:cs="仿宋_GB2312" w:asciiTheme="minorEastAsia" w:hAnsiTheme="minorEastAsia" w:eastAsiaTheme="minorEastAsia"/>
          <w:sz w:val="30"/>
          <w:szCs w:val="30"/>
        </w:rPr>
        <w:t>附件2-3 </w:t>
      </w:r>
    </w:p>
    <w:p>
      <w:pPr>
        <w:spacing w:line="600" w:lineRule="exact"/>
        <w:jc w:val="center"/>
        <w:rPr>
          <w:rFonts w:asciiTheme="minorEastAsia" w:hAnsiTheme="minorEastAsia" w:eastAsiaTheme="minorEastAsia"/>
          <w:w w:val="85"/>
          <w:sz w:val="30"/>
          <w:szCs w:val="30"/>
        </w:rPr>
      </w:pPr>
      <w:r>
        <w:rPr>
          <w:rFonts w:asciiTheme="minorEastAsia" w:hAnsiTheme="minorEastAsia" w:eastAsiaTheme="minorEastAsia"/>
          <w:w w:val="85"/>
          <w:sz w:val="30"/>
          <w:szCs w:val="30"/>
        </w:rPr>
        <w:t> </w:t>
      </w:r>
      <w:r>
        <w:rPr>
          <w:rFonts w:hint="eastAsia" w:asciiTheme="minorEastAsia" w:hAnsiTheme="minorEastAsia" w:eastAsiaTheme="minorEastAsia"/>
          <w:w w:val="85"/>
          <w:sz w:val="30"/>
          <w:szCs w:val="30"/>
          <w:lang w:eastAsia="zh-CN"/>
        </w:rPr>
        <w:t>2023</w:t>
      </w:r>
      <w:r>
        <w:rPr>
          <w:rFonts w:asciiTheme="minorEastAsia" w:hAnsiTheme="minorEastAsia" w:eastAsiaTheme="minorEastAsia"/>
          <w:w w:val="85"/>
          <w:sz w:val="30"/>
          <w:szCs w:val="30"/>
        </w:rPr>
        <w:t>年度新晃县</w:t>
      </w:r>
      <w:r>
        <w:rPr>
          <w:rFonts w:hint="eastAsia" w:asciiTheme="minorEastAsia" w:hAnsiTheme="minorEastAsia" w:eastAsiaTheme="minorEastAsia"/>
          <w:w w:val="85"/>
          <w:sz w:val="30"/>
          <w:szCs w:val="30"/>
        </w:rPr>
        <w:t>项目</w:t>
      </w:r>
      <w:r>
        <w:rPr>
          <w:rFonts w:asciiTheme="minorEastAsia" w:hAnsiTheme="minorEastAsia" w:eastAsiaTheme="minorEastAsia"/>
          <w:w w:val="85"/>
          <w:sz w:val="30"/>
          <w:szCs w:val="30"/>
        </w:rPr>
        <w:t>支出</w:t>
      </w:r>
      <w:r>
        <w:rPr>
          <w:rFonts w:hint="eastAsia" w:asciiTheme="minorEastAsia" w:hAnsiTheme="minorEastAsia" w:eastAsiaTheme="minorEastAsia"/>
          <w:w w:val="85"/>
          <w:sz w:val="30"/>
          <w:szCs w:val="30"/>
        </w:rPr>
        <w:t>绩效</w:t>
      </w:r>
      <w:r>
        <w:rPr>
          <w:rFonts w:asciiTheme="minorEastAsia" w:hAnsiTheme="minorEastAsia" w:eastAsiaTheme="minorEastAsia"/>
          <w:w w:val="85"/>
          <w:sz w:val="30"/>
          <w:szCs w:val="30"/>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Theme="minorEastAsia" w:hAnsiTheme="minorEastAsia" w:eastAsiaTheme="minorEastAsia"/>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公益性水电及城区路灯维护管养项目主要用于保障城市公益水电和城区路灯维护正常运行。</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color w:val="000000"/>
          <w:sz w:val="32"/>
          <w:szCs w:val="32"/>
          <w:lang w:val="en-US" w:eastAsia="zh-CN"/>
        </w:rPr>
        <w:t>主要用于保障城市公益水电和城区路灯维护正常运行。</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2023年度项目绩效的绩效评价,了解2023年度该项目经费的来源、使用和管理情况，项目的组织实施及事后的监督情况;评价该项目经费使用是否达到预期目标,总结经验,分析问题,强化该项目经费的管理,为以后该项目经费管理和预算安排提供参考依据。同时，及时总结经验，分析存在的问题，采取切实措施进一步改进和增强财政支出项目管理，切实提高资金使用效益。</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公益性水电及城区路灯维护管养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保障城市公益水电和城区路灯正常运行。</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保障了城市公益水电和城区路灯正常运行，促进市容市貌有了很大的改变,提升了新晃县城区的城市形象。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该项目为辖区居民创造一个良好社会生活环境，项目的可持续性较强。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86</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通过执行县委政府的安排，财政预算85万元用于该项目的实施，最终据实结算相关费用支出。同时我局安排专人监督相关部门保质保量完成该项目的正常运转。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1、路灯电费和用水量使用率≧98%。</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2、保障路灯亮灯率≧95%；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3、全年的资金控制在85万元以内且及时拨付到位。</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通过对该项目的运行，保障城市水电正常运行率≧98%，使城区居民有了更美好的居住环境。该项目能持续运行，对市民的生产生活能发挥较大作用。通过问卷调查，社会公众满意度≧95%。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hint="eastAsia"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pStyle w:val="5"/>
        <w:widowControl w:val="0"/>
        <w:spacing w:before="0" w:beforeAutospacing="0" w:after="0" w:afterAutospacing="0" w:line="520" w:lineRule="exact"/>
        <w:ind w:firstLine="600" w:firstLineChars="200"/>
        <w:rPr>
          <w:rFonts w:hint="eastAsia" w:cs="Times New Roman" w:asciiTheme="minorEastAsia" w:hAnsiTheme="minorEastAsia" w:eastAsiaTheme="minorEastAsia"/>
          <w:sz w:val="30"/>
          <w:szCs w:val="30"/>
        </w:rPr>
      </w:pP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p>
    <w:p>
      <w:pPr>
        <w:ind w:left="8400" w:hanging="8400" w:hangingChars="2800"/>
        <w:rPr>
          <w:rFonts w:asciiTheme="minorEastAsia" w:hAnsiTheme="minorEastAsia" w:eastAsiaTheme="minorEastAsia"/>
          <w:sz w:val="30"/>
          <w:szCs w:val="30"/>
        </w:rPr>
      </w:pP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szCs w:val="30"/>
        </w:rPr>
        <w:t xml:space="preserve">项目单位（签）                        </w:t>
      </w:r>
    </w:p>
    <w:p>
      <w:pPr>
        <w:jc w:val="right"/>
        <w:rPr>
          <w:rFonts w:asciiTheme="minorEastAsia" w:hAnsiTheme="minorEastAsia" w:eastAsiaTheme="minorEastAsia"/>
          <w:sz w:val="30"/>
          <w:szCs w:val="30"/>
        </w:rPr>
      </w:pPr>
      <w:r>
        <w:rPr>
          <w:rFonts w:hint="eastAsia" w:asciiTheme="minorEastAsia" w:hAnsiTheme="minorEastAsia" w:eastAsiaTheme="minorEastAsia"/>
          <w:sz w:val="30"/>
          <w:szCs w:val="30"/>
        </w:rPr>
        <w:t>202</w:t>
      </w:r>
      <w:r>
        <w:rPr>
          <w:rFonts w:hint="eastAsia" w:asciiTheme="minorEastAsia" w:hAnsiTheme="minorEastAsia" w:eastAsiaTheme="minorEastAsia"/>
          <w:sz w:val="30"/>
          <w:szCs w:val="30"/>
          <w:lang w:val="en-US" w:eastAsia="zh-CN"/>
        </w:rPr>
        <w:t>4</w:t>
      </w:r>
      <w:r>
        <w:rPr>
          <w:rFonts w:asciiTheme="minorEastAsia" w:hAnsiTheme="minorEastAsia" w:eastAsiaTheme="minorEastAsia"/>
          <w:sz w:val="30"/>
          <w:szCs w:val="30"/>
        </w:rPr>
        <w:t>年</w:t>
      </w:r>
      <w:r>
        <w:rPr>
          <w:rFonts w:hint="eastAsia" w:asciiTheme="minorEastAsia" w:hAnsiTheme="minorEastAsia" w:eastAsiaTheme="minorEastAsia"/>
          <w:sz w:val="30"/>
          <w:szCs w:val="30"/>
          <w:lang w:val="en-US" w:eastAsia="zh-CN"/>
        </w:rPr>
        <w:t>4</w:t>
      </w:r>
      <w:r>
        <w:rPr>
          <w:rFonts w:asciiTheme="minorEastAsia" w:hAnsiTheme="minorEastAsia" w:eastAsiaTheme="minorEastAsia"/>
          <w:sz w:val="30"/>
          <w:szCs w:val="30"/>
        </w:rPr>
        <w:t>月</w:t>
      </w:r>
      <w:r>
        <w:rPr>
          <w:rFonts w:hint="eastAsia" w:asciiTheme="minorEastAsia" w:hAnsiTheme="minorEastAsia" w:eastAsiaTheme="minorEastAsia"/>
          <w:sz w:val="30"/>
          <w:szCs w:val="30"/>
          <w:lang w:val="en-US" w:eastAsia="zh-CN"/>
        </w:rPr>
        <w:t>18</w:t>
      </w:r>
      <w:r>
        <w:rPr>
          <w:rFonts w:asciiTheme="minorEastAsia" w:hAnsiTheme="minorEastAsia" w:eastAsiaTheme="minorEastAsia"/>
          <w:sz w:val="30"/>
          <w:szCs w:val="30"/>
        </w:rPr>
        <w:t>日</w:t>
      </w: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hint="eastAsia" w:ascii="仿宋_GB2312" w:hAnsi="仿宋_GB2312" w:eastAsia="仿宋_GB2312" w:cs="仿宋_GB2312"/>
          <w:sz w:val="24"/>
        </w:rPr>
      </w:pPr>
    </w:p>
    <w:p>
      <w:pPr>
        <w:spacing w:before="100" w:beforeAutospacing="1" w:after="100" w:afterAutospacing="1" w:line="240" w:lineRule="exact"/>
        <w:ind w:left="0" w:leftChars="0" w:firstLine="0" w:firstLineChars="0"/>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春节城区喜庆美化、亮化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对城区各个地方进行美化亮化，打造一个靓丽的城市</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烘托“祥和、喜庆、欢快”的节日氛围</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w:t>
            </w:r>
            <w:r>
              <w:rPr>
                <w:rFonts w:hint="eastAsia" w:ascii="仿宋_GB2312" w:hAnsi="仿宋_GB2312" w:eastAsia="仿宋_GB2312" w:cs="仿宋_GB2312"/>
                <w:szCs w:val="21"/>
                <w:lang w:val="en-US" w:eastAsia="zh-CN"/>
              </w:rPr>
              <w:t>8</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88</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hint="eastAsia" w:ascii="宋体" w:hAnsi="宋体" w:cs="宋体"/>
          <w:szCs w:val="21"/>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lang w:eastAsia="zh-CN"/>
        </w:rPr>
        <w:t>202</w:t>
      </w:r>
      <w:r>
        <w:rPr>
          <w:rFonts w:hint="eastAsia" w:ascii="华文中宋" w:hAnsi="华文中宋" w:eastAsia="华文中宋"/>
          <w:szCs w:val="21"/>
          <w:lang w:val="en-US" w:eastAsia="zh-CN"/>
        </w:rPr>
        <w:t>4</w:t>
      </w:r>
      <w:r>
        <w:rPr>
          <w:rFonts w:hint="eastAsia" w:ascii="华文中宋" w:hAnsi="华文中宋" w:eastAsia="华文中宋"/>
          <w:szCs w:val="21"/>
        </w:rPr>
        <w:t xml:space="preserve"> </w:t>
      </w:r>
      <w:r>
        <w:rPr>
          <w:rFonts w:ascii="华文中宋" w:hAnsi="华文中宋" w:eastAsia="华文中宋"/>
          <w:szCs w:val="21"/>
        </w:rPr>
        <w:t>年</w:t>
      </w:r>
      <w:r>
        <w:rPr>
          <w:rFonts w:hint="eastAsia" w:ascii="华文中宋" w:hAnsi="华文中宋" w:eastAsia="华文中宋"/>
          <w:szCs w:val="21"/>
          <w:lang w:val="en-US" w:eastAsia="zh-CN"/>
        </w:rPr>
        <w:t>4</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日</w:t>
      </w:r>
    </w:p>
    <w:p>
      <w:pPr>
        <w:spacing w:before="240" w:line="340" w:lineRule="exact"/>
        <w:ind w:left="0"/>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560" w:lineRule="exact"/>
        <w:ind w:firstLine="600" w:firstLineChars="200"/>
        <w:jc w:val="left"/>
        <w:rPr>
          <w:rFonts w:asciiTheme="minorEastAsia" w:hAnsiTheme="minorEastAsia" w:eastAsiaTheme="minorEastAsia"/>
          <w:sz w:val="30"/>
          <w:szCs w:val="30"/>
        </w:rPr>
      </w:pPr>
      <w:r>
        <w:rPr>
          <w:rFonts w:hint="eastAsia" w:asciiTheme="minorEastAsia" w:hAnsiTheme="minorEastAsia" w:eastAsiaTheme="minorEastAsia"/>
          <w:sz w:val="30"/>
          <w:szCs w:val="30"/>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春节城区喜庆美化、亮化项目主要是春节氛围营造主题将围绕“大气、雅致、热烈、节俭”四项原则，以大红或金黄色为主色调，突出“传统、文化、时代、区域”四大元素，充分体现新晃地域文化，烘托“祥和、喜庆、欢快”的节日氛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为弘扬传统春节文化，给广大群众营造一个喜庆、祥和的节日气氛，我局将通过美化亮化环境，打造喜庆城市形象。</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弘扬传统春节文化，给广大群众营造一个喜庆、祥和的节日气氛，我局将通过美化亮化环境，打造喜庆城市形象。2023年春节城区喜庆美化、亮化项目支出30万元，春节城区喜庆美化、亮化项目预算经费30万元，完成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春节城区喜庆美化、亮化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春节氛围营造主题将围绕“大气、雅致、热烈、节俭”四项原则，以大红或金黄色为主色调，突出“传统、文化、时代、区域”四大元素，充分体现新晃地域文化，烘托“祥和、喜庆、欢快”的节日氛围。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促进市容市貌有了很大的改变,提升了新晃县城区的城市形象。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88</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通过执行县委政府的安排，财政预算30万元用于该项目的实施，最终据实结算相关费用支出。同时我局安排专人监督相关部门保质保量完成该项目的正常运转。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1、按要求完成城市氛围营造任务≧95%；</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2、各个子项目达到验收要求标准≧95%；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3、项目已经保质保量的在春节前完成；</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3、项目的资金控制在30万元以内且及时拨付到位。</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对该项目的运行，弘扬传统春节文化，给广大群众营造一个喜庆、祥和的节日气氛，我局将通过美化亮化环境，打造喜庆城市形象。该项目能持续运行，对市民的生产生活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eastAsia" w:eastAsia="仿宋_GB2312"/>
          <w:sz w:val="28"/>
          <w:szCs w:val="28"/>
        </w:rPr>
        <w:t>202</w:t>
      </w:r>
      <w:r>
        <w:rPr>
          <w:rFonts w:hint="eastAsia" w:eastAsia="仿宋_GB2312"/>
          <w:sz w:val="28"/>
          <w:szCs w:val="28"/>
          <w:lang w:val="en-US" w:eastAsia="zh-CN"/>
        </w:rPr>
        <w:t>4</w:t>
      </w:r>
      <w:r>
        <w:rPr>
          <w:rFonts w:eastAsia="仿宋_GB2312"/>
          <w:sz w:val="28"/>
          <w:szCs w:val="28"/>
        </w:rPr>
        <w:t>年</w:t>
      </w:r>
      <w:r>
        <w:rPr>
          <w:rFonts w:hint="eastAsia" w:eastAsia="仿宋_GB2312"/>
          <w:sz w:val="28"/>
          <w:szCs w:val="28"/>
          <w:lang w:val="en-US" w:eastAsia="zh-CN"/>
        </w:rPr>
        <w:t>4</w:t>
      </w:r>
      <w:r>
        <w:rPr>
          <w:rFonts w:eastAsia="仿宋_GB2312"/>
          <w:sz w:val="28"/>
          <w:szCs w:val="28"/>
        </w:rPr>
        <w:t>月</w:t>
      </w:r>
      <w:r>
        <w:rPr>
          <w:rFonts w:hint="eastAsia" w:eastAsia="仿宋_GB2312"/>
          <w:sz w:val="28"/>
          <w:szCs w:val="28"/>
          <w:lang w:val="en-US" w:eastAsia="zh-CN"/>
        </w:rPr>
        <w:t>18</w:t>
      </w:r>
      <w:r>
        <w:rPr>
          <w:rFonts w:eastAsia="仿宋_GB2312"/>
          <w:sz w:val="28"/>
          <w:szCs w:val="28"/>
        </w:rPr>
        <w:t>日</w:t>
      </w: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老垃圾场稻田污染赔偿及治理费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城市</w:t>
            </w:r>
            <w:r>
              <w:rPr>
                <w:rFonts w:hint="eastAsia" w:ascii="仿宋_GB2312" w:hAnsi="仿宋_GB2312" w:eastAsia="仿宋_GB2312" w:cs="仿宋_GB2312"/>
                <w:szCs w:val="21"/>
                <w:lang w:val="en-US" w:eastAsia="zh-CN"/>
              </w:rPr>
              <w:t>管理和综合执法局</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吴俊达</w:t>
            </w:r>
          </w:p>
        </w:tc>
        <w:tc>
          <w:tcPr>
            <w:tcW w:w="1206"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w:t>
            </w:r>
            <w:r>
              <w:rPr>
                <w:rFonts w:hint="eastAsia" w:ascii="仿宋_GB2312" w:hAnsi="仿宋_GB2312" w:eastAsia="仿宋_GB2312" w:cs="仿宋_GB2312"/>
                <w:szCs w:val="21"/>
                <w:lang w:val="en-US" w:eastAsia="zh-CN"/>
              </w:rPr>
              <w:t>及补偿</w:t>
            </w:r>
            <w:r>
              <w:rPr>
                <w:rFonts w:hint="eastAsia" w:ascii="仿宋_GB2312" w:hAnsi="仿宋_GB2312" w:eastAsia="仿宋_GB2312" w:cs="仿宋_GB2312"/>
                <w:szCs w:val="21"/>
              </w:rPr>
              <w:t>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严格安装预算的补偿数据执行，没有拖欠和拖延支付。</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按时按量补偿到位，杜绝了群众上诉信访等情况发生。</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通过调查，受补偿群众满意度</w:t>
            </w:r>
            <w:r>
              <w:rPr>
                <w:rFonts w:hint="eastAsia" w:ascii="仿宋_GB2312" w:hAnsi="仿宋_GB2312" w:eastAsia="仿宋_GB2312" w:cs="仿宋_GB2312"/>
                <w:szCs w:val="21"/>
              </w:rPr>
              <w:t>90%。</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92</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92</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项目负责人（签字）：</w:t>
      </w:r>
      <w:r>
        <w:rPr>
          <w:rFonts w:hint="eastAsia" w:ascii="华文中宋" w:hAnsi="华文中宋" w:eastAsia="华文中宋"/>
          <w:szCs w:val="21"/>
          <w:lang w:val="en-US" w:eastAsia="zh-CN"/>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w:t>
      </w:r>
      <w:r>
        <w:rPr>
          <w:rFonts w:hint="eastAsia" w:ascii="华文中宋" w:hAnsi="华文中宋" w:eastAsia="华文中宋"/>
          <w:szCs w:val="21"/>
          <w:lang w:val="en-US" w:eastAsia="zh-CN"/>
        </w:rPr>
        <w:t>24</w:t>
      </w:r>
      <w:r>
        <w:rPr>
          <w:rFonts w:ascii="华文中宋" w:hAnsi="华文中宋" w:eastAsia="华文中宋"/>
          <w:szCs w:val="21"/>
        </w:rPr>
        <w:t>年</w:t>
      </w:r>
      <w:r>
        <w:rPr>
          <w:rFonts w:hint="eastAsia" w:ascii="华文中宋" w:hAnsi="华文中宋" w:eastAsia="华文中宋"/>
          <w:szCs w:val="21"/>
          <w:lang w:val="en-US" w:eastAsia="zh-CN"/>
        </w:rPr>
        <w:t>4</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jc w:val="left"/>
        <w:rPr>
          <w:rFonts w:hint="eastAsia" w:ascii="宋体" w:hAnsi="宋体" w:eastAsia="宋体" w:cs="仿宋_GB2312"/>
          <w:sz w:val="30"/>
          <w:szCs w:val="30"/>
        </w:rPr>
      </w:pPr>
    </w:p>
    <w:p>
      <w:pPr>
        <w:spacing w:before="240" w:line="340" w:lineRule="exact"/>
        <w:jc w:val="left"/>
        <w:rPr>
          <w:rFonts w:ascii="宋体" w:hAnsi="宋体" w:eastAsia="宋体"/>
          <w:sz w:val="30"/>
          <w:szCs w:val="30"/>
        </w:rPr>
      </w:pPr>
      <w:r>
        <w:rPr>
          <w:rFonts w:hint="eastAsia" w:ascii="宋体" w:hAnsi="宋体" w:eastAsia="宋体" w:cs="仿宋_GB2312"/>
          <w:sz w:val="30"/>
          <w:szCs w:val="30"/>
        </w:rPr>
        <w:t>附件2-3 </w:t>
      </w:r>
    </w:p>
    <w:p>
      <w:pPr>
        <w:spacing w:line="600" w:lineRule="exact"/>
        <w:jc w:val="center"/>
        <w:rPr>
          <w:rFonts w:ascii="宋体" w:hAnsi="宋体" w:eastAsia="宋体"/>
          <w:w w:val="85"/>
          <w:sz w:val="30"/>
          <w:szCs w:val="30"/>
        </w:rPr>
      </w:pPr>
      <w:r>
        <w:rPr>
          <w:rFonts w:ascii="宋体" w:hAnsi="宋体" w:eastAsia="宋体"/>
          <w:w w:val="85"/>
          <w:sz w:val="30"/>
          <w:szCs w:val="30"/>
        </w:rPr>
        <w:t> </w:t>
      </w:r>
      <w:r>
        <w:rPr>
          <w:rFonts w:hint="eastAsia" w:ascii="宋体" w:hAnsi="宋体"/>
          <w:w w:val="85"/>
          <w:sz w:val="30"/>
          <w:szCs w:val="30"/>
          <w:lang w:eastAsia="zh-CN"/>
        </w:rPr>
        <w:t>2022</w:t>
      </w:r>
      <w:r>
        <w:rPr>
          <w:rFonts w:ascii="宋体" w:hAnsi="宋体" w:eastAsia="宋体"/>
          <w:w w:val="85"/>
          <w:sz w:val="30"/>
          <w:szCs w:val="30"/>
        </w:rPr>
        <w:t>年度新晃县</w:t>
      </w:r>
      <w:r>
        <w:rPr>
          <w:rFonts w:hint="eastAsia" w:ascii="宋体" w:hAnsi="宋体" w:eastAsia="宋体"/>
          <w:w w:val="85"/>
          <w:sz w:val="30"/>
          <w:szCs w:val="30"/>
        </w:rPr>
        <w:t>项目</w:t>
      </w:r>
      <w:r>
        <w:rPr>
          <w:rFonts w:ascii="宋体" w:hAnsi="宋体" w:eastAsia="宋体"/>
          <w:w w:val="85"/>
          <w:sz w:val="30"/>
          <w:szCs w:val="30"/>
        </w:rPr>
        <w:t>支出</w:t>
      </w:r>
      <w:r>
        <w:rPr>
          <w:rFonts w:hint="eastAsia" w:ascii="宋体" w:hAnsi="宋体" w:eastAsia="宋体"/>
          <w:w w:val="85"/>
          <w:sz w:val="30"/>
          <w:szCs w:val="30"/>
        </w:rPr>
        <w:t>绩效</w:t>
      </w:r>
      <w:r>
        <w:rPr>
          <w:rFonts w:ascii="宋体" w:hAnsi="宋体" w:eastAsia="宋体"/>
          <w:w w:val="85"/>
          <w:sz w:val="30"/>
          <w:szCs w:val="30"/>
        </w:rPr>
        <w:t>自评报告</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宋体" w:hAnsi="宋体" w:eastAsia="宋体"/>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完成2023年度的老垃圾场治理和稻田污染补偿。</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受污染稻田补偿完成率100%以及周边治理情况良好。</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二、绩效评价工作开展情况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宋体" w:hAnsi="宋体" w:eastAsia="宋体"/>
          <w:sz w:val="30"/>
          <w:szCs w:val="30"/>
        </w:rPr>
        <w:t>（</w:t>
      </w: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为保障老垃圾场附近受污染稻田所属的农户不发生信访情况，积极对垃圾场周边环境进行治理，防止污染范围扩张，2023年预算安排5万元，实际支出5万元。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老垃圾场稻田污染赔偿及治理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1.保障老垃圾稻田污染赔偿到位；2.保障老垃圾场治理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老垃圾场得到有效的治理，促进城市环境有了很大的改变,提升了新晃县城区的城市形象。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92</w:t>
      </w:r>
      <w:r>
        <w:rPr>
          <w:rFonts w:hint="eastAsia" w:ascii="仿宋_GB2312" w:eastAsia="仿宋_GB2312"/>
          <w:color w:val="000000"/>
          <w:sz w:val="32"/>
          <w:szCs w:val="32"/>
          <w:lang w:val="en-US" w:eastAsia="zh-CN"/>
        </w:rPr>
        <w:t>分，为“优秀”等级（附件2-1）。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1、稻田污染赔偿率完成100%；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2、保质保量对垃圾的收集处理大于95%；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3、项目产生的各项费用的支付及时；</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3、项目的资金控制在了5万元。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通过对该项目的运行，减少垃圾对环境的影响，提升环境美丽度。该项目能持续运行，对市民的生产生活能发挥较大作用。通过问卷调查，社会公众满意度≧95%。</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五、主要经验及做法、存在的问题及原因分析</w:t>
      </w:r>
    </w:p>
    <w:p>
      <w:pPr>
        <w:spacing w:line="560" w:lineRule="exact"/>
        <w:ind w:firstLine="640" w:firstLineChars="200"/>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按时按量的补偿到位，杜绝发生群众集体信访事件发生；存在的问题：由于财政资金紧张，导致支付的时候有点延迟，已经立行整改完成。</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六、有关建议</w:t>
      </w:r>
    </w:p>
    <w:p>
      <w:pPr>
        <w:spacing w:line="560" w:lineRule="exact"/>
        <w:ind w:firstLine="600" w:firstLineChars="200"/>
        <w:jc w:val="left"/>
        <w:rPr>
          <w:rFonts w:ascii="宋体" w:hAnsi="宋体" w:eastAsia="宋体"/>
          <w:bCs/>
          <w:sz w:val="30"/>
          <w:szCs w:val="30"/>
        </w:rPr>
      </w:pPr>
      <w:r>
        <w:rPr>
          <w:rFonts w:hint="eastAsia" w:ascii="宋体" w:hAnsi="宋体" w:eastAsia="宋体"/>
          <w:bCs/>
          <w:sz w:val="30"/>
          <w:szCs w:val="30"/>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七、其他需要说明的问题</w:t>
      </w:r>
    </w:p>
    <w:p>
      <w:pPr>
        <w:pStyle w:val="5"/>
        <w:widowControl w:val="0"/>
        <w:spacing w:before="0" w:beforeAutospacing="0" w:after="0" w:afterAutospacing="0" w:line="52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无。</w:t>
      </w:r>
    </w:p>
    <w:p>
      <w:pPr>
        <w:pStyle w:val="5"/>
        <w:widowControl w:val="0"/>
        <w:spacing w:before="0" w:beforeAutospacing="0" w:after="0" w:afterAutospacing="0" w:line="520" w:lineRule="exact"/>
        <w:rPr>
          <w:rFonts w:hint="eastAsia" w:ascii="宋体" w:hAnsi="宋体" w:eastAsia="宋体" w:cs="Times New Roman"/>
          <w:sz w:val="30"/>
          <w:szCs w:val="30"/>
        </w:rPr>
      </w:pPr>
    </w:p>
    <w:p>
      <w:pPr>
        <w:pStyle w:val="5"/>
        <w:widowControl w:val="0"/>
        <w:spacing w:before="0" w:beforeAutospacing="0" w:after="0" w:afterAutospacing="0" w:line="520" w:lineRule="exact"/>
        <w:ind w:firstLine="600" w:firstLineChars="200"/>
        <w:rPr>
          <w:rFonts w:ascii="宋体" w:hAnsi="宋体" w:eastAsia="宋体" w:cs="Times New Roman"/>
          <w:sz w:val="30"/>
          <w:szCs w:val="30"/>
        </w:rPr>
      </w:pPr>
    </w:p>
    <w:p>
      <w:pPr>
        <w:ind w:left="8400" w:hanging="8400" w:hangingChars="2800"/>
        <w:rPr>
          <w:rFonts w:ascii="宋体" w:hAnsi="宋体" w:eastAsia="宋体"/>
          <w:sz w:val="30"/>
          <w:szCs w:val="30"/>
        </w:rPr>
      </w:pP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项目单位（签）                        </w:t>
      </w:r>
    </w:p>
    <w:p>
      <w:pPr>
        <w:ind w:right="600"/>
        <w:jc w:val="right"/>
        <w:rPr>
          <w:rFonts w:hint="eastAsia"/>
          <w:lang w:val="en-US" w:eastAsia="zh-CN"/>
        </w:rPr>
      </w:pP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sz w:val="30"/>
          <w:szCs w:val="30"/>
          <w:lang w:val="en-US" w:eastAsia="zh-CN"/>
        </w:rPr>
        <w:t>4</w:t>
      </w:r>
      <w:r>
        <w:rPr>
          <w:rFonts w:ascii="宋体" w:hAnsi="宋体" w:eastAsia="宋体"/>
          <w:sz w:val="30"/>
          <w:szCs w:val="30"/>
        </w:rPr>
        <w:t xml:space="preserve"> 月 </w:t>
      </w:r>
      <w:r>
        <w:rPr>
          <w:rFonts w:hint="eastAsia" w:ascii="宋体" w:hAnsi="宋体" w:eastAsia="宋体"/>
          <w:sz w:val="30"/>
          <w:szCs w:val="30"/>
          <w:lang w:val="en-US" w:eastAsia="zh-CN"/>
        </w:rPr>
        <w:t>18</w:t>
      </w:r>
      <w:r>
        <w:rPr>
          <w:rFonts w:ascii="宋体" w:hAnsi="宋体" w:eastAsia="宋体"/>
          <w:sz w:val="30"/>
          <w:szCs w:val="30"/>
        </w:rPr>
        <w:t xml:space="preserve"> 日</w:t>
      </w: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hint="eastAsia" w:ascii="仿宋_GB2312" w:hAnsi="仿宋_GB2312" w:eastAsia="仿宋_GB2312" w:cs="仿宋_GB2312"/>
          <w:sz w:val="24"/>
        </w:rPr>
      </w:pPr>
    </w:p>
    <w:p>
      <w:pPr>
        <w:spacing w:before="100" w:beforeAutospacing="1" w:after="100" w:afterAutospacing="1" w:line="240" w:lineRule="exact"/>
        <w:jc w:val="left"/>
        <w:rPr>
          <w:rFonts w:ascii="仿宋_GB2312" w:hAnsi="仿宋_GB2312" w:eastAsia="仿宋_GB2312" w:cs="仿宋_GB2312"/>
          <w:sz w:val="24"/>
        </w:rPr>
      </w:pPr>
      <w:r>
        <w:rPr>
          <w:rFonts w:hint="eastAsia" w:ascii="仿宋_GB2312" w:hAnsi="仿宋_GB2312" w:eastAsia="仿宋_GB2312" w:cs="仿宋_GB2312"/>
          <w:sz w:val="24"/>
        </w:rPr>
        <w:t>附件2-1</w:t>
      </w: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垃圾无害化处理场运行补差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城市管理和综合执法局</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吴俊达</w:t>
            </w:r>
          </w:p>
        </w:tc>
        <w:tc>
          <w:tcPr>
            <w:tcW w:w="1206"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vAlign w:val="center"/>
          </w:tcPr>
          <w:p>
            <w:pPr>
              <w:spacing w:line="320" w:lineRule="exact"/>
              <w:jc w:val="center"/>
              <w:rPr>
                <w:rFonts w:ascii="仿宋_GB2312" w:hAnsi="仿宋_GB2312" w:eastAsia="仿宋_GB2312" w:cs="仿宋_GB2312"/>
                <w:szCs w:val="21"/>
              </w:rPr>
            </w:pP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184.59</w:t>
            </w:r>
          </w:p>
        </w:tc>
        <w:tc>
          <w:tcPr>
            <w:tcW w:w="1628"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184.59</w:t>
            </w:r>
          </w:p>
        </w:tc>
        <w:tc>
          <w:tcPr>
            <w:tcW w:w="1702" w:type="dxa"/>
            <w:gridSpan w:val="2"/>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本项目建立了项目管理制度，并严格按相关制度执行。</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1.城区垃圾及餐厨垃圾及时填埋</w:t>
            </w: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渗屡液及时处理；3、控制周边的环境污染</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22</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优化县城环境，减少县城污染</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服务对象满意度计分：90%</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87</w:t>
            </w: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hint="eastAsia" w:ascii="宋体" w:hAnsi="宋体" w:cs="宋体"/>
          <w:szCs w:val="21"/>
        </w:rPr>
        <w:t>单</w:t>
      </w:r>
      <w:r>
        <w:rPr>
          <w:rFonts w:hint="eastAsia" w:ascii="Dotum" w:hAnsi="Dotum" w:eastAsia="Dotum" w:cs="Dotum"/>
          <w:szCs w:val="21"/>
        </w:rPr>
        <w:t>位</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项</w:t>
      </w:r>
      <w:r>
        <w:rPr>
          <w:rFonts w:hint="eastAsia" w:ascii="Dotum" w:hAnsi="Dotum" w:eastAsia="Dotum" w:cs="Dotum"/>
          <w:szCs w:val="21"/>
        </w:rPr>
        <w:t>目</w:t>
      </w:r>
      <w:r>
        <w:rPr>
          <w:rFonts w:hint="eastAsia" w:ascii="宋体" w:hAnsi="宋体" w:cs="宋体"/>
          <w:szCs w:val="21"/>
        </w:rPr>
        <w:t>负责</w:t>
      </w:r>
      <w:r>
        <w:rPr>
          <w:rFonts w:hint="eastAsia" w:ascii="Dotum" w:hAnsi="Dotum" w:eastAsia="Dotum" w:cs="Dotum"/>
          <w:szCs w:val="21"/>
        </w:rPr>
        <w:t>人（</w:t>
      </w:r>
      <w:r>
        <w:rPr>
          <w:rFonts w:hint="eastAsia" w:ascii="宋体" w:hAnsi="宋体" w:cs="宋体"/>
          <w:szCs w:val="21"/>
        </w:rPr>
        <w:t>签</w:t>
      </w:r>
      <w:r>
        <w:rPr>
          <w:rFonts w:hint="eastAsia" w:ascii="Dotum" w:hAnsi="Dotum" w:eastAsia="Dotum" w:cs="Dotum"/>
          <w:szCs w:val="21"/>
        </w:rPr>
        <w:t>字）：</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 xml:space="preserve"> </w:t>
      </w:r>
      <w:r>
        <w:rPr>
          <w:rFonts w:hint="eastAsia" w:ascii="宋体" w:hAnsi="宋体" w:cs="宋体"/>
          <w:szCs w:val="21"/>
        </w:rPr>
        <w:t>填</w:t>
      </w:r>
      <w:r>
        <w:rPr>
          <w:rFonts w:hint="eastAsia" w:ascii="Dotum" w:hAnsi="Dotum" w:eastAsia="Dotum" w:cs="Dotum"/>
          <w:szCs w:val="21"/>
        </w:rPr>
        <w:t>表日期：</w:t>
      </w:r>
      <w:r>
        <w:rPr>
          <w:rFonts w:ascii="华文中宋" w:hAnsi="华文中宋" w:eastAsia="华文中宋"/>
          <w:szCs w:val="21"/>
        </w:rPr>
        <w:t> </w:t>
      </w:r>
      <w:r>
        <w:rPr>
          <w:rFonts w:hint="eastAsia" w:ascii="华文中宋" w:hAnsi="华文中宋" w:eastAsia="华文中宋"/>
          <w:szCs w:val="21"/>
        </w:rPr>
        <w:t>202</w:t>
      </w:r>
      <w:r>
        <w:rPr>
          <w:rFonts w:hint="eastAsia" w:ascii="华文中宋" w:hAnsi="华文中宋" w:eastAsia="华文中宋"/>
          <w:szCs w:val="21"/>
          <w:lang w:val="en-US" w:eastAsia="zh-CN"/>
        </w:rPr>
        <w:t>4</w:t>
      </w:r>
      <w:r>
        <w:rPr>
          <w:rFonts w:ascii="华文中宋" w:hAnsi="华文中宋" w:eastAsia="华文中宋"/>
          <w:szCs w:val="21"/>
        </w:rPr>
        <w:t>年</w:t>
      </w:r>
      <w:r>
        <w:rPr>
          <w:rFonts w:hint="eastAsia" w:ascii="华文中宋" w:hAnsi="华文中宋" w:eastAsia="华文中宋"/>
          <w:szCs w:val="21"/>
          <w:lang w:val="en-US" w:eastAsia="zh-CN"/>
        </w:rPr>
        <w:t>4</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ind w:left="0"/>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年度新晃县</w:t>
      </w:r>
      <w:r>
        <w:rPr>
          <w:rFonts w:hint="eastAsia" w:hAnsi="方正粗宋简体" w:eastAsia="方正粗宋简体"/>
          <w:w w:val="85"/>
          <w:sz w:val="44"/>
          <w:szCs w:val="44"/>
        </w:rPr>
        <w:t>项目</w:t>
      </w:r>
      <w:r>
        <w:rPr>
          <w:rFonts w:hAnsi="方正粗宋简体" w:eastAsia="方正粗宋简体"/>
          <w:w w:val="85"/>
          <w:sz w:val="44"/>
          <w:szCs w:val="44"/>
        </w:rPr>
        <w:t>支出</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一、基本情况</w:t>
      </w:r>
    </w:p>
    <w:p>
      <w:pPr>
        <w:spacing w:line="600" w:lineRule="exact"/>
        <w:ind w:left="0" w:firstLine="600" w:firstLineChars="200"/>
        <w:textAlignment w:val="auto"/>
        <w:rPr>
          <w:rFonts w:hint="eastAsia" w:ascii="仿宋_GB2312" w:eastAsia="仿宋_GB2312"/>
          <w:color w:val="000000"/>
          <w:sz w:val="32"/>
          <w:szCs w:val="32"/>
          <w:lang w:val="en-US" w:eastAsia="zh-CN"/>
        </w:rPr>
      </w:pPr>
      <w:r>
        <w:rPr>
          <w:rFonts w:hint="eastAsia" w:asciiTheme="minorEastAsia" w:hAnsiTheme="minorEastAsia" w:eastAsiaTheme="minorEastAsia"/>
          <w:sz w:val="30"/>
          <w:szCs w:val="30"/>
        </w:rPr>
        <w:t>（</w:t>
      </w: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垃圾无害化处理场运行补差，主要用于维持垃圾场的正常运转。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1、城区垃圾及餐厨垃圾及时填埋；2、渗屡液及时处理；3、控制周边的环境污染。</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cs="仿宋_GB2312" w:asciiTheme="minorEastAsia" w:hAnsiTheme="minorEastAsia" w:eastAsiaTheme="minorEastAsia"/>
          <w:sz w:val="30"/>
          <w:szCs w:val="30"/>
        </w:rPr>
      </w:pPr>
      <w:r>
        <w:rPr>
          <w:rFonts w:hint="eastAsia" w:ascii="仿宋_GB2312" w:eastAsia="仿宋_GB2312"/>
          <w:color w:val="000000"/>
          <w:sz w:val="32"/>
          <w:szCs w:val="32"/>
          <w:lang w:val="en-US" w:eastAsia="zh-CN"/>
        </w:rPr>
        <w:t>为保障垃圾场的正常运转，城区范围内的垃圾能够及时处理，该项目预算经费184.59万元，完成预算的100%。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垃圾无害化处理场运行补差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firstLine="960" w:firstLineChars="3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1.保障垃圾的收集处理；</w:t>
      </w:r>
    </w:p>
    <w:p>
      <w:pPr>
        <w:spacing w:line="600" w:lineRule="exact"/>
        <w:ind w:left="0" w:firstLine="960" w:firstLineChars="3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2.保障垃圾场渗滤液的处理;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城市垃圾得到及时的处理，美化了城市的环境，提高了城市品味。</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87</w:t>
      </w:r>
      <w:r>
        <w:rPr>
          <w:rFonts w:hint="eastAsia" w:ascii="仿宋_GB2312" w:eastAsia="仿宋_GB2312"/>
          <w:color w:val="000000"/>
          <w:sz w:val="32"/>
          <w:szCs w:val="32"/>
          <w:lang w:val="en-US" w:eastAsia="zh-CN"/>
        </w:rPr>
        <w:t>分，为“良好”等级（附件2-1）。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通过执行县委政府的安排，财政预算184.59万元用于该项目的实施，最终据实结算相关费用支出。同时我局安排专人监督相关部门保质保量完成该项目的正常运转。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1、垃圾收集数量率完成100%；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2、保质保量对垃圾的收集处理大于95%；</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3、项目产生的各项费用的支付及时；</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3、项目的资金控制在了184.59万元。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通过对该项目的运行，减少垃圾对环境的影响，提升环境美丽度。该项目能持续运行，对市民的生产生活能发挥较大作用。通过问卷调查，社会公众满意度≧95%。</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五、主要经验及做法、存在的问题及原因分析</w:t>
      </w:r>
    </w:p>
    <w:p>
      <w:pPr>
        <w:spacing w:line="560" w:lineRule="exact"/>
        <w:ind w:firstLine="600" w:firstLineChars="200"/>
        <w:jc w:val="left"/>
        <w:rPr>
          <w:rFonts w:asciiTheme="minorEastAsia" w:hAnsiTheme="minorEastAsia" w:eastAsiaTheme="minorEastAsia"/>
          <w:b/>
          <w:bCs/>
          <w:sz w:val="30"/>
          <w:szCs w:val="30"/>
        </w:rPr>
      </w:pPr>
      <w:r>
        <w:rPr>
          <w:rFonts w:hint="eastAsia" w:cs="仿宋_GB2312" w:asciiTheme="minorEastAsia" w:hAnsiTheme="minorEastAsia" w:eastAsiaTheme="minorEastAsia"/>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六、有关建议</w:t>
      </w:r>
    </w:p>
    <w:p>
      <w:pPr>
        <w:spacing w:line="560" w:lineRule="exact"/>
        <w:ind w:firstLine="600" w:firstLineChars="200"/>
        <w:jc w:val="left"/>
        <w:rPr>
          <w:rFonts w:asciiTheme="minorEastAsia" w:hAnsiTheme="minorEastAsia" w:eastAsiaTheme="minorEastAsia"/>
          <w:bCs/>
          <w:sz w:val="30"/>
          <w:szCs w:val="30"/>
        </w:rPr>
      </w:pPr>
      <w:r>
        <w:rPr>
          <w:rFonts w:hint="eastAsia" w:asciiTheme="minorEastAsia" w:hAnsiTheme="minorEastAsia" w:eastAsiaTheme="minorEastAsia"/>
          <w:bCs/>
          <w:sz w:val="30"/>
          <w:szCs w:val="30"/>
        </w:rPr>
        <w:t>无。</w:t>
      </w:r>
    </w:p>
    <w:p>
      <w:pPr>
        <w:spacing w:line="560" w:lineRule="exact"/>
        <w:ind w:firstLine="602" w:firstLineChars="2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七、其他需要说明的问题</w:t>
      </w:r>
    </w:p>
    <w:p>
      <w:pPr>
        <w:pStyle w:val="5"/>
        <w:widowControl w:val="0"/>
        <w:spacing w:before="0" w:beforeAutospacing="0" w:after="0" w:afterAutospacing="0" w:line="520" w:lineRule="exact"/>
        <w:ind w:firstLine="600" w:firstLineChars="200"/>
        <w:rPr>
          <w:rFonts w:cs="Times New Roman" w:asciiTheme="minorEastAsia" w:hAnsiTheme="minorEastAsia" w:eastAsiaTheme="minorEastAsia"/>
          <w:sz w:val="30"/>
          <w:szCs w:val="30"/>
        </w:rPr>
      </w:pPr>
      <w:r>
        <w:rPr>
          <w:rFonts w:hint="eastAsia" w:cs="Times New Roman" w:asciiTheme="minorEastAsia" w:hAnsiTheme="minorEastAsia" w:eastAsiaTheme="minorEastAsia"/>
          <w:sz w:val="30"/>
          <w:szCs w:val="30"/>
        </w:rPr>
        <w:t>无。</w:t>
      </w:r>
    </w:p>
    <w:p>
      <w:pPr>
        <w:ind w:left="7840" w:hanging="7840" w:hangingChars="2800"/>
        <w:rPr>
          <w:rFonts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项目单位（签）                        </w:t>
      </w:r>
    </w:p>
    <w:p>
      <w:pPr>
        <w:ind w:firstLine="5600" w:firstLineChars="2000"/>
        <w:rPr>
          <w:rFonts w:eastAsia="仿宋_GB2312"/>
          <w:sz w:val="28"/>
          <w:szCs w:val="28"/>
        </w:rPr>
      </w:pPr>
      <w:r>
        <w:rPr>
          <w:rFonts w:hint="eastAsia" w:eastAsia="仿宋_GB2312"/>
          <w:sz w:val="28"/>
          <w:szCs w:val="28"/>
        </w:rPr>
        <w:t>202</w:t>
      </w:r>
      <w:r>
        <w:rPr>
          <w:rFonts w:hint="eastAsia" w:eastAsia="仿宋_GB2312"/>
          <w:sz w:val="28"/>
          <w:szCs w:val="28"/>
          <w:lang w:val="en-US" w:eastAsia="zh-CN"/>
        </w:rPr>
        <w:t>4</w:t>
      </w:r>
      <w:r>
        <w:rPr>
          <w:rFonts w:eastAsia="仿宋_GB2312"/>
          <w:sz w:val="28"/>
          <w:szCs w:val="28"/>
        </w:rPr>
        <w:t>年</w:t>
      </w:r>
      <w:r>
        <w:rPr>
          <w:rFonts w:hint="eastAsia" w:eastAsia="仿宋_GB2312"/>
          <w:sz w:val="28"/>
          <w:szCs w:val="28"/>
          <w:lang w:val="en-US" w:eastAsia="zh-CN"/>
        </w:rPr>
        <w:t>4</w:t>
      </w:r>
      <w:r>
        <w:rPr>
          <w:rFonts w:eastAsia="仿宋_GB2312"/>
          <w:sz w:val="28"/>
          <w:szCs w:val="28"/>
        </w:rPr>
        <w:t>月</w:t>
      </w:r>
      <w:r>
        <w:rPr>
          <w:rFonts w:hint="eastAsia" w:eastAsia="仿宋_GB2312"/>
          <w:sz w:val="28"/>
          <w:szCs w:val="28"/>
          <w:lang w:val="en-US" w:eastAsia="zh-CN"/>
        </w:rPr>
        <w:t>18</w:t>
      </w:r>
      <w:r>
        <w:rPr>
          <w:rFonts w:eastAsia="仿宋_GB2312"/>
          <w:sz w:val="28"/>
          <w:szCs w:val="28"/>
        </w:rPr>
        <w:t xml:space="preserve"> 日</w:t>
      </w: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560" w:lineRule="exact"/>
        <w:ind w:left="0"/>
        <w:jc w:val="left"/>
        <w:rPr>
          <w:rFonts w:eastAsia="仿宋_GB2312"/>
          <w:sz w:val="28"/>
          <w:szCs w:val="28"/>
        </w:rPr>
      </w:pPr>
    </w:p>
    <w:p>
      <w:pPr>
        <w:spacing w:line="480" w:lineRule="exact"/>
        <w:jc w:val="center"/>
        <w:rPr>
          <w:rFonts w:eastAsia="方正粗宋简体"/>
          <w:w w:val="85"/>
          <w:sz w:val="44"/>
          <w:szCs w:val="44"/>
        </w:rPr>
      </w:pPr>
      <w:r>
        <w:rPr>
          <w:rFonts w:hint="eastAsia" w:eastAsia="方正粗宋简体"/>
          <w:w w:val="85"/>
          <w:sz w:val="44"/>
          <w:szCs w:val="44"/>
          <w:lang w:eastAsia="zh-CN"/>
        </w:rPr>
        <w:t>2023</w:t>
      </w:r>
      <w:r>
        <w:rPr>
          <w:rFonts w:hAnsi="方正粗宋简体" w:eastAsia="方正粗宋简体"/>
          <w:w w:val="85"/>
          <w:sz w:val="44"/>
          <w:szCs w:val="44"/>
        </w:rPr>
        <w:t>年度新晃县项目</w:t>
      </w:r>
      <w:r>
        <w:rPr>
          <w:rFonts w:hint="eastAsia" w:hAnsi="方正粗宋简体" w:eastAsia="方正粗宋简体"/>
          <w:w w:val="85"/>
          <w:sz w:val="44"/>
          <w:szCs w:val="44"/>
        </w:rPr>
        <w:t>支出</w:t>
      </w:r>
      <w:r>
        <w:rPr>
          <w:rFonts w:hAnsi="方正粗宋简体" w:eastAsia="方正粗宋简体"/>
          <w:w w:val="85"/>
          <w:sz w:val="44"/>
          <w:szCs w:val="44"/>
        </w:rPr>
        <w:t>绩效</w:t>
      </w:r>
      <w:r>
        <w:rPr>
          <w:rFonts w:hint="eastAsia" w:hAnsi="方正粗宋简体" w:eastAsia="方正粗宋简体"/>
          <w:w w:val="85"/>
          <w:sz w:val="44"/>
          <w:szCs w:val="44"/>
        </w:rPr>
        <w:t>自评</w:t>
      </w:r>
      <w:r>
        <w:rPr>
          <w:rFonts w:hAnsi="方正粗宋简体" w:eastAsia="方正粗宋简体"/>
          <w:w w:val="85"/>
          <w:sz w:val="44"/>
          <w:szCs w:val="44"/>
        </w:rPr>
        <w:t>表</w:t>
      </w:r>
    </w:p>
    <w:p>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6"/>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两违办经费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城市</w:t>
            </w:r>
            <w:r>
              <w:rPr>
                <w:rFonts w:hint="eastAsia" w:ascii="仿宋_GB2312" w:hAnsi="仿宋_GB2312" w:eastAsia="仿宋_GB2312" w:cs="仿宋_GB2312"/>
                <w:szCs w:val="21"/>
                <w:lang w:val="en-US" w:eastAsia="zh-CN"/>
              </w:rPr>
              <w:t>管理和综合执法局</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吴俊达</w:t>
            </w:r>
          </w:p>
        </w:tc>
        <w:tc>
          <w:tcPr>
            <w:tcW w:w="1206"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15115163888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1628"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1702" w:type="dxa"/>
            <w:gridSpan w:val="2"/>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100</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本项目建立了项目管理</w:t>
            </w:r>
            <w:r>
              <w:rPr>
                <w:rFonts w:hint="eastAsia" w:ascii="仿宋_GB2312" w:hAnsi="仿宋_GB2312" w:eastAsia="仿宋_GB2312" w:cs="仿宋_GB2312"/>
                <w:szCs w:val="21"/>
                <w:lang w:val="en-US" w:eastAsia="zh-CN"/>
              </w:rPr>
              <w:t>及补偿</w:t>
            </w:r>
            <w:r>
              <w:rPr>
                <w:rFonts w:hint="eastAsia" w:ascii="仿宋_GB2312" w:hAnsi="仿宋_GB2312" w:eastAsia="仿宋_GB2312" w:cs="仿宋_GB2312"/>
                <w:szCs w:val="21"/>
              </w:rPr>
              <w:t>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“两违”建设审批100%不通过，“两违”建筑应拆尽拆。</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2</w:t>
            </w: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减少城市违章建筑，美化城市规划，</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通过调查，群众满意度</w:t>
            </w:r>
            <w:r>
              <w:rPr>
                <w:rFonts w:hint="eastAsia" w:ascii="仿宋_GB2312" w:hAnsi="仿宋_GB2312" w:eastAsia="仿宋_GB2312" w:cs="仿宋_GB2312"/>
                <w:szCs w:val="21"/>
              </w:rPr>
              <w:t>90%。</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91</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91</w:t>
            </w:r>
          </w:p>
        </w:tc>
        <w:tc>
          <w:tcPr>
            <w:tcW w:w="870"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ascii="华文中宋" w:hAnsi="华文中宋" w:eastAsia="华文中宋"/>
          <w:szCs w:val="21"/>
        </w:rPr>
      </w:pPr>
      <w:r>
        <w:rPr>
          <w:rFonts w:ascii="华文中宋" w:hAnsi="华文中宋" w:eastAsia="华文中宋"/>
          <w:szCs w:val="21"/>
        </w:rPr>
        <w:t xml:space="preserve">单位负责人（签字）： </w:t>
      </w:r>
      <w:r>
        <w:rPr>
          <w:rFonts w:hint="eastAsia" w:ascii="华文中宋" w:hAnsi="华文中宋" w:eastAsia="华文中宋"/>
          <w:szCs w:val="21"/>
          <w:lang w:val="en-US" w:eastAsia="zh-CN"/>
        </w:rPr>
        <w:t xml:space="preserve">  </w:t>
      </w:r>
      <w:r>
        <w:rPr>
          <w:rFonts w:ascii="华文中宋" w:hAnsi="华文中宋" w:eastAsia="华文中宋"/>
          <w:szCs w:val="21"/>
        </w:rPr>
        <w:t xml:space="preserve"> 项目负责人（签字）：</w:t>
      </w:r>
      <w:r>
        <w:rPr>
          <w:rFonts w:hint="eastAsia" w:ascii="华文中宋" w:hAnsi="华文中宋" w:eastAsia="华文中宋"/>
          <w:szCs w:val="21"/>
          <w:lang w:val="en-US" w:eastAsia="zh-CN"/>
        </w:rPr>
        <w:t xml:space="preserve">  </w:t>
      </w:r>
      <w:r>
        <w:rPr>
          <w:rFonts w:hint="eastAsia" w:ascii="华文中宋" w:hAnsi="华文中宋" w:eastAsia="华文中宋"/>
          <w:szCs w:val="21"/>
        </w:rPr>
        <w:t xml:space="preserve"> </w:t>
      </w:r>
      <w:r>
        <w:rPr>
          <w:rFonts w:ascii="华文中宋" w:hAnsi="华文中宋" w:eastAsia="华文中宋"/>
          <w:szCs w:val="21"/>
        </w:rPr>
        <w:t xml:space="preserve"> 填表日期： </w:t>
      </w:r>
      <w:r>
        <w:rPr>
          <w:rFonts w:hint="eastAsia" w:ascii="华文中宋" w:hAnsi="华文中宋" w:eastAsia="华文中宋"/>
          <w:szCs w:val="21"/>
        </w:rPr>
        <w:t>202</w:t>
      </w:r>
      <w:r>
        <w:rPr>
          <w:rFonts w:hint="eastAsia" w:ascii="华文中宋" w:hAnsi="华文中宋" w:eastAsia="华文中宋"/>
          <w:szCs w:val="21"/>
          <w:lang w:val="en-US" w:eastAsia="zh-CN"/>
        </w:rPr>
        <w:t>4</w:t>
      </w:r>
      <w:r>
        <w:rPr>
          <w:rFonts w:ascii="华文中宋" w:hAnsi="华文中宋" w:eastAsia="华文中宋"/>
          <w:szCs w:val="21"/>
        </w:rPr>
        <w:t>年</w:t>
      </w:r>
      <w:r>
        <w:rPr>
          <w:rFonts w:hint="eastAsia" w:ascii="华文中宋" w:hAnsi="华文中宋" w:eastAsia="华文中宋"/>
          <w:szCs w:val="21"/>
          <w:lang w:val="en-US" w:eastAsia="zh-CN"/>
        </w:rPr>
        <w:t>4</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 xml:space="preserve"> 日</w:t>
      </w:r>
    </w:p>
    <w:p>
      <w:pPr>
        <w:spacing w:before="240" w:line="340" w:lineRule="exact"/>
        <w:jc w:val="left"/>
        <w:rPr>
          <w:rFonts w:hint="eastAsia" w:ascii="宋体" w:hAnsi="宋体" w:eastAsia="宋体" w:cs="仿宋_GB2312"/>
          <w:sz w:val="30"/>
          <w:szCs w:val="30"/>
        </w:rPr>
      </w:pPr>
    </w:p>
    <w:p>
      <w:pPr>
        <w:spacing w:before="240" w:line="340" w:lineRule="exact"/>
        <w:ind w:left="0"/>
        <w:jc w:val="left"/>
        <w:rPr>
          <w:rFonts w:ascii="宋体" w:hAnsi="宋体" w:eastAsia="宋体"/>
          <w:sz w:val="30"/>
          <w:szCs w:val="30"/>
        </w:rPr>
      </w:pPr>
      <w:r>
        <w:rPr>
          <w:rFonts w:hint="eastAsia" w:ascii="宋体" w:hAnsi="宋体" w:eastAsia="宋体" w:cs="仿宋_GB2312"/>
          <w:sz w:val="30"/>
          <w:szCs w:val="30"/>
        </w:rPr>
        <w:t>附件2-3 </w:t>
      </w:r>
    </w:p>
    <w:p>
      <w:pPr>
        <w:spacing w:line="600" w:lineRule="exact"/>
        <w:jc w:val="center"/>
        <w:rPr>
          <w:rFonts w:ascii="宋体" w:hAnsi="宋体" w:eastAsia="宋体"/>
          <w:w w:val="85"/>
          <w:sz w:val="30"/>
          <w:szCs w:val="30"/>
        </w:rPr>
      </w:pPr>
      <w:r>
        <w:rPr>
          <w:rFonts w:ascii="宋体" w:hAnsi="宋体" w:eastAsia="宋体"/>
          <w:w w:val="85"/>
          <w:sz w:val="30"/>
          <w:szCs w:val="30"/>
        </w:rPr>
        <w:t> </w:t>
      </w:r>
      <w:r>
        <w:rPr>
          <w:rFonts w:hint="eastAsia" w:ascii="宋体" w:hAnsi="宋体"/>
          <w:w w:val="85"/>
          <w:sz w:val="30"/>
          <w:szCs w:val="30"/>
          <w:lang w:eastAsia="zh-CN"/>
        </w:rPr>
        <w:t>2022</w:t>
      </w:r>
      <w:r>
        <w:rPr>
          <w:rFonts w:ascii="宋体" w:hAnsi="宋体" w:eastAsia="宋体"/>
          <w:w w:val="85"/>
          <w:sz w:val="30"/>
          <w:szCs w:val="30"/>
        </w:rPr>
        <w:t>年度新晃县</w:t>
      </w:r>
      <w:r>
        <w:rPr>
          <w:rFonts w:hint="eastAsia" w:ascii="宋体" w:hAnsi="宋体" w:eastAsia="宋体"/>
          <w:w w:val="85"/>
          <w:sz w:val="30"/>
          <w:szCs w:val="30"/>
        </w:rPr>
        <w:t>项目</w:t>
      </w:r>
      <w:r>
        <w:rPr>
          <w:rFonts w:ascii="宋体" w:hAnsi="宋体" w:eastAsia="宋体"/>
          <w:w w:val="85"/>
          <w:sz w:val="30"/>
          <w:szCs w:val="30"/>
        </w:rPr>
        <w:t>支出</w:t>
      </w:r>
      <w:r>
        <w:rPr>
          <w:rFonts w:hint="eastAsia" w:ascii="宋体" w:hAnsi="宋体" w:eastAsia="宋体"/>
          <w:w w:val="85"/>
          <w:sz w:val="30"/>
          <w:szCs w:val="30"/>
        </w:rPr>
        <w:t>绩效</w:t>
      </w:r>
      <w:r>
        <w:rPr>
          <w:rFonts w:ascii="宋体" w:hAnsi="宋体" w:eastAsia="宋体"/>
          <w:w w:val="85"/>
          <w:sz w:val="30"/>
          <w:szCs w:val="30"/>
        </w:rPr>
        <w:t>自评报告</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一、基本情况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（一）项目概况。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及时查处城区范围内的违章建筑。</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（二）项目绩效目标。</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“两违”建设的查处：1.“两违”建设审批100%不通过，“两违”建筑应拆尽拆。</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二、绩效评价工作开展情况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（一）绩效评价目的、对象和范围。</w:t>
      </w:r>
    </w:p>
    <w:p>
      <w:pPr>
        <w:spacing w:line="600" w:lineRule="exact"/>
        <w:ind w:left="0" w:firstLine="640" w:firstLineChars="200"/>
        <w:textAlignment w:val="auto"/>
        <w:rPr>
          <w:rFonts w:hint="eastAsia" w:ascii="宋体" w:hAnsi="宋体" w:eastAsia="宋体" w:cs="仿宋_GB2312"/>
          <w:sz w:val="30"/>
          <w:szCs w:val="30"/>
        </w:rPr>
      </w:pPr>
      <w:r>
        <w:rPr>
          <w:rFonts w:hint="eastAsia" w:ascii="仿宋_GB2312" w:eastAsia="仿宋_GB2312"/>
          <w:color w:val="000000"/>
          <w:sz w:val="32"/>
          <w:szCs w:val="32"/>
          <w:lang w:val="en-US" w:eastAsia="zh-CN"/>
        </w:rPr>
        <w:t>对我县城市建设违法违章行为进行了联合整治。2023年城区违法建筑监督执法支出100万元，本项目预算经费25万元，完成预算的100%。</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(二)绩效评价原则、评价指标体系（附表说明）、评价方法、评价标准等。</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1、绩效评价原则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遵循科学、规范、公正、公开和绩效相关性原则。</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2、评价指标体系（附表说明）</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2023年度新晃县项目绩效自评计分标准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3、评价方法</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4、评价标准</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（三）绩效评价过程</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晃财绩[2024]2号《关于开展2023年度部门预算支出绩效自评工作的通知》，本次绩效评价重点评价一非两违项目资金的绩效情况，填报绩效项目自评申报表，在对所有取得的资料进行分析整理的基础上按照规定格式编写绩效评价工作报告，然后按照绩效评价资料清单上报县财政局。</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（一）项目绩效情况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1、完成了预期绩效目标任务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全年共下达</w:t>
      </w:r>
      <w:r>
        <w:rPr>
          <w:rFonts w:hint="eastAsia" w:ascii="仿宋" w:hAnsi="仿宋" w:eastAsia="仿宋" w:cs="宋体"/>
          <w:color w:val="auto"/>
          <w:kern w:val="0"/>
          <w:sz w:val="32"/>
          <w:szCs w:val="32"/>
          <w:lang w:val="en-US" w:eastAsia="zh-CN"/>
        </w:rPr>
        <w:t>共</w:t>
      </w:r>
      <w:r>
        <w:rPr>
          <w:rFonts w:hint="eastAsia" w:ascii="仿宋_GB2312" w:hAnsi="仿宋_GB2312" w:eastAsia="仿宋_GB2312" w:cs="仿宋_GB2312"/>
          <w:color w:val="auto"/>
          <w:kern w:val="2"/>
          <w:sz w:val="32"/>
          <w:szCs w:val="32"/>
          <w:lang w:val="en-US" w:eastAsia="zh-CN" w:bidi="ar-SA"/>
        </w:rPr>
        <w:t>下达《责令停止建设通知书》7份、《整改通知书》4份，向违建户耐心细致地做好解释及宣讲法律政策工作，有效地遏制违建蔓延势头；强制拆除3处，拆除面积约为597.52㎡；立案查处一般行政程序的17起，结案8起（5起行政处罚，3起不予行政处罚），正在办理案件9起，处罚金额13070.62元</w:t>
      </w:r>
      <w:r>
        <w:rPr>
          <w:rFonts w:hint="eastAsia" w:ascii="仿宋_GB2312" w:eastAsia="仿宋_GB2312"/>
          <w:color w:val="000000"/>
          <w:sz w:val="32"/>
          <w:szCs w:val="32"/>
          <w:lang w:val="en-US" w:eastAsia="zh-CN"/>
        </w:rPr>
        <w:t>。圆满完成上级及本级的各项工作任务。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2、改善了城市形象,提高了城市品位</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增加市民宜居环境，美化了城市的环境，减少了违建，消除了部分安全隐患，提高了城市品味。</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3、项目的可持续性分析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该项目为辖区居民创造一个美丽的社会生活环境，项目的可持续性较强。</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（二）评价结论（附相关评分表）</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根据对我所2023年该项目支出绩效评价指标体系和绩效情况的检查，2023年我该局项目支出绩效自评分</w:t>
      </w:r>
      <w:r>
        <w:rPr>
          <w:rFonts w:hint="eastAsia" w:ascii="仿宋_GB2312" w:eastAsia="仿宋_GB2312"/>
          <w:color w:val="000000"/>
          <w:sz w:val="32"/>
          <w:szCs w:val="32"/>
          <w:highlight w:val="none"/>
          <w:lang w:val="en-US" w:eastAsia="zh-CN"/>
        </w:rPr>
        <w:t>91</w:t>
      </w:r>
      <w:r>
        <w:rPr>
          <w:rFonts w:hint="eastAsia" w:ascii="仿宋_GB2312" w:eastAsia="仿宋_GB2312"/>
          <w:color w:val="000000"/>
          <w:sz w:val="32"/>
          <w:szCs w:val="32"/>
          <w:lang w:val="en-US" w:eastAsia="zh-CN"/>
        </w:rPr>
        <w:t>分，为“优秀”等级（附件2-1）。</w:t>
      </w:r>
    </w:p>
    <w:p>
      <w:pPr>
        <w:numPr>
          <w:ilvl w:val="0"/>
          <w:numId w:val="0"/>
        </w:numPr>
        <w:spacing w:line="560" w:lineRule="exact"/>
        <w:ind w:leftChars="200"/>
        <w:jc w:val="left"/>
        <w:rPr>
          <w:rFonts w:hint="eastAsia" w:asciiTheme="minorEastAsia" w:hAnsiTheme="minorEastAsia" w:eastAsiaTheme="minorEastAsia"/>
          <w:b/>
          <w:bCs/>
          <w:sz w:val="30"/>
          <w:szCs w:val="30"/>
        </w:rPr>
      </w:pPr>
      <w:r>
        <w:rPr>
          <w:rFonts w:hint="eastAsia" w:asciiTheme="minorEastAsia" w:hAnsiTheme="minorEastAsia" w:eastAsiaTheme="minorEastAsia"/>
          <w:b/>
          <w:bCs/>
          <w:sz w:val="30"/>
          <w:szCs w:val="30"/>
          <w:lang w:val="en-US" w:eastAsia="zh-CN"/>
        </w:rPr>
        <w:t>四、</w:t>
      </w:r>
      <w:r>
        <w:rPr>
          <w:rFonts w:hint="eastAsia" w:asciiTheme="minorEastAsia" w:hAnsiTheme="minorEastAsia" w:eastAsiaTheme="minorEastAsia"/>
          <w:b/>
          <w:bCs/>
          <w:sz w:val="30"/>
          <w:szCs w:val="30"/>
        </w:rPr>
        <w:t>绩效评价指标分析</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（一）项目决策情况。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本项目符合社会发展规划和部门年度工作计划，根据实际需要和工作特点制定近期实施计划，为项目的实施提供了较好的方向性指导。</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（二）项目过程情况。</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通过执行县委政府的安排，财政预算25万元用于该项目的实施，最终据实结算相关费用支出。同时我局安排专人监督相关部门保质保量完成该项目的正常运转。</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（三）项目产出情况。</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1、定期开展巡查工作，全年大于250余次；</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2、对违章建筑进行行政处罚，基本控制违章建筑数量；</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3、各项支出资金得到及时拨付；</w:t>
      </w:r>
    </w:p>
    <w:p>
      <w:pPr>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3、项目的资金控制在了100万元。</w:t>
      </w:r>
    </w:p>
    <w:p>
      <w:pPr>
        <w:spacing w:line="600" w:lineRule="exact"/>
        <w:ind w:left="0"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（四）项目效益情况。</w:t>
      </w:r>
    </w:p>
    <w:p>
      <w:pPr>
        <w:spacing w:line="560" w:lineRule="exact"/>
        <w:ind w:firstLine="640" w:firstLineChars="200"/>
        <w:jc w:val="left"/>
        <w:rPr>
          <w:rFonts w:hint="eastAsia" w:ascii="宋体" w:hAnsi="宋体" w:eastAsia="宋体"/>
          <w:sz w:val="30"/>
          <w:szCs w:val="30"/>
          <w:lang w:val="en-US" w:eastAsia="zh-CN"/>
        </w:rPr>
      </w:pPr>
      <w:r>
        <w:rPr>
          <w:rFonts w:hint="eastAsia" w:ascii="仿宋_GB2312" w:eastAsia="仿宋_GB2312"/>
          <w:color w:val="000000"/>
          <w:sz w:val="32"/>
          <w:szCs w:val="32"/>
          <w:lang w:val="en-US" w:eastAsia="zh-CN"/>
        </w:rPr>
        <w:t>通过对该项目的运行，改善了人居环境，减少了违章建筑，消除了安全隐患。该项目能持续运行，对市民的生产生活能发挥较大作用。通过问卷调查，社会公众满意度≧95%。</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五、主要经验及做法、存在的问题及原因分析</w:t>
      </w:r>
    </w:p>
    <w:p>
      <w:pPr>
        <w:spacing w:line="560" w:lineRule="exact"/>
        <w:ind w:firstLine="600" w:firstLineChars="200"/>
        <w:jc w:val="left"/>
        <w:rPr>
          <w:rFonts w:hint="eastAsia" w:ascii="宋体" w:hAnsi="宋体" w:cs="Arial"/>
          <w:color w:val="191919"/>
          <w:sz w:val="30"/>
          <w:szCs w:val="30"/>
          <w:shd w:val="clear" w:color="auto" w:fill="FFFFFF"/>
          <w:lang w:val="en-US" w:eastAsia="zh-CN"/>
        </w:rPr>
      </w:pPr>
      <w:r>
        <w:rPr>
          <w:rFonts w:hint="eastAsia" w:ascii="宋体" w:hAnsi="宋体" w:cs="Arial"/>
          <w:color w:val="191919"/>
          <w:sz w:val="30"/>
          <w:szCs w:val="30"/>
          <w:shd w:val="clear" w:color="auto" w:fill="FFFFFF"/>
          <w:lang w:val="en-US" w:eastAsia="zh-CN"/>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六、有关建议</w:t>
      </w:r>
    </w:p>
    <w:p>
      <w:pPr>
        <w:spacing w:line="560" w:lineRule="exact"/>
        <w:ind w:firstLine="600" w:firstLineChars="200"/>
        <w:jc w:val="left"/>
        <w:rPr>
          <w:rFonts w:ascii="宋体" w:hAnsi="宋体" w:eastAsia="宋体"/>
          <w:bCs/>
          <w:sz w:val="30"/>
          <w:szCs w:val="30"/>
        </w:rPr>
      </w:pPr>
      <w:r>
        <w:rPr>
          <w:rFonts w:hint="eastAsia" w:ascii="宋体" w:hAnsi="宋体" w:eastAsia="宋体"/>
          <w:bCs/>
          <w:sz w:val="30"/>
          <w:szCs w:val="30"/>
        </w:rPr>
        <w:t>无。</w:t>
      </w:r>
    </w:p>
    <w:p>
      <w:pPr>
        <w:spacing w:line="560" w:lineRule="exact"/>
        <w:ind w:firstLine="602" w:firstLineChars="200"/>
        <w:jc w:val="left"/>
        <w:rPr>
          <w:rFonts w:ascii="宋体" w:hAnsi="宋体" w:eastAsia="宋体"/>
          <w:b/>
          <w:bCs/>
          <w:sz w:val="30"/>
          <w:szCs w:val="30"/>
        </w:rPr>
      </w:pPr>
      <w:r>
        <w:rPr>
          <w:rFonts w:hint="eastAsia" w:ascii="宋体" w:hAnsi="宋体" w:eastAsia="宋体"/>
          <w:b/>
          <w:bCs/>
          <w:sz w:val="30"/>
          <w:szCs w:val="30"/>
        </w:rPr>
        <w:t>七、其他需要说明的问题</w:t>
      </w:r>
    </w:p>
    <w:p>
      <w:pPr>
        <w:pStyle w:val="5"/>
        <w:widowControl w:val="0"/>
        <w:spacing w:before="0" w:beforeAutospacing="0" w:after="0" w:afterAutospacing="0" w:line="52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无。</w:t>
      </w:r>
    </w:p>
    <w:p>
      <w:pPr>
        <w:pStyle w:val="5"/>
        <w:widowControl w:val="0"/>
        <w:spacing w:before="0" w:beforeAutospacing="0" w:after="0" w:afterAutospacing="0" w:line="520" w:lineRule="exact"/>
        <w:rPr>
          <w:rFonts w:hint="eastAsia" w:ascii="宋体" w:hAnsi="宋体" w:eastAsia="宋体" w:cs="Times New Roman"/>
          <w:sz w:val="30"/>
          <w:szCs w:val="30"/>
        </w:rPr>
      </w:pPr>
    </w:p>
    <w:p>
      <w:pPr>
        <w:pStyle w:val="5"/>
        <w:widowControl w:val="0"/>
        <w:spacing w:before="0" w:beforeAutospacing="0" w:after="0" w:afterAutospacing="0" w:line="520" w:lineRule="exact"/>
        <w:ind w:firstLine="600" w:firstLineChars="200"/>
        <w:rPr>
          <w:rFonts w:ascii="宋体" w:hAnsi="宋体" w:eastAsia="宋体" w:cs="Times New Roman"/>
          <w:sz w:val="30"/>
          <w:szCs w:val="30"/>
        </w:rPr>
      </w:pPr>
    </w:p>
    <w:p>
      <w:pPr>
        <w:ind w:left="8400" w:hanging="8400" w:hangingChars="2800"/>
        <w:rPr>
          <w:rFonts w:ascii="宋体" w:hAnsi="宋体" w:eastAsia="宋体"/>
          <w:sz w:val="30"/>
          <w:szCs w:val="30"/>
        </w:rPr>
      </w:pP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eastAsia="宋体"/>
          <w:sz w:val="30"/>
          <w:szCs w:val="30"/>
        </w:rPr>
        <w:t xml:space="preserve">  </w:t>
      </w:r>
      <w:r>
        <w:rPr>
          <w:rFonts w:ascii="宋体" w:hAnsi="宋体" w:eastAsia="宋体"/>
          <w:sz w:val="30"/>
          <w:szCs w:val="30"/>
        </w:rPr>
        <w:t xml:space="preserve">项目单位（签）                        </w:t>
      </w:r>
    </w:p>
    <w:p>
      <w:pPr>
        <w:ind w:right="600"/>
        <w:jc w:val="right"/>
        <w:rPr>
          <w:rFonts w:hint="eastAsia"/>
          <w:lang w:val="en-US" w:eastAsia="zh-CN"/>
        </w:rPr>
      </w:pPr>
      <w:r>
        <w:rPr>
          <w:rFonts w:hint="eastAsia" w:ascii="宋体" w:hAnsi="宋体" w:eastAsia="宋体"/>
          <w:sz w:val="30"/>
          <w:szCs w:val="30"/>
        </w:rPr>
        <w:t xml:space="preserve"> </w:t>
      </w:r>
      <w:r>
        <w:rPr>
          <w:rFonts w:ascii="宋体" w:hAnsi="宋体" w:eastAsia="宋体"/>
          <w:sz w:val="30"/>
          <w:szCs w:val="30"/>
        </w:rPr>
        <w:t xml:space="preserve">  </w:t>
      </w:r>
      <w:r>
        <w:rPr>
          <w:rFonts w:hint="eastAsia" w:ascii="宋体" w:hAnsi="宋体"/>
          <w:sz w:val="30"/>
          <w:szCs w:val="30"/>
          <w:lang w:val="en-US" w:eastAsia="zh-CN"/>
        </w:rPr>
        <w:t>4</w:t>
      </w:r>
      <w:r>
        <w:rPr>
          <w:rFonts w:ascii="宋体" w:hAnsi="宋体" w:eastAsia="宋体"/>
          <w:sz w:val="30"/>
          <w:szCs w:val="30"/>
        </w:rPr>
        <w:t xml:space="preserve"> 月 </w:t>
      </w:r>
      <w:r>
        <w:rPr>
          <w:rFonts w:hint="eastAsia" w:ascii="宋体" w:hAnsi="宋体" w:eastAsia="宋体"/>
          <w:sz w:val="30"/>
          <w:szCs w:val="30"/>
          <w:lang w:val="en-US" w:eastAsia="zh-CN"/>
        </w:rPr>
        <w:t>18</w:t>
      </w:r>
      <w:r>
        <w:rPr>
          <w:rFonts w:ascii="宋体" w:hAnsi="宋体" w:eastAsia="宋体"/>
          <w:sz w:val="30"/>
          <w:szCs w:val="30"/>
        </w:rPr>
        <w:t xml:space="preserve"> 日</w:t>
      </w: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rFonts w:hint="eastAsia" w:ascii="仿宋_GB2312" w:hAnsi="仿宋_GB2312" w:eastAsia="仿宋_GB2312" w:cs="仿宋_GB2312"/>
          <w:sz w:val="24"/>
        </w:rPr>
      </w:pPr>
    </w:p>
    <w:p>
      <w:pPr>
        <w:spacing w:line="560" w:lineRule="exact"/>
        <w:ind w:left="0"/>
        <w:jc w:val="left"/>
        <w:rPr>
          <w:sz w:val="24"/>
        </w:rPr>
      </w:pPr>
      <w:r>
        <w:rPr>
          <w:rFonts w:hint="eastAsia" w:ascii="仿宋_GB2312" w:hAnsi="仿宋_GB2312" w:eastAsia="仿宋_GB2312" w:cs="仿宋_GB2312"/>
          <w:sz w:val="24"/>
        </w:rPr>
        <w:t>附件3-1</w:t>
      </w:r>
      <w:bookmarkStart w:id="0" w:name="_GoBack"/>
      <w:bookmarkEnd w:id="0"/>
    </w:p>
    <w:p>
      <w:pPr>
        <w:pStyle w:val="5"/>
        <w:widowControl w:val="0"/>
        <w:spacing w:before="0" w:beforeAutospacing="0" w:after="0" w:afterAutospacing="0" w:line="800" w:lineRule="exact"/>
        <w:jc w:val="center"/>
        <w:rPr>
          <w:rStyle w:val="9"/>
          <w:rFonts w:ascii="Times New Roman" w:hAnsi="Times New Roman" w:eastAsia="方正粗宋简体" w:cs="Times New Roman"/>
          <w:b w:val="0"/>
          <w:sz w:val="44"/>
          <w:szCs w:val="44"/>
        </w:rPr>
      </w:pPr>
      <w:r>
        <w:rPr>
          <w:rStyle w:val="9"/>
          <w:rFonts w:hint="eastAsia" w:ascii="Times New Roman" w:hAnsi="Times New Roman" w:eastAsia="方正粗宋简体" w:cs="Times New Roman"/>
          <w:b w:val="0"/>
          <w:sz w:val="44"/>
          <w:szCs w:val="44"/>
          <w:lang w:eastAsia="zh-CN"/>
        </w:rPr>
        <w:t>2023</w:t>
      </w:r>
      <w:r>
        <w:rPr>
          <w:rStyle w:val="9"/>
          <w:rFonts w:ascii="Times New Roman" w:hAnsi="Times New Roman" w:eastAsia="方正粗宋简体" w:cs="Times New Roman"/>
          <w:b w:val="0"/>
          <w:sz w:val="44"/>
          <w:szCs w:val="44"/>
        </w:rPr>
        <w:t>年度绩效自评完成情况汇总表</w:t>
      </w:r>
    </w:p>
    <w:p>
      <w:pPr>
        <w:spacing w:line="400" w:lineRule="exact"/>
        <w:rPr>
          <w:rFonts w:eastAsia="华文中宋"/>
          <w:sz w:val="24"/>
        </w:rPr>
      </w:pPr>
      <w:r>
        <w:rPr>
          <w:rFonts w:eastAsia="华文中宋"/>
          <w:sz w:val="24"/>
        </w:rPr>
        <w:t>主管部门（盖章）：               填报人： </w:t>
      </w:r>
      <w:r>
        <w:rPr>
          <w:rFonts w:hint="eastAsia" w:asciiTheme="minorEastAsia" w:hAnsiTheme="minorEastAsia" w:eastAsiaTheme="minorEastAsia"/>
          <w:sz w:val="24"/>
          <w:lang w:eastAsia="zh-CN"/>
        </w:rPr>
        <w:t>李新建</w:t>
      </w:r>
      <w:r>
        <w:rPr>
          <w:rFonts w:eastAsia="华文中宋"/>
          <w:sz w:val="24"/>
        </w:rPr>
        <w:t>             联系电话： </w:t>
      </w:r>
      <w:r>
        <w:rPr>
          <w:rFonts w:hint="eastAsia" w:eastAsia="华文中宋"/>
          <w:sz w:val="24"/>
          <w:lang w:eastAsia="zh-CN"/>
        </w:rPr>
        <w:t>18874521781</w:t>
      </w:r>
      <w:r>
        <w:rPr>
          <w:rFonts w:eastAsia="华文中宋"/>
          <w:sz w:val="24"/>
        </w:rPr>
        <w:t>         </w:t>
      </w:r>
    </w:p>
    <w:tbl>
      <w:tblPr>
        <w:tblStyle w:val="6"/>
        <w:tblW w:w="968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704"/>
        <w:gridCol w:w="1894"/>
        <w:gridCol w:w="2410"/>
        <w:gridCol w:w="776"/>
        <w:gridCol w:w="862"/>
        <w:gridCol w:w="992"/>
        <w:gridCol w:w="733"/>
        <w:gridCol w:w="777"/>
        <w:gridCol w:w="5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restart"/>
            <w:tcBorders>
              <w:top w:val="single" w:color="auto" w:sz="2" w:space="0"/>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序号</w:t>
            </w:r>
          </w:p>
        </w:tc>
        <w:tc>
          <w:tcPr>
            <w:tcW w:w="1894"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项目单位</w:t>
            </w:r>
          </w:p>
        </w:tc>
        <w:tc>
          <w:tcPr>
            <w:tcW w:w="2410"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项目名称</w:t>
            </w:r>
          </w:p>
        </w:tc>
        <w:tc>
          <w:tcPr>
            <w:tcW w:w="2630" w:type="dxa"/>
            <w:gridSpan w:val="3"/>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项目资金情况</w:t>
            </w:r>
          </w:p>
        </w:tc>
        <w:tc>
          <w:tcPr>
            <w:tcW w:w="733"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自评分数</w:t>
            </w:r>
          </w:p>
        </w:tc>
        <w:tc>
          <w:tcPr>
            <w:tcW w:w="777" w:type="dxa"/>
            <w:vMerge w:val="restart"/>
            <w:tcBorders>
              <w:top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自评等级</w:t>
            </w:r>
          </w:p>
        </w:tc>
        <w:tc>
          <w:tcPr>
            <w:tcW w:w="532" w:type="dxa"/>
            <w:vMerge w:val="restart"/>
            <w:tcBorders>
              <w:top w:val="single" w:color="auto" w:sz="2" w:space="0"/>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vAlign w:val="center"/>
          </w:tcPr>
          <w:p>
            <w:pPr>
              <w:spacing w:line="300" w:lineRule="exact"/>
              <w:jc w:val="center"/>
              <w:rPr>
                <w:rFonts w:eastAsia="仿宋_GB2312"/>
                <w:sz w:val="24"/>
              </w:rPr>
            </w:pPr>
          </w:p>
        </w:tc>
        <w:tc>
          <w:tcPr>
            <w:tcW w:w="1894" w:type="dxa"/>
            <w:vMerge w:val="continue"/>
            <w:vAlign w:val="center"/>
          </w:tcPr>
          <w:p>
            <w:pPr>
              <w:spacing w:line="300" w:lineRule="exact"/>
              <w:jc w:val="center"/>
              <w:rPr>
                <w:rFonts w:eastAsia="仿宋_GB2312"/>
                <w:sz w:val="24"/>
              </w:rPr>
            </w:pPr>
          </w:p>
        </w:tc>
        <w:tc>
          <w:tcPr>
            <w:tcW w:w="2410" w:type="dxa"/>
            <w:vMerge w:val="continue"/>
            <w:vAlign w:val="center"/>
          </w:tcPr>
          <w:p>
            <w:pPr>
              <w:spacing w:line="300" w:lineRule="exact"/>
              <w:jc w:val="center"/>
              <w:rPr>
                <w:rFonts w:eastAsia="仿宋_GB2312"/>
                <w:sz w:val="24"/>
              </w:rPr>
            </w:pPr>
          </w:p>
        </w:tc>
        <w:tc>
          <w:tcPr>
            <w:tcW w:w="776" w:type="dxa"/>
            <w:vMerge w:val="restart"/>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预算总金额</w:t>
            </w:r>
          </w:p>
        </w:tc>
        <w:tc>
          <w:tcPr>
            <w:tcW w:w="1854" w:type="dxa"/>
            <w:gridSpan w:val="2"/>
            <w:tcMar>
              <w:top w:w="15" w:type="dxa"/>
              <w:left w:w="15" w:type="dxa"/>
              <w:bottom w:w="15" w:type="dxa"/>
              <w:right w:w="15" w:type="dxa"/>
            </w:tcMar>
          </w:tcPr>
          <w:p>
            <w:pPr>
              <w:spacing w:line="300" w:lineRule="exact"/>
              <w:rPr>
                <w:rFonts w:eastAsia="仿宋_GB2312"/>
                <w:sz w:val="24"/>
              </w:rPr>
            </w:pPr>
            <w:r>
              <w:rPr>
                <w:rFonts w:eastAsia="仿宋_GB2312"/>
                <w:sz w:val="24"/>
              </w:rPr>
              <w:t>其中：</w:t>
            </w:r>
          </w:p>
          <w:p>
            <w:pPr>
              <w:spacing w:line="300" w:lineRule="exact"/>
              <w:ind w:firstLine="240" w:firstLineChars="100"/>
              <w:rPr>
                <w:rFonts w:eastAsia="仿宋_GB2312"/>
                <w:sz w:val="24"/>
              </w:rPr>
            </w:pPr>
            <w:r>
              <w:rPr>
                <w:rFonts w:eastAsia="仿宋_GB2312"/>
                <w:sz w:val="24"/>
              </w:rPr>
              <w:t>县级财政资金</w:t>
            </w:r>
          </w:p>
        </w:tc>
        <w:tc>
          <w:tcPr>
            <w:tcW w:w="733" w:type="dxa"/>
            <w:vMerge w:val="continue"/>
            <w:vAlign w:val="center"/>
          </w:tcPr>
          <w:p>
            <w:pPr>
              <w:spacing w:line="300" w:lineRule="exact"/>
              <w:jc w:val="center"/>
              <w:rPr>
                <w:rFonts w:eastAsia="仿宋_GB2312"/>
                <w:sz w:val="24"/>
              </w:rPr>
            </w:pPr>
          </w:p>
        </w:tc>
        <w:tc>
          <w:tcPr>
            <w:tcW w:w="777" w:type="dxa"/>
            <w:vMerge w:val="continue"/>
            <w:vAlign w:val="center"/>
          </w:tcPr>
          <w:p>
            <w:pPr>
              <w:spacing w:line="300" w:lineRule="exact"/>
              <w:jc w:val="center"/>
              <w:rPr>
                <w:rFonts w:eastAsia="仿宋_GB2312"/>
                <w:sz w:val="24"/>
              </w:rPr>
            </w:pPr>
          </w:p>
        </w:tc>
        <w:tc>
          <w:tcPr>
            <w:tcW w:w="532" w:type="dxa"/>
            <w:vMerge w:val="continue"/>
            <w:tcBorders>
              <w:right w:val="single" w:color="auto" w:sz="2" w:space="0"/>
            </w:tcBorders>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vAlign w:val="center"/>
          </w:tcPr>
          <w:p>
            <w:pPr>
              <w:spacing w:line="300" w:lineRule="exact"/>
              <w:jc w:val="center"/>
              <w:rPr>
                <w:rFonts w:eastAsia="仿宋_GB2312"/>
                <w:sz w:val="24"/>
              </w:rPr>
            </w:pPr>
          </w:p>
        </w:tc>
        <w:tc>
          <w:tcPr>
            <w:tcW w:w="1894" w:type="dxa"/>
            <w:vMerge w:val="continue"/>
            <w:vAlign w:val="center"/>
          </w:tcPr>
          <w:p>
            <w:pPr>
              <w:spacing w:line="300" w:lineRule="exact"/>
              <w:jc w:val="center"/>
              <w:rPr>
                <w:rFonts w:eastAsia="仿宋_GB2312"/>
                <w:sz w:val="24"/>
              </w:rPr>
            </w:pPr>
          </w:p>
        </w:tc>
        <w:tc>
          <w:tcPr>
            <w:tcW w:w="2410" w:type="dxa"/>
            <w:vMerge w:val="continue"/>
            <w:vAlign w:val="center"/>
          </w:tcPr>
          <w:p>
            <w:pPr>
              <w:spacing w:line="300" w:lineRule="exact"/>
              <w:jc w:val="center"/>
              <w:rPr>
                <w:rFonts w:eastAsia="仿宋_GB2312"/>
                <w:sz w:val="24"/>
              </w:rPr>
            </w:pPr>
          </w:p>
        </w:tc>
        <w:tc>
          <w:tcPr>
            <w:tcW w:w="776" w:type="dxa"/>
            <w:vMerge w:val="continue"/>
            <w:vAlign w:val="center"/>
          </w:tcPr>
          <w:p>
            <w:pPr>
              <w:spacing w:line="300" w:lineRule="exact"/>
              <w:jc w:val="center"/>
              <w:rPr>
                <w:rFonts w:eastAsia="仿宋_GB2312"/>
                <w:sz w:val="24"/>
              </w:rPr>
            </w:pP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预算</w:t>
            </w:r>
          </w:p>
          <w:p>
            <w:pPr>
              <w:spacing w:line="300" w:lineRule="exact"/>
              <w:jc w:val="center"/>
              <w:rPr>
                <w:rFonts w:eastAsia="仿宋_GB2312"/>
                <w:sz w:val="24"/>
              </w:rPr>
            </w:pPr>
            <w:r>
              <w:rPr>
                <w:rFonts w:eastAsia="仿宋_GB2312"/>
                <w:sz w:val="24"/>
              </w:rPr>
              <w:t>安排</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eastAsia="仿宋_GB2312"/>
                <w:sz w:val="24"/>
              </w:rPr>
              <w:t>实际</w:t>
            </w:r>
          </w:p>
          <w:p>
            <w:pPr>
              <w:spacing w:line="300" w:lineRule="exact"/>
              <w:jc w:val="center"/>
              <w:rPr>
                <w:rFonts w:eastAsia="仿宋_GB2312"/>
                <w:sz w:val="24"/>
              </w:rPr>
            </w:pPr>
            <w:r>
              <w:rPr>
                <w:rFonts w:eastAsia="仿宋_GB2312"/>
                <w:sz w:val="24"/>
              </w:rPr>
              <w:t>支出</w:t>
            </w:r>
          </w:p>
        </w:tc>
        <w:tc>
          <w:tcPr>
            <w:tcW w:w="733" w:type="dxa"/>
            <w:vMerge w:val="continue"/>
            <w:vAlign w:val="center"/>
          </w:tcPr>
          <w:p>
            <w:pPr>
              <w:spacing w:line="300" w:lineRule="exact"/>
              <w:jc w:val="center"/>
              <w:rPr>
                <w:rFonts w:eastAsia="仿宋_GB2312"/>
                <w:sz w:val="24"/>
              </w:rPr>
            </w:pPr>
          </w:p>
        </w:tc>
        <w:tc>
          <w:tcPr>
            <w:tcW w:w="777" w:type="dxa"/>
            <w:vMerge w:val="continue"/>
            <w:vAlign w:val="center"/>
          </w:tcPr>
          <w:p>
            <w:pPr>
              <w:spacing w:line="300" w:lineRule="exact"/>
              <w:jc w:val="center"/>
              <w:rPr>
                <w:rFonts w:eastAsia="仿宋_GB2312"/>
                <w:sz w:val="24"/>
              </w:rPr>
            </w:pPr>
          </w:p>
        </w:tc>
        <w:tc>
          <w:tcPr>
            <w:tcW w:w="532" w:type="dxa"/>
            <w:vMerge w:val="continue"/>
            <w:tcBorders>
              <w:right w:val="single" w:color="auto" w:sz="2" w:space="0"/>
            </w:tcBorders>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9680" w:type="dxa"/>
            <w:gridSpan w:val="9"/>
            <w:tcBorders>
              <w:left w:val="single" w:color="auto" w:sz="2" w:space="0"/>
              <w:right w:val="single" w:color="auto" w:sz="2" w:space="0"/>
            </w:tcBorders>
            <w:tcMar>
              <w:top w:w="15" w:type="dxa"/>
              <w:left w:w="15" w:type="dxa"/>
              <w:bottom w:w="15" w:type="dxa"/>
              <w:right w:w="15" w:type="dxa"/>
            </w:tcMar>
          </w:tcPr>
          <w:p>
            <w:pPr>
              <w:spacing w:line="300" w:lineRule="exact"/>
              <w:rPr>
                <w:rFonts w:eastAsia="仿宋_GB2312"/>
                <w:sz w:val="24"/>
              </w:rPr>
            </w:pPr>
            <w:r>
              <w:rPr>
                <w:rFonts w:eastAsia="仿宋_GB2312"/>
                <w:sz w:val="24"/>
              </w:rPr>
              <w:t>一、项目绩效自评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景观亮化维护和一河两岸电费</w:t>
            </w:r>
          </w:p>
        </w:tc>
        <w:tc>
          <w:tcPr>
            <w:tcW w:w="776"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460</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346.12</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346.12</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89</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2</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城市维护费</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w:t>
            </w:r>
            <w:r>
              <w:rPr>
                <w:rFonts w:hint="eastAsia" w:eastAsia="仿宋_GB2312"/>
                <w:sz w:val="24"/>
                <w:lang w:val="en-US" w:eastAsia="zh-CN"/>
              </w:rPr>
              <w:t>7</w:t>
            </w:r>
            <w:r>
              <w:rPr>
                <w:rFonts w:hint="eastAsia" w:eastAsia="仿宋_GB2312"/>
                <w:sz w:val="24"/>
              </w:rPr>
              <w:t>0</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170</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170</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86</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餐厨垃圾收集处理服务费</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100</w:t>
            </w: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100</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100</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88</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4</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公益性水电及城区路灯维护管养</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85</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83.45</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83.45</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86</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5</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春节城区喜庆美化、亮化</w:t>
            </w:r>
          </w:p>
        </w:tc>
        <w:tc>
          <w:tcPr>
            <w:tcW w:w="776"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30</w:t>
            </w:r>
          </w:p>
        </w:tc>
        <w:tc>
          <w:tcPr>
            <w:tcW w:w="86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30</w:t>
            </w:r>
          </w:p>
        </w:tc>
        <w:tc>
          <w:tcPr>
            <w:tcW w:w="992"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30</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88</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6</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ascii="仿宋_GB2312" w:hAnsi="仿宋_GB2312" w:eastAsia="仿宋_GB2312" w:cs="仿宋_GB2312"/>
                <w:szCs w:val="21"/>
                <w:lang w:val="en-US" w:eastAsia="zh-CN"/>
              </w:rPr>
              <w:t>垃圾无害化处理场运行补差</w:t>
            </w:r>
          </w:p>
        </w:tc>
        <w:tc>
          <w:tcPr>
            <w:tcW w:w="776" w:type="dxa"/>
            <w:tcMar>
              <w:top w:w="15" w:type="dxa"/>
              <w:left w:w="15" w:type="dxa"/>
              <w:bottom w:w="15" w:type="dxa"/>
              <w:right w:w="15" w:type="dxa"/>
            </w:tcMar>
            <w:vAlign w:val="center"/>
          </w:tcPr>
          <w:p>
            <w:pPr>
              <w:keepNext w:val="0"/>
              <w:keepLines w:val="0"/>
              <w:widowControl/>
              <w:suppressLineNumbers w:val="0"/>
              <w:ind w:left="1" w:leftChars="0"/>
              <w:jc w:val="right"/>
              <w:textAlignment w:val="center"/>
              <w:rPr>
                <w:rFonts w:hint="default" w:ascii="宋体" w:hAnsi="宋体" w:eastAsia="宋体" w:cs="宋体"/>
                <w:i w:val="0"/>
                <w:iCs w:val="0"/>
                <w:color w:val="000000"/>
                <w:sz w:val="14"/>
                <w:szCs w:val="14"/>
                <w:u w:val="none"/>
                <w:lang w:val="en-US" w:eastAsia="zh-CN" w:bidi="ar-SA"/>
              </w:rPr>
            </w:pPr>
            <w:r>
              <w:rPr>
                <w:rFonts w:hint="eastAsia" w:eastAsia="仿宋_GB2312"/>
                <w:sz w:val="24"/>
                <w:lang w:val="en-US" w:eastAsia="zh-CN"/>
              </w:rPr>
              <w:t>184.59</w:t>
            </w:r>
          </w:p>
        </w:tc>
        <w:tc>
          <w:tcPr>
            <w:tcW w:w="862" w:type="dxa"/>
            <w:tcMar>
              <w:top w:w="15" w:type="dxa"/>
              <w:left w:w="15" w:type="dxa"/>
              <w:bottom w:w="15" w:type="dxa"/>
              <w:right w:w="15" w:type="dxa"/>
            </w:tcMar>
            <w:vAlign w:val="center"/>
          </w:tcPr>
          <w:p>
            <w:pPr>
              <w:spacing w:line="300" w:lineRule="exact"/>
              <w:ind w:left="1" w:leftChars="0"/>
              <w:jc w:val="center"/>
              <w:rPr>
                <w:rFonts w:eastAsia="仿宋_GB2312"/>
                <w:sz w:val="24"/>
              </w:rPr>
            </w:pPr>
            <w:r>
              <w:rPr>
                <w:rFonts w:hint="eastAsia" w:eastAsia="仿宋_GB2312"/>
                <w:sz w:val="24"/>
                <w:lang w:val="en-US" w:eastAsia="zh-CN"/>
              </w:rPr>
              <w:t>184.59</w:t>
            </w:r>
          </w:p>
        </w:tc>
        <w:tc>
          <w:tcPr>
            <w:tcW w:w="992" w:type="dxa"/>
            <w:tcMar>
              <w:top w:w="15" w:type="dxa"/>
              <w:left w:w="15" w:type="dxa"/>
              <w:bottom w:w="15" w:type="dxa"/>
              <w:right w:w="15" w:type="dxa"/>
            </w:tcMar>
            <w:vAlign w:val="center"/>
          </w:tcPr>
          <w:p>
            <w:pPr>
              <w:spacing w:line="300" w:lineRule="exact"/>
              <w:ind w:left="1" w:leftChars="0"/>
              <w:jc w:val="center"/>
              <w:rPr>
                <w:rFonts w:eastAsia="仿宋_GB2312"/>
                <w:sz w:val="24"/>
              </w:rPr>
            </w:pPr>
            <w:r>
              <w:rPr>
                <w:rFonts w:hint="eastAsia" w:eastAsia="仿宋_GB2312"/>
                <w:sz w:val="24"/>
                <w:lang w:val="en-US" w:eastAsia="zh-CN"/>
              </w:rPr>
              <w:t>184.59</w:t>
            </w:r>
          </w:p>
        </w:tc>
        <w:tc>
          <w:tcPr>
            <w:tcW w:w="733" w:type="dxa"/>
            <w:tcMar>
              <w:top w:w="15" w:type="dxa"/>
              <w:left w:w="15" w:type="dxa"/>
              <w:bottom w:w="15" w:type="dxa"/>
              <w:right w:w="15" w:type="dxa"/>
            </w:tcMar>
            <w:vAlign w:val="center"/>
          </w:tcPr>
          <w:p>
            <w:pPr>
              <w:spacing w:line="300" w:lineRule="exact"/>
              <w:jc w:val="center"/>
              <w:rPr>
                <w:rFonts w:eastAsia="仿宋_GB2312"/>
                <w:sz w:val="24"/>
              </w:rPr>
            </w:pPr>
            <w:r>
              <w:rPr>
                <w:rFonts w:hint="eastAsia" w:eastAsia="仿宋_GB2312"/>
                <w:sz w:val="24"/>
              </w:rPr>
              <w:t>87</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7</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老垃圾场稻田污染赔偿及治理</w:t>
            </w:r>
          </w:p>
        </w:tc>
        <w:tc>
          <w:tcPr>
            <w:tcW w:w="776" w:type="dxa"/>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862" w:type="dxa"/>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992" w:type="dxa"/>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733"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92</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hint="eastAsia" w:eastAsia="仿宋_GB2312"/>
                <w:sz w:val="24"/>
                <w:lang w:val="en-US" w:eastAsia="zh-CN"/>
              </w:rPr>
            </w:pPr>
            <w:r>
              <w:rPr>
                <w:rFonts w:hint="eastAsia" w:eastAsia="仿宋_GB2312"/>
                <w:sz w:val="24"/>
                <w:lang w:val="en-US" w:eastAsia="zh-CN"/>
              </w:rPr>
              <w:t>8</w:t>
            </w:r>
          </w:p>
        </w:tc>
        <w:tc>
          <w:tcPr>
            <w:tcW w:w="1894" w:type="dxa"/>
            <w:tcMar>
              <w:top w:w="15" w:type="dxa"/>
              <w:left w:w="15" w:type="dxa"/>
              <w:bottom w:w="15" w:type="dxa"/>
              <w:right w:w="15" w:type="dxa"/>
            </w:tcMar>
            <w:vAlign w:val="center"/>
          </w:tcPr>
          <w:p>
            <w:pPr>
              <w:spacing w:line="300" w:lineRule="exact"/>
              <w:jc w:val="center"/>
              <w:rPr>
                <w:rFonts w:eastAsia="仿宋_GB2312"/>
                <w:sz w:val="24"/>
              </w:rPr>
            </w:pPr>
            <w:r>
              <w:rPr>
                <w:rFonts w:hint="eastAsia" w:ascii="仿宋_GB2312" w:hAnsi="仿宋_GB2312" w:eastAsia="仿宋_GB2312" w:cs="仿宋_GB2312"/>
                <w:szCs w:val="21"/>
              </w:rPr>
              <w:t>城市管理和综合执法局</w:t>
            </w:r>
          </w:p>
        </w:tc>
        <w:tc>
          <w:tcPr>
            <w:tcW w:w="2410" w:type="dxa"/>
            <w:tcMar>
              <w:top w:w="15" w:type="dxa"/>
              <w:left w:w="15" w:type="dxa"/>
              <w:bottom w:w="15" w:type="dxa"/>
              <w:right w:w="15" w:type="dxa"/>
            </w:tcMar>
            <w:vAlign w:val="center"/>
          </w:tcPr>
          <w:p>
            <w:pPr>
              <w:spacing w:line="30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两违办经费</w:t>
            </w:r>
          </w:p>
        </w:tc>
        <w:tc>
          <w:tcPr>
            <w:tcW w:w="776"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100</w:t>
            </w: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100</w:t>
            </w: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100</w:t>
            </w:r>
          </w:p>
        </w:tc>
        <w:tc>
          <w:tcPr>
            <w:tcW w:w="733"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r>
              <w:rPr>
                <w:rFonts w:hint="eastAsia" w:eastAsia="仿宋_GB2312"/>
                <w:sz w:val="24"/>
                <w:lang w:val="en-US" w:eastAsia="zh-CN"/>
              </w:rPr>
              <w:t>91</w:t>
            </w: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hint="eastAsia" w:eastAsia="仿宋_GB2312"/>
                <w:sz w:val="24"/>
                <w:lang w:val="en-US" w:eastAsia="zh-CN"/>
              </w:rPr>
            </w:pPr>
          </w:p>
        </w:tc>
        <w:tc>
          <w:tcPr>
            <w:tcW w:w="1894" w:type="dxa"/>
            <w:tcMar>
              <w:top w:w="15" w:type="dxa"/>
              <w:left w:w="15" w:type="dxa"/>
              <w:bottom w:w="15" w:type="dxa"/>
              <w:right w:w="15" w:type="dxa"/>
            </w:tcMar>
            <w:vAlign w:val="center"/>
          </w:tcPr>
          <w:p>
            <w:pPr>
              <w:spacing w:line="300" w:lineRule="exact"/>
              <w:jc w:val="center"/>
              <w:rPr>
                <w:rFonts w:eastAsia="仿宋_GB2312"/>
                <w:sz w:val="24"/>
              </w:rPr>
            </w:pPr>
          </w:p>
        </w:tc>
        <w:tc>
          <w:tcPr>
            <w:tcW w:w="2410" w:type="dxa"/>
            <w:tcMar>
              <w:top w:w="15" w:type="dxa"/>
              <w:left w:w="15" w:type="dxa"/>
              <w:bottom w:w="15" w:type="dxa"/>
              <w:right w:w="15" w:type="dxa"/>
            </w:tcMar>
            <w:vAlign w:val="center"/>
          </w:tcPr>
          <w:p>
            <w:pPr>
              <w:spacing w:line="300" w:lineRule="exact"/>
              <w:jc w:val="center"/>
              <w:rPr>
                <w:rFonts w:hint="eastAsia" w:ascii="仿宋_GB2312" w:hAnsi="仿宋_GB2312" w:eastAsia="仿宋_GB2312" w:cs="仿宋_GB2312"/>
                <w:szCs w:val="21"/>
              </w:rPr>
            </w:pPr>
          </w:p>
        </w:tc>
        <w:tc>
          <w:tcPr>
            <w:tcW w:w="776"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p>
        </w:tc>
        <w:tc>
          <w:tcPr>
            <w:tcW w:w="86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p>
        </w:tc>
        <w:tc>
          <w:tcPr>
            <w:tcW w:w="992"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p>
        </w:tc>
        <w:tc>
          <w:tcPr>
            <w:tcW w:w="733" w:type="dxa"/>
            <w:tcMar>
              <w:top w:w="15" w:type="dxa"/>
              <w:left w:w="15" w:type="dxa"/>
              <w:bottom w:w="15" w:type="dxa"/>
              <w:right w:w="15" w:type="dxa"/>
            </w:tcMar>
            <w:vAlign w:val="center"/>
          </w:tcPr>
          <w:p>
            <w:pPr>
              <w:spacing w:line="300" w:lineRule="exact"/>
              <w:jc w:val="center"/>
              <w:rPr>
                <w:rFonts w:hint="default" w:eastAsia="仿宋_GB2312"/>
                <w:sz w:val="24"/>
                <w:lang w:val="en-US" w:eastAsia="zh-CN"/>
              </w:rPr>
            </w:pP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c>
          <w:tcPr>
            <w:tcW w:w="1894" w:type="dxa"/>
            <w:tcMar>
              <w:top w:w="15" w:type="dxa"/>
              <w:left w:w="15" w:type="dxa"/>
              <w:bottom w:w="15" w:type="dxa"/>
              <w:right w:w="15" w:type="dxa"/>
            </w:tcMar>
            <w:vAlign w:val="center"/>
          </w:tcPr>
          <w:p>
            <w:pPr>
              <w:spacing w:line="300" w:lineRule="exact"/>
              <w:jc w:val="center"/>
              <w:rPr>
                <w:rFonts w:eastAsia="仿宋_GB2312"/>
                <w:sz w:val="24"/>
              </w:rPr>
            </w:pPr>
          </w:p>
        </w:tc>
        <w:tc>
          <w:tcPr>
            <w:tcW w:w="2410" w:type="dxa"/>
            <w:tcMar>
              <w:top w:w="15" w:type="dxa"/>
              <w:left w:w="15" w:type="dxa"/>
              <w:bottom w:w="15" w:type="dxa"/>
              <w:right w:w="15" w:type="dxa"/>
            </w:tcMar>
            <w:vAlign w:val="center"/>
          </w:tcPr>
          <w:p>
            <w:pPr>
              <w:spacing w:line="300" w:lineRule="exact"/>
              <w:jc w:val="center"/>
              <w:rPr>
                <w:rFonts w:eastAsia="仿宋_GB2312"/>
                <w:sz w:val="24"/>
              </w:rPr>
            </w:pPr>
          </w:p>
        </w:tc>
        <w:tc>
          <w:tcPr>
            <w:tcW w:w="776" w:type="dxa"/>
            <w:tcMar>
              <w:top w:w="15" w:type="dxa"/>
              <w:left w:w="15" w:type="dxa"/>
              <w:bottom w:w="15" w:type="dxa"/>
              <w:right w:w="15" w:type="dxa"/>
            </w:tcMar>
            <w:vAlign w:val="center"/>
          </w:tcPr>
          <w:p>
            <w:pPr>
              <w:spacing w:line="300" w:lineRule="exact"/>
              <w:jc w:val="center"/>
              <w:rPr>
                <w:rFonts w:eastAsia="仿宋_GB2312"/>
                <w:sz w:val="24"/>
              </w:rPr>
            </w:pPr>
          </w:p>
        </w:tc>
        <w:tc>
          <w:tcPr>
            <w:tcW w:w="862" w:type="dxa"/>
            <w:tcMar>
              <w:top w:w="15" w:type="dxa"/>
              <w:left w:w="15" w:type="dxa"/>
              <w:bottom w:w="15" w:type="dxa"/>
              <w:right w:w="15" w:type="dxa"/>
            </w:tcMar>
            <w:vAlign w:val="center"/>
          </w:tcPr>
          <w:p>
            <w:pPr>
              <w:spacing w:line="300" w:lineRule="exact"/>
              <w:jc w:val="center"/>
              <w:rPr>
                <w:rFonts w:eastAsia="仿宋_GB2312"/>
                <w:sz w:val="24"/>
              </w:rPr>
            </w:pPr>
          </w:p>
        </w:tc>
        <w:tc>
          <w:tcPr>
            <w:tcW w:w="992" w:type="dxa"/>
            <w:tcMar>
              <w:top w:w="15" w:type="dxa"/>
              <w:left w:w="15" w:type="dxa"/>
              <w:bottom w:w="15" w:type="dxa"/>
              <w:right w:w="15" w:type="dxa"/>
            </w:tcMar>
            <w:vAlign w:val="center"/>
          </w:tcPr>
          <w:p>
            <w:pPr>
              <w:spacing w:line="300" w:lineRule="exact"/>
              <w:jc w:val="center"/>
              <w:rPr>
                <w:rFonts w:eastAsia="仿宋_GB2312"/>
                <w:sz w:val="24"/>
              </w:rPr>
            </w:pPr>
          </w:p>
        </w:tc>
        <w:tc>
          <w:tcPr>
            <w:tcW w:w="733" w:type="dxa"/>
            <w:tcMar>
              <w:top w:w="15" w:type="dxa"/>
              <w:left w:w="15" w:type="dxa"/>
              <w:bottom w:w="15" w:type="dxa"/>
              <w:right w:w="15" w:type="dxa"/>
            </w:tcMar>
            <w:vAlign w:val="center"/>
          </w:tcPr>
          <w:p>
            <w:pPr>
              <w:spacing w:line="300" w:lineRule="exact"/>
              <w:jc w:val="center"/>
              <w:rPr>
                <w:rFonts w:eastAsia="仿宋_GB2312"/>
                <w:sz w:val="24"/>
              </w:rPr>
            </w:pP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67" w:hRule="atLeast"/>
          <w:tblCellSpacing w:w="0" w:type="dxa"/>
          <w:jc w:val="center"/>
        </w:trPr>
        <w:tc>
          <w:tcPr>
            <w:tcW w:w="704" w:type="dxa"/>
            <w:tcBorders>
              <w:lef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c>
          <w:tcPr>
            <w:tcW w:w="1894" w:type="dxa"/>
            <w:tcMar>
              <w:top w:w="15" w:type="dxa"/>
              <w:left w:w="15" w:type="dxa"/>
              <w:bottom w:w="15" w:type="dxa"/>
              <w:right w:w="15" w:type="dxa"/>
            </w:tcMar>
            <w:vAlign w:val="center"/>
          </w:tcPr>
          <w:p>
            <w:pPr>
              <w:spacing w:line="300" w:lineRule="exact"/>
              <w:jc w:val="center"/>
              <w:rPr>
                <w:rFonts w:eastAsia="仿宋_GB2312"/>
                <w:sz w:val="24"/>
              </w:rPr>
            </w:pPr>
          </w:p>
        </w:tc>
        <w:tc>
          <w:tcPr>
            <w:tcW w:w="2410" w:type="dxa"/>
            <w:tcMar>
              <w:top w:w="15" w:type="dxa"/>
              <w:left w:w="15" w:type="dxa"/>
              <w:bottom w:w="15" w:type="dxa"/>
              <w:right w:w="15" w:type="dxa"/>
            </w:tcMar>
            <w:vAlign w:val="center"/>
          </w:tcPr>
          <w:p>
            <w:pPr>
              <w:spacing w:line="300" w:lineRule="exact"/>
              <w:jc w:val="center"/>
              <w:rPr>
                <w:rFonts w:eastAsia="仿宋_GB2312"/>
                <w:sz w:val="24"/>
              </w:rPr>
            </w:pPr>
          </w:p>
        </w:tc>
        <w:tc>
          <w:tcPr>
            <w:tcW w:w="776" w:type="dxa"/>
            <w:tcMar>
              <w:top w:w="15" w:type="dxa"/>
              <w:left w:w="15" w:type="dxa"/>
              <w:bottom w:w="15" w:type="dxa"/>
              <w:right w:w="15" w:type="dxa"/>
            </w:tcMar>
            <w:vAlign w:val="center"/>
          </w:tcPr>
          <w:p>
            <w:pPr>
              <w:spacing w:line="300" w:lineRule="exact"/>
              <w:jc w:val="center"/>
              <w:rPr>
                <w:rFonts w:eastAsia="仿宋_GB2312"/>
                <w:sz w:val="24"/>
              </w:rPr>
            </w:pPr>
          </w:p>
        </w:tc>
        <w:tc>
          <w:tcPr>
            <w:tcW w:w="862" w:type="dxa"/>
            <w:tcMar>
              <w:top w:w="15" w:type="dxa"/>
              <w:left w:w="15" w:type="dxa"/>
              <w:bottom w:w="15" w:type="dxa"/>
              <w:right w:w="15" w:type="dxa"/>
            </w:tcMar>
            <w:vAlign w:val="center"/>
          </w:tcPr>
          <w:p>
            <w:pPr>
              <w:spacing w:line="300" w:lineRule="exact"/>
              <w:jc w:val="center"/>
              <w:rPr>
                <w:rFonts w:eastAsia="仿宋_GB2312"/>
                <w:sz w:val="24"/>
              </w:rPr>
            </w:pPr>
          </w:p>
        </w:tc>
        <w:tc>
          <w:tcPr>
            <w:tcW w:w="992" w:type="dxa"/>
            <w:tcMar>
              <w:top w:w="15" w:type="dxa"/>
              <w:left w:w="15" w:type="dxa"/>
              <w:bottom w:w="15" w:type="dxa"/>
              <w:right w:w="15" w:type="dxa"/>
            </w:tcMar>
            <w:vAlign w:val="center"/>
          </w:tcPr>
          <w:p>
            <w:pPr>
              <w:spacing w:line="300" w:lineRule="exact"/>
              <w:jc w:val="center"/>
              <w:rPr>
                <w:rFonts w:eastAsia="仿宋_GB2312"/>
                <w:sz w:val="24"/>
              </w:rPr>
            </w:pPr>
          </w:p>
        </w:tc>
        <w:tc>
          <w:tcPr>
            <w:tcW w:w="733" w:type="dxa"/>
            <w:tcMar>
              <w:top w:w="15" w:type="dxa"/>
              <w:left w:w="15" w:type="dxa"/>
              <w:bottom w:w="15" w:type="dxa"/>
              <w:right w:w="15" w:type="dxa"/>
            </w:tcMar>
            <w:vAlign w:val="center"/>
          </w:tcPr>
          <w:p>
            <w:pPr>
              <w:spacing w:line="300" w:lineRule="exact"/>
              <w:jc w:val="center"/>
              <w:rPr>
                <w:rFonts w:eastAsia="仿宋_GB2312"/>
                <w:sz w:val="24"/>
              </w:rPr>
            </w:pPr>
          </w:p>
        </w:tc>
        <w:tc>
          <w:tcPr>
            <w:tcW w:w="777" w:type="dxa"/>
            <w:tcMar>
              <w:top w:w="15" w:type="dxa"/>
              <w:left w:w="15" w:type="dxa"/>
              <w:bottom w:w="15" w:type="dxa"/>
              <w:right w:w="15" w:type="dxa"/>
            </w:tcMar>
            <w:vAlign w:val="center"/>
          </w:tcPr>
          <w:p>
            <w:pPr>
              <w:spacing w:line="300" w:lineRule="exact"/>
              <w:jc w:val="center"/>
              <w:rPr>
                <w:rFonts w:eastAsia="仿宋_GB2312"/>
                <w:sz w:val="24"/>
              </w:rPr>
            </w:pPr>
          </w:p>
        </w:tc>
        <w:tc>
          <w:tcPr>
            <w:tcW w:w="532" w:type="dxa"/>
            <w:tcBorders>
              <w:right w:val="single" w:color="auto" w:sz="2" w:space="0"/>
            </w:tcBorders>
            <w:tcMar>
              <w:top w:w="15" w:type="dxa"/>
              <w:left w:w="15" w:type="dxa"/>
              <w:bottom w:w="15" w:type="dxa"/>
              <w:right w:w="15" w:type="dxa"/>
            </w:tcMar>
            <w:vAlign w:val="center"/>
          </w:tcPr>
          <w:p>
            <w:pPr>
              <w:spacing w:line="300" w:lineRule="exact"/>
              <w:jc w:val="center"/>
              <w:rPr>
                <w:rFonts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51" w:hRule="atLeast"/>
          <w:tblCellSpacing w:w="0" w:type="dxa"/>
          <w:jc w:val="center"/>
        </w:trPr>
        <w:tc>
          <w:tcPr>
            <w:tcW w:w="9680" w:type="dxa"/>
            <w:gridSpan w:val="9"/>
            <w:tcBorders>
              <w:left w:val="single" w:color="auto" w:sz="2" w:space="0"/>
              <w:bottom w:val="single" w:color="auto" w:sz="2" w:space="0"/>
              <w:right w:val="single" w:color="auto" w:sz="2" w:space="0"/>
            </w:tcBorders>
            <w:tcMar>
              <w:top w:w="15" w:type="dxa"/>
              <w:left w:w="15" w:type="dxa"/>
              <w:bottom w:w="15" w:type="dxa"/>
              <w:right w:w="15" w:type="dxa"/>
            </w:tcMar>
            <w:vAlign w:val="center"/>
          </w:tcPr>
          <w:p>
            <w:pPr>
              <w:spacing w:line="300" w:lineRule="exact"/>
              <w:rPr>
                <w:rFonts w:eastAsia="仿宋_GB2312"/>
                <w:sz w:val="24"/>
              </w:rPr>
            </w:pPr>
            <w:r>
              <w:rPr>
                <w:rFonts w:eastAsia="仿宋_GB2312"/>
                <w:sz w:val="24"/>
              </w:rPr>
              <w:t>二、部门（单位）整体支出绩效自评：</w:t>
            </w:r>
          </w:p>
          <w:p>
            <w:pPr>
              <w:spacing w:line="300" w:lineRule="exact"/>
              <w:rPr>
                <w:rFonts w:eastAsia="仿宋_GB2312"/>
                <w:sz w:val="24"/>
              </w:rPr>
            </w:pPr>
          </w:p>
          <w:p>
            <w:pPr>
              <w:spacing w:line="300" w:lineRule="exact"/>
              <w:ind w:firstLine="360" w:firstLineChars="150"/>
              <w:rPr>
                <w:rFonts w:eastAsia="仿宋_GB2312"/>
                <w:sz w:val="24"/>
              </w:rPr>
            </w:pPr>
            <w:r>
              <w:rPr>
                <w:rFonts w:eastAsia="仿宋_GB2312"/>
                <w:sz w:val="24"/>
              </w:rPr>
              <w:t>部门（单位）：    </w:t>
            </w:r>
            <w:r>
              <w:rPr>
                <w:rFonts w:hint="eastAsia" w:ascii="仿宋_GB2312" w:hAnsi="仿宋_GB2312" w:eastAsia="仿宋_GB2312" w:cs="仿宋_GB2312"/>
                <w:szCs w:val="21"/>
              </w:rPr>
              <w:t>城市管理和综合执法局</w:t>
            </w:r>
            <w:r>
              <w:rPr>
                <w:rFonts w:eastAsia="仿宋_GB2312"/>
                <w:sz w:val="24"/>
              </w:rPr>
              <w:t xml:space="preserve">    </w:t>
            </w:r>
            <w:r>
              <w:rPr>
                <w:rFonts w:hint="eastAsia" w:eastAsia="仿宋_GB2312"/>
                <w:sz w:val="24"/>
              </w:rPr>
              <w:t xml:space="preserve"> </w:t>
            </w:r>
            <w:r>
              <w:rPr>
                <w:rFonts w:eastAsia="仿宋_GB2312"/>
                <w:sz w:val="24"/>
              </w:rPr>
              <w:t xml:space="preserve"> </w:t>
            </w:r>
            <w:r>
              <w:rPr>
                <w:rFonts w:hint="eastAsia" w:eastAsia="仿宋_GB2312"/>
                <w:sz w:val="24"/>
              </w:rPr>
              <w:t xml:space="preserve"> </w:t>
            </w:r>
            <w:r>
              <w:rPr>
                <w:rFonts w:eastAsia="仿宋_GB2312"/>
                <w:sz w:val="24"/>
              </w:rPr>
              <w:t xml:space="preserve">  自评分数：</w:t>
            </w:r>
            <w:r>
              <w:rPr>
                <w:rFonts w:hint="eastAsia" w:eastAsia="仿宋_GB2312"/>
                <w:sz w:val="24"/>
              </w:rPr>
              <w:t>8</w:t>
            </w:r>
            <w:r>
              <w:rPr>
                <w:rFonts w:hint="eastAsia" w:eastAsia="仿宋_GB2312"/>
                <w:sz w:val="24"/>
                <w:lang w:val="en-US" w:eastAsia="zh-CN"/>
              </w:rPr>
              <w:t>3</w:t>
            </w:r>
            <w:r>
              <w:rPr>
                <w:rFonts w:eastAsia="仿宋_GB2312"/>
                <w:sz w:val="24"/>
              </w:rPr>
              <w:t xml:space="preserve">      </w:t>
            </w:r>
            <w:r>
              <w:rPr>
                <w:rFonts w:hint="eastAsia" w:eastAsia="仿宋_GB2312"/>
                <w:sz w:val="24"/>
              </w:rPr>
              <w:t xml:space="preserve"> </w:t>
            </w:r>
            <w:r>
              <w:rPr>
                <w:rFonts w:eastAsia="仿宋_GB2312"/>
                <w:sz w:val="24"/>
              </w:rPr>
              <w:t xml:space="preserve">    自评等级：</w:t>
            </w:r>
            <w:r>
              <w:rPr>
                <w:rFonts w:hint="eastAsia" w:eastAsia="仿宋_GB2312"/>
                <w:sz w:val="24"/>
              </w:rPr>
              <w:t>良好</w:t>
            </w:r>
          </w:p>
        </w:tc>
      </w:tr>
    </w:tbl>
    <w:p>
      <w:pPr>
        <w:spacing w:line="400" w:lineRule="exact"/>
        <w:jc w:val="left"/>
        <w:rPr>
          <w:rFonts w:eastAsia="仿宋_GB2312"/>
          <w:sz w:val="24"/>
        </w:rPr>
      </w:pPr>
      <w:r>
        <w:rPr>
          <w:rFonts w:eastAsia="仿宋_GB2312"/>
          <w:sz w:val="24"/>
        </w:rPr>
        <w:t>备注：评价等级划分如下</w:t>
      </w:r>
    </w:p>
    <w:p>
      <w:pPr>
        <w:spacing w:line="400" w:lineRule="exact"/>
        <w:jc w:val="left"/>
        <w:rPr>
          <w:rFonts w:eastAsia="仿宋_GB2312"/>
          <w:sz w:val="24"/>
        </w:rPr>
      </w:pPr>
      <w:r>
        <w:rPr>
          <w:rFonts w:eastAsia="仿宋_GB2312"/>
          <w:sz w:val="24"/>
        </w:rPr>
        <w:t>优秀  9</w:t>
      </w:r>
      <w:r>
        <w:rPr>
          <w:rFonts w:hint="eastAsia" w:eastAsia="仿宋_GB2312"/>
          <w:sz w:val="24"/>
        </w:rPr>
        <w:t>0</w:t>
      </w:r>
      <w:r>
        <w:rPr>
          <w:rFonts w:eastAsia="仿宋_GB2312"/>
          <w:sz w:val="24"/>
        </w:rPr>
        <w:t>分≤得分≤100分；良好  80分≤得分＜9</w:t>
      </w:r>
      <w:r>
        <w:rPr>
          <w:rFonts w:hint="eastAsia" w:eastAsia="仿宋_GB2312"/>
          <w:sz w:val="24"/>
        </w:rPr>
        <w:t>0</w:t>
      </w:r>
      <w:r>
        <w:rPr>
          <w:rFonts w:eastAsia="仿宋_GB2312"/>
          <w:sz w:val="24"/>
        </w:rPr>
        <w:t>分；</w:t>
      </w:r>
      <w:r>
        <w:rPr>
          <w:rFonts w:hint="eastAsia" w:eastAsia="仿宋_GB2312"/>
          <w:sz w:val="24"/>
        </w:rPr>
        <w:t>较差</w:t>
      </w:r>
      <w:r>
        <w:rPr>
          <w:rFonts w:eastAsia="仿宋_GB2312"/>
          <w:sz w:val="24"/>
        </w:rPr>
        <w:t xml:space="preserve"> 60分≤得分＜80分；差 </w:t>
      </w:r>
      <w:r>
        <w:rPr>
          <w:rFonts w:hint="eastAsia" w:eastAsia="仿宋_GB2312"/>
          <w:sz w:val="24"/>
        </w:rPr>
        <w:t xml:space="preserve">  </w:t>
      </w:r>
      <w:r>
        <w:rPr>
          <w:rFonts w:eastAsia="仿宋_GB2312"/>
          <w:sz w:val="24"/>
        </w:rPr>
        <w:t xml:space="preserve"> 得分＜60分</w:t>
      </w:r>
    </w:p>
    <w:sectPr>
      <w:pgSz w:w="11906" w:h="16838"/>
      <w:pgMar w:top="1440" w:right="1689" w:bottom="1440"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Dotu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rPr>
                              <w:rStyle w:val="10"/>
                            </w:rPr>
                          </w:pPr>
                          <w:r>
                            <w:rPr>
                              <w:rStyle w:val="10"/>
                            </w:rPr>
                            <w:fldChar w:fldCharType="begin"/>
                          </w:r>
                          <w:r>
                            <w:rPr>
                              <w:rStyle w:val="10"/>
                            </w:rPr>
                            <w:instrText xml:space="preserve">PAGE  </w:instrText>
                          </w:r>
                          <w:r>
                            <w:rPr>
                              <w:rStyle w:val="10"/>
                            </w:rPr>
                            <w:fldChar w:fldCharType="separate"/>
                          </w:r>
                          <w:r>
                            <w:rPr>
                              <w:rStyle w:val="10"/>
                            </w:rPr>
                            <w:t>47</w:t>
                          </w:r>
                          <w:r>
                            <w:rPr>
                              <w:rStyle w:val="10"/>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3"/>
                      <w:jc w:val="center"/>
                      <w:rPr>
                        <w:rStyle w:val="10"/>
                      </w:rPr>
                    </w:pPr>
                    <w:r>
                      <w:rPr>
                        <w:rStyle w:val="10"/>
                      </w:rPr>
                      <w:fldChar w:fldCharType="begin"/>
                    </w:r>
                    <w:r>
                      <w:rPr>
                        <w:rStyle w:val="10"/>
                      </w:rPr>
                      <w:instrText xml:space="preserve">PAGE  </w:instrText>
                    </w:r>
                    <w:r>
                      <w:rPr>
                        <w:rStyle w:val="10"/>
                      </w:rPr>
                      <w:fldChar w:fldCharType="separate"/>
                    </w:r>
                    <w:r>
                      <w:rPr>
                        <w:rStyle w:val="10"/>
                      </w:rPr>
                      <w:t>47</w:t>
                    </w:r>
                    <w:r>
                      <w:rPr>
                        <w:rStyle w:val="1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97A8CB"/>
    <w:multiLevelType w:val="singleLevel"/>
    <w:tmpl w:val="3A97A8C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2MDdmMDQ0OWUwOWQ0ZDk2NTkwMWQxOGZjZmZhNGEifQ=="/>
  </w:docVars>
  <w:rsids>
    <w:rsidRoot w:val="00B76EA6"/>
    <w:rsid w:val="00071232"/>
    <w:rsid w:val="00072761"/>
    <w:rsid w:val="00082D8C"/>
    <w:rsid w:val="00085FDA"/>
    <w:rsid w:val="00087765"/>
    <w:rsid w:val="000B74A1"/>
    <w:rsid w:val="000F62F6"/>
    <w:rsid w:val="00116218"/>
    <w:rsid w:val="00151AB6"/>
    <w:rsid w:val="00153EC7"/>
    <w:rsid w:val="001A685B"/>
    <w:rsid w:val="001C062E"/>
    <w:rsid w:val="001C6809"/>
    <w:rsid w:val="001C7D81"/>
    <w:rsid w:val="00220D1C"/>
    <w:rsid w:val="00227C9E"/>
    <w:rsid w:val="002440AF"/>
    <w:rsid w:val="00261615"/>
    <w:rsid w:val="002777C8"/>
    <w:rsid w:val="00287891"/>
    <w:rsid w:val="002A615C"/>
    <w:rsid w:val="002B4BFE"/>
    <w:rsid w:val="003008D4"/>
    <w:rsid w:val="00303D73"/>
    <w:rsid w:val="00343567"/>
    <w:rsid w:val="00346E02"/>
    <w:rsid w:val="00366C0A"/>
    <w:rsid w:val="0042596C"/>
    <w:rsid w:val="00426D87"/>
    <w:rsid w:val="004548A4"/>
    <w:rsid w:val="00454F73"/>
    <w:rsid w:val="00466FC4"/>
    <w:rsid w:val="004A4D23"/>
    <w:rsid w:val="004E2756"/>
    <w:rsid w:val="004E376E"/>
    <w:rsid w:val="004F21D2"/>
    <w:rsid w:val="004F599E"/>
    <w:rsid w:val="005028D9"/>
    <w:rsid w:val="00530F21"/>
    <w:rsid w:val="00534A0B"/>
    <w:rsid w:val="00540E1F"/>
    <w:rsid w:val="00561601"/>
    <w:rsid w:val="005E78F8"/>
    <w:rsid w:val="006216C1"/>
    <w:rsid w:val="006447DC"/>
    <w:rsid w:val="006B48F7"/>
    <w:rsid w:val="006B7340"/>
    <w:rsid w:val="006C1E49"/>
    <w:rsid w:val="006E6EFF"/>
    <w:rsid w:val="00700EA2"/>
    <w:rsid w:val="00762F07"/>
    <w:rsid w:val="00771BFA"/>
    <w:rsid w:val="0079640D"/>
    <w:rsid w:val="007B0039"/>
    <w:rsid w:val="007B74CF"/>
    <w:rsid w:val="007C6030"/>
    <w:rsid w:val="007F791A"/>
    <w:rsid w:val="00810482"/>
    <w:rsid w:val="0083682C"/>
    <w:rsid w:val="008421EC"/>
    <w:rsid w:val="008455BB"/>
    <w:rsid w:val="0085316D"/>
    <w:rsid w:val="0085344D"/>
    <w:rsid w:val="00853874"/>
    <w:rsid w:val="008627CA"/>
    <w:rsid w:val="00865824"/>
    <w:rsid w:val="008A18C2"/>
    <w:rsid w:val="008C7A48"/>
    <w:rsid w:val="008E1C64"/>
    <w:rsid w:val="009377E2"/>
    <w:rsid w:val="009429A6"/>
    <w:rsid w:val="00964273"/>
    <w:rsid w:val="00972BFB"/>
    <w:rsid w:val="00973F8D"/>
    <w:rsid w:val="009A7A12"/>
    <w:rsid w:val="009C512B"/>
    <w:rsid w:val="00A3470B"/>
    <w:rsid w:val="00A358C8"/>
    <w:rsid w:val="00A50A7C"/>
    <w:rsid w:val="00A61ED1"/>
    <w:rsid w:val="00A753FA"/>
    <w:rsid w:val="00A824FC"/>
    <w:rsid w:val="00A93761"/>
    <w:rsid w:val="00B00C2D"/>
    <w:rsid w:val="00B16B57"/>
    <w:rsid w:val="00B27CE7"/>
    <w:rsid w:val="00B62BD3"/>
    <w:rsid w:val="00B67500"/>
    <w:rsid w:val="00B76EA6"/>
    <w:rsid w:val="00B833BE"/>
    <w:rsid w:val="00B94A3B"/>
    <w:rsid w:val="00BE1F96"/>
    <w:rsid w:val="00BE2129"/>
    <w:rsid w:val="00C24A74"/>
    <w:rsid w:val="00C31504"/>
    <w:rsid w:val="00C31999"/>
    <w:rsid w:val="00C40E71"/>
    <w:rsid w:val="00C55E2E"/>
    <w:rsid w:val="00CA3872"/>
    <w:rsid w:val="00CC15CB"/>
    <w:rsid w:val="00D0079E"/>
    <w:rsid w:val="00D124C5"/>
    <w:rsid w:val="00D23056"/>
    <w:rsid w:val="00D301FB"/>
    <w:rsid w:val="00D41182"/>
    <w:rsid w:val="00D840BE"/>
    <w:rsid w:val="00DA49D4"/>
    <w:rsid w:val="00DB7419"/>
    <w:rsid w:val="00DE3518"/>
    <w:rsid w:val="00DE5743"/>
    <w:rsid w:val="00DE633A"/>
    <w:rsid w:val="00E101A8"/>
    <w:rsid w:val="00E3790A"/>
    <w:rsid w:val="00E413AD"/>
    <w:rsid w:val="00E647FB"/>
    <w:rsid w:val="00E8655B"/>
    <w:rsid w:val="00E94418"/>
    <w:rsid w:val="00E97B8B"/>
    <w:rsid w:val="00EB073A"/>
    <w:rsid w:val="00EB7B52"/>
    <w:rsid w:val="00EF1D67"/>
    <w:rsid w:val="00F00ECC"/>
    <w:rsid w:val="00F01DC6"/>
    <w:rsid w:val="00F37467"/>
    <w:rsid w:val="00F45436"/>
    <w:rsid w:val="00FC206D"/>
    <w:rsid w:val="00FD1296"/>
    <w:rsid w:val="00FE06A7"/>
    <w:rsid w:val="02C31095"/>
    <w:rsid w:val="034076C4"/>
    <w:rsid w:val="034321D6"/>
    <w:rsid w:val="03766107"/>
    <w:rsid w:val="049A4077"/>
    <w:rsid w:val="069A0002"/>
    <w:rsid w:val="06A85A15"/>
    <w:rsid w:val="06F141E7"/>
    <w:rsid w:val="07100621"/>
    <w:rsid w:val="07D93108"/>
    <w:rsid w:val="07FB307F"/>
    <w:rsid w:val="08322FC0"/>
    <w:rsid w:val="0854453D"/>
    <w:rsid w:val="092C1016"/>
    <w:rsid w:val="09A92667"/>
    <w:rsid w:val="0B1526A9"/>
    <w:rsid w:val="0BF73B5D"/>
    <w:rsid w:val="0CD81BE1"/>
    <w:rsid w:val="0D2564A8"/>
    <w:rsid w:val="0DE16873"/>
    <w:rsid w:val="0DF06AB6"/>
    <w:rsid w:val="0E9E29B6"/>
    <w:rsid w:val="0FA43FFC"/>
    <w:rsid w:val="109220A6"/>
    <w:rsid w:val="12E3308D"/>
    <w:rsid w:val="13141499"/>
    <w:rsid w:val="13385187"/>
    <w:rsid w:val="14261483"/>
    <w:rsid w:val="14AB3737"/>
    <w:rsid w:val="16895CFA"/>
    <w:rsid w:val="17B648CC"/>
    <w:rsid w:val="18014675"/>
    <w:rsid w:val="191915B7"/>
    <w:rsid w:val="191D57CC"/>
    <w:rsid w:val="1928388F"/>
    <w:rsid w:val="1A5B0635"/>
    <w:rsid w:val="1ABC5AA3"/>
    <w:rsid w:val="1B19589E"/>
    <w:rsid w:val="1B8401D9"/>
    <w:rsid w:val="1BF9747E"/>
    <w:rsid w:val="1C3B62C4"/>
    <w:rsid w:val="1D4666F2"/>
    <w:rsid w:val="1D4806BC"/>
    <w:rsid w:val="1D943902"/>
    <w:rsid w:val="1F0B7BF4"/>
    <w:rsid w:val="1F4A485F"/>
    <w:rsid w:val="209E05F3"/>
    <w:rsid w:val="215326A4"/>
    <w:rsid w:val="22877591"/>
    <w:rsid w:val="228B7D11"/>
    <w:rsid w:val="22BF31CF"/>
    <w:rsid w:val="23996B76"/>
    <w:rsid w:val="24343749"/>
    <w:rsid w:val="24AF1021"/>
    <w:rsid w:val="250F64F2"/>
    <w:rsid w:val="252070C8"/>
    <w:rsid w:val="255045B2"/>
    <w:rsid w:val="259D531E"/>
    <w:rsid w:val="264F486A"/>
    <w:rsid w:val="26600825"/>
    <w:rsid w:val="26720558"/>
    <w:rsid w:val="26BE19EF"/>
    <w:rsid w:val="274E68CF"/>
    <w:rsid w:val="27C9321A"/>
    <w:rsid w:val="28902F18"/>
    <w:rsid w:val="29316F93"/>
    <w:rsid w:val="296F1E2E"/>
    <w:rsid w:val="298505A2"/>
    <w:rsid w:val="299D769A"/>
    <w:rsid w:val="29C55868"/>
    <w:rsid w:val="29E96D83"/>
    <w:rsid w:val="2A224043"/>
    <w:rsid w:val="2A54710E"/>
    <w:rsid w:val="2A6E404E"/>
    <w:rsid w:val="2AE01F34"/>
    <w:rsid w:val="2D850B71"/>
    <w:rsid w:val="2E4647A4"/>
    <w:rsid w:val="2EC21707"/>
    <w:rsid w:val="2F234AE5"/>
    <w:rsid w:val="2F6D5D61"/>
    <w:rsid w:val="2F756F0F"/>
    <w:rsid w:val="30E16D58"/>
    <w:rsid w:val="31327262"/>
    <w:rsid w:val="31CA7D66"/>
    <w:rsid w:val="32160058"/>
    <w:rsid w:val="326571C3"/>
    <w:rsid w:val="32FE389F"/>
    <w:rsid w:val="33180CDC"/>
    <w:rsid w:val="33C817B8"/>
    <w:rsid w:val="34B1049E"/>
    <w:rsid w:val="356C2617"/>
    <w:rsid w:val="356D4F9D"/>
    <w:rsid w:val="357240D1"/>
    <w:rsid w:val="35780FBB"/>
    <w:rsid w:val="362D1DA6"/>
    <w:rsid w:val="368F0CB2"/>
    <w:rsid w:val="370E7993"/>
    <w:rsid w:val="3711163C"/>
    <w:rsid w:val="37425D25"/>
    <w:rsid w:val="374F52B2"/>
    <w:rsid w:val="37573087"/>
    <w:rsid w:val="37BF2ED1"/>
    <w:rsid w:val="37C30C14"/>
    <w:rsid w:val="37C91FA2"/>
    <w:rsid w:val="3862042D"/>
    <w:rsid w:val="38F848ED"/>
    <w:rsid w:val="39CE564E"/>
    <w:rsid w:val="39D23390"/>
    <w:rsid w:val="39FB25CF"/>
    <w:rsid w:val="3BD66A3C"/>
    <w:rsid w:val="3D377FE8"/>
    <w:rsid w:val="3D74650C"/>
    <w:rsid w:val="3F081602"/>
    <w:rsid w:val="400B7D72"/>
    <w:rsid w:val="40385F17"/>
    <w:rsid w:val="40700133"/>
    <w:rsid w:val="408F0F86"/>
    <w:rsid w:val="414867C0"/>
    <w:rsid w:val="415428DD"/>
    <w:rsid w:val="4199221E"/>
    <w:rsid w:val="41DE284D"/>
    <w:rsid w:val="422A188F"/>
    <w:rsid w:val="42E34DC3"/>
    <w:rsid w:val="439E6A72"/>
    <w:rsid w:val="43E066A9"/>
    <w:rsid w:val="4467501D"/>
    <w:rsid w:val="44890AEF"/>
    <w:rsid w:val="452D3B70"/>
    <w:rsid w:val="455E3D2A"/>
    <w:rsid w:val="45C85647"/>
    <w:rsid w:val="45E85A95"/>
    <w:rsid w:val="47721D0E"/>
    <w:rsid w:val="49A14B2D"/>
    <w:rsid w:val="49AE42D7"/>
    <w:rsid w:val="49FB376E"/>
    <w:rsid w:val="4A506004"/>
    <w:rsid w:val="4ACC3E2B"/>
    <w:rsid w:val="4B11098D"/>
    <w:rsid w:val="4B885FA4"/>
    <w:rsid w:val="4BDA60D4"/>
    <w:rsid w:val="4BDE0746"/>
    <w:rsid w:val="4BEC7B31"/>
    <w:rsid w:val="4BFE3E36"/>
    <w:rsid w:val="4C0C0983"/>
    <w:rsid w:val="4C405B5F"/>
    <w:rsid w:val="4D6E2A5C"/>
    <w:rsid w:val="4E0F6509"/>
    <w:rsid w:val="4EBF1D12"/>
    <w:rsid w:val="4F343D4D"/>
    <w:rsid w:val="4F6F4222"/>
    <w:rsid w:val="51AF590F"/>
    <w:rsid w:val="51DC1903"/>
    <w:rsid w:val="525A3ACB"/>
    <w:rsid w:val="52FB52AE"/>
    <w:rsid w:val="537C375A"/>
    <w:rsid w:val="543C792C"/>
    <w:rsid w:val="545F5FDC"/>
    <w:rsid w:val="54696247"/>
    <w:rsid w:val="548E64A2"/>
    <w:rsid w:val="54ED0C26"/>
    <w:rsid w:val="55222FC6"/>
    <w:rsid w:val="558F1CDD"/>
    <w:rsid w:val="55A57753"/>
    <w:rsid w:val="55DD6EED"/>
    <w:rsid w:val="561623FF"/>
    <w:rsid w:val="566070FF"/>
    <w:rsid w:val="566E3FE9"/>
    <w:rsid w:val="57743AE9"/>
    <w:rsid w:val="57AF493F"/>
    <w:rsid w:val="58EE3AE1"/>
    <w:rsid w:val="59BF1AF3"/>
    <w:rsid w:val="5A3612C1"/>
    <w:rsid w:val="5AB75F5E"/>
    <w:rsid w:val="5C1F7B6D"/>
    <w:rsid w:val="5C6C2D78"/>
    <w:rsid w:val="5DAF5613"/>
    <w:rsid w:val="5E714C5D"/>
    <w:rsid w:val="5EB4033D"/>
    <w:rsid w:val="5F0059FA"/>
    <w:rsid w:val="5F15160F"/>
    <w:rsid w:val="5F4F0E5B"/>
    <w:rsid w:val="5F6339FE"/>
    <w:rsid w:val="5FB01262"/>
    <w:rsid w:val="60641C99"/>
    <w:rsid w:val="61CF0031"/>
    <w:rsid w:val="61F33B70"/>
    <w:rsid w:val="62DC1442"/>
    <w:rsid w:val="637864A7"/>
    <w:rsid w:val="63B82D47"/>
    <w:rsid w:val="63CB65D6"/>
    <w:rsid w:val="646802C9"/>
    <w:rsid w:val="656211BC"/>
    <w:rsid w:val="659D1DBC"/>
    <w:rsid w:val="676C1E7F"/>
    <w:rsid w:val="67B0620F"/>
    <w:rsid w:val="68570D81"/>
    <w:rsid w:val="68614CFA"/>
    <w:rsid w:val="68727968"/>
    <w:rsid w:val="68B0223F"/>
    <w:rsid w:val="691602F4"/>
    <w:rsid w:val="6B2111D2"/>
    <w:rsid w:val="6B52582F"/>
    <w:rsid w:val="6BAF2C82"/>
    <w:rsid w:val="6C450EF0"/>
    <w:rsid w:val="6C4E6E90"/>
    <w:rsid w:val="6C6D6230"/>
    <w:rsid w:val="6CCE7137"/>
    <w:rsid w:val="6D21195D"/>
    <w:rsid w:val="6D785A21"/>
    <w:rsid w:val="6F4B2CC1"/>
    <w:rsid w:val="6FD9651F"/>
    <w:rsid w:val="70495D5B"/>
    <w:rsid w:val="707324D0"/>
    <w:rsid w:val="70893AA1"/>
    <w:rsid w:val="70A16506"/>
    <w:rsid w:val="70F857E7"/>
    <w:rsid w:val="71F4319C"/>
    <w:rsid w:val="7238577F"/>
    <w:rsid w:val="72424D2E"/>
    <w:rsid w:val="72C45265"/>
    <w:rsid w:val="72FA0C86"/>
    <w:rsid w:val="73373C88"/>
    <w:rsid w:val="73722F12"/>
    <w:rsid w:val="73D90FE2"/>
    <w:rsid w:val="73DE5EB2"/>
    <w:rsid w:val="74026044"/>
    <w:rsid w:val="74151E00"/>
    <w:rsid w:val="748922C2"/>
    <w:rsid w:val="74FF2112"/>
    <w:rsid w:val="75653BFE"/>
    <w:rsid w:val="75B415C0"/>
    <w:rsid w:val="76326989"/>
    <w:rsid w:val="76FA74A7"/>
    <w:rsid w:val="7773308B"/>
    <w:rsid w:val="77C6382D"/>
    <w:rsid w:val="78EC72C3"/>
    <w:rsid w:val="78F47F26"/>
    <w:rsid w:val="79782905"/>
    <w:rsid w:val="79B7167F"/>
    <w:rsid w:val="79C142AC"/>
    <w:rsid w:val="79F521A7"/>
    <w:rsid w:val="7A2860D9"/>
    <w:rsid w:val="7AC758F2"/>
    <w:rsid w:val="7AE13994"/>
    <w:rsid w:val="7AEA7832"/>
    <w:rsid w:val="7B191EC6"/>
    <w:rsid w:val="7C4A39BD"/>
    <w:rsid w:val="7C887303"/>
    <w:rsid w:val="7CA57EB5"/>
    <w:rsid w:val="7CB37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uiPriority w:val="0"/>
    <w:pPr>
      <w:ind w:left="100" w:leftChars="2500"/>
    </w:pPr>
  </w:style>
  <w:style w:type="paragraph" w:styleId="3">
    <w:name w:val="footer"/>
    <w:basedOn w:val="1"/>
    <w:uiPriority w:val="0"/>
    <w:pPr>
      <w:tabs>
        <w:tab w:val="center" w:pos="4153"/>
        <w:tab w:val="right" w:pos="8306"/>
      </w:tabs>
      <w:snapToGrid w:val="0"/>
      <w:spacing w:line="240" w:lineRule="atLeast"/>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5">
    <w:name w:val="Normal (Web)"/>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autoRedefine/>
    <w:qFormat/>
    <w:uiPriority w:val="0"/>
  </w:style>
  <w:style w:type="character" w:styleId="11">
    <w:name w:val="Hyperlink"/>
    <w:autoRedefine/>
    <w:qFormat/>
    <w:uiPriority w:val="0"/>
    <w:rPr>
      <w:color w:val="0000FF"/>
      <w:u w:val="single"/>
    </w:rPr>
  </w:style>
  <w:style w:type="character" w:customStyle="1" w:styleId="12">
    <w:name w:val="日期 Char"/>
    <w:basedOn w:val="8"/>
    <w:link w:val="2"/>
    <w:autoRedefine/>
    <w:qFormat/>
    <w:uiPriority w:val="0"/>
  </w:style>
  <w:style w:type="paragraph" w:styleId="13">
    <w:name w:val="List Paragraph"/>
    <w:basedOn w:val="1"/>
    <w:autoRedefine/>
    <w:qFormat/>
    <w:uiPriority w:val="99"/>
    <w:pPr>
      <w:spacing w:line="240" w:lineRule="auto"/>
      <w:ind w:left="0" w:firstLine="420" w:firstLineChars="200"/>
      <w:textAlignment w:val="auto"/>
    </w:pPr>
    <w:rPr>
      <w:kern w:val="2"/>
      <w:sz w:val="21"/>
      <w:szCs w:val="24"/>
    </w:rPr>
  </w:style>
  <w:style w:type="paragraph" w:customStyle="1" w:styleId="14">
    <w:name w:val="Default"/>
    <w:autoRedefine/>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5">
    <w:name w:val="No Spacing"/>
    <w:autoRedefine/>
    <w:qFormat/>
    <w:uiPriority w:val="1"/>
    <w:pPr>
      <w:adjustRightInd w:val="0"/>
      <w:snapToGrid w:val="0"/>
    </w:pPr>
    <w:rPr>
      <w:rFonts w:ascii="Tahoma" w:hAnsi="Tahoma" w:eastAsia="微软雅黑" w:cs="Times New Roman"/>
      <w:sz w:val="22"/>
      <w:szCs w:val="22"/>
      <w:lang w:val="en-US" w:eastAsia="zh-CN" w:bidi="ar-SA"/>
    </w:rPr>
  </w:style>
  <w:style w:type="character" w:customStyle="1" w:styleId="16">
    <w:name w:val="15"/>
    <w:basedOn w:val="8"/>
    <w:autoRedefine/>
    <w:qFormat/>
    <w:uiPriority w:val="0"/>
    <w:rPr>
      <w:rFonts w:cs="Times New Roman"/>
    </w:rPr>
  </w:style>
  <w:style w:type="paragraph" w:customStyle="1" w:styleId="17">
    <w:name w:val="正文首行缩进 21"/>
    <w:basedOn w:val="18"/>
    <w:autoRedefine/>
    <w:qFormat/>
    <w:uiPriority w:val="0"/>
    <w:pPr>
      <w:ind w:firstLine="420" w:firstLineChars="200"/>
    </w:pPr>
  </w:style>
  <w:style w:type="paragraph" w:customStyle="1" w:styleId="18">
    <w:name w:val="正文文本缩进1"/>
    <w:basedOn w:val="1"/>
    <w:autoRedefine/>
    <w:qFormat/>
    <w:uiPriority w:val="0"/>
    <w:pPr>
      <w:ind w:firstLine="540"/>
    </w:pPr>
    <w:rPr>
      <w:sz w:val="3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36BD4-6012-4A02-9ED8-CD48CF5B988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59</Pages>
  <Words>24208</Words>
  <Characters>25978</Characters>
  <Lines>193</Lines>
  <Paragraphs>54</Paragraphs>
  <TotalTime>0</TotalTime>
  <ScaleCrop>false</ScaleCrop>
  <LinksUpToDate>false</LinksUpToDate>
  <CharactersWithSpaces>27642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2022-05-25T07:08:00Z</dcterms:created>
  <dc:creator>User</dc:creator>
  <cp:lastModifiedBy>冰冻西瓜</cp:lastModifiedBy>
  <cp:lastPrinted>2023-06-02T07:52:00Z</cp:lastPrinted>
  <dcterms:modified xsi:type="dcterms:W3CDTF">2024-04-19T02:54:48Z</dcterms:modified>
  <dc:title>新晃侗族自治县财政局</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738CF5BD2D13494F80DFDDBBFF9544D5_13</vt:lpwstr>
  </property>
</Properties>
</file>