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left="0"/>
        <w:jc w:val="left"/>
        <w:rPr>
          <w:sz w:val="24"/>
        </w:rPr>
      </w:pPr>
      <w:r>
        <w:rPr>
          <w:rFonts w:hint="eastAsia" w:ascii="仿宋_GB2312" w:hAnsi="仿宋_GB2312" w:eastAsia="仿宋_GB2312" w:cs="仿宋_GB2312"/>
          <w:sz w:val="24"/>
        </w:rPr>
        <w:t>附件1-1</w:t>
      </w:r>
    </w:p>
    <w:p>
      <w:pPr>
        <w:spacing w:line="500" w:lineRule="exact"/>
        <w:jc w:val="center"/>
        <w:rPr>
          <w:rFonts w:eastAsia="方正粗宋简体"/>
          <w:w w:val="85"/>
          <w:sz w:val="36"/>
          <w:szCs w:val="36"/>
        </w:rPr>
      </w:pPr>
      <w:r>
        <w:rPr>
          <w:rFonts w:hint="eastAsia" w:eastAsia="方正粗宋简体"/>
          <w:w w:val="85"/>
          <w:sz w:val="36"/>
          <w:szCs w:val="36"/>
          <w:lang w:eastAsia="zh-CN"/>
        </w:rPr>
        <w:t>2022</w:t>
      </w:r>
      <w:r>
        <w:rPr>
          <w:rFonts w:hAnsi="方正粗宋简体" w:eastAsia="方正粗宋简体"/>
          <w:w w:val="85"/>
          <w:sz w:val="36"/>
          <w:szCs w:val="36"/>
        </w:rPr>
        <w:t>年度新晃县</w:t>
      </w:r>
      <w:r>
        <w:rPr>
          <w:rFonts w:hint="eastAsia" w:hAnsi="方正粗宋简体" w:eastAsia="方正粗宋简体"/>
          <w:w w:val="85"/>
          <w:sz w:val="36"/>
          <w:szCs w:val="36"/>
        </w:rPr>
        <w:t>城市管理和综合执法局</w:t>
      </w:r>
      <w:r>
        <w:rPr>
          <w:rFonts w:hAnsi="方正粗宋简体" w:eastAsia="方正粗宋简体"/>
          <w:w w:val="85"/>
          <w:sz w:val="36"/>
          <w:szCs w:val="36"/>
        </w:rPr>
        <w:t>部门（单位）整体支出绩效</w:t>
      </w:r>
      <w:r>
        <w:rPr>
          <w:rFonts w:hint="eastAsia" w:hAnsi="方正粗宋简体" w:eastAsia="方正粗宋简体"/>
          <w:w w:val="85"/>
          <w:sz w:val="36"/>
          <w:szCs w:val="36"/>
        </w:rPr>
        <w:t>自评表</w:t>
      </w:r>
    </w:p>
    <w:tbl>
      <w:tblPr>
        <w:tblStyle w:val="6"/>
        <w:tblW w:w="14417" w:type="dxa"/>
        <w:jc w:val="center"/>
        <w:tblCellSpacing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079"/>
        <w:gridCol w:w="1179"/>
        <w:gridCol w:w="1226"/>
        <w:gridCol w:w="701"/>
        <w:gridCol w:w="4750"/>
        <w:gridCol w:w="2963"/>
        <w:gridCol w:w="1774"/>
        <w:gridCol w:w="74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88" w:hRule="atLeast"/>
          <w:tblHeader/>
          <w:tblCellSpacing w:w="0" w:type="dxa"/>
          <w:jc w:val="center"/>
        </w:trPr>
        <w:tc>
          <w:tcPr>
            <w:tcW w:w="1079" w:type="dxa"/>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一级指标</w:t>
            </w:r>
          </w:p>
        </w:tc>
        <w:tc>
          <w:tcPr>
            <w:tcW w:w="1179" w:type="dxa"/>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二级指标</w:t>
            </w:r>
          </w:p>
        </w:tc>
        <w:tc>
          <w:tcPr>
            <w:tcW w:w="1226" w:type="dxa"/>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三级指标</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分值</w:t>
            </w:r>
          </w:p>
        </w:tc>
        <w:tc>
          <w:tcPr>
            <w:tcW w:w="4750" w:type="dxa"/>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指标内容</w:t>
            </w:r>
          </w:p>
        </w:tc>
        <w:tc>
          <w:tcPr>
            <w:tcW w:w="2963" w:type="dxa"/>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指标评价标</w:t>
            </w:r>
            <w:r>
              <w:rPr>
                <w:rFonts w:hint="eastAsia" w:eastAsia="楷体_GB2312"/>
              </w:rPr>
              <w:t>准</w:t>
            </w:r>
            <w:r>
              <w:rPr>
                <w:rFonts w:eastAsia="楷体_GB2312"/>
              </w:rPr>
              <w:t>及对应分值</w:t>
            </w:r>
          </w:p>
        </w:tc>
        <w:tc>
          <w:tcPr>
            <w:tcW w:w="1774" w:type="dxa"/>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指标实际完成情况及依据</w:t>
            </w:r>
          </w:p>
        </w:tc>
        <w:tc>
          <w:tcPr>
            <w:tcW w:w="745" w:type="dxa"/>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得分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tblCellSpacing w:w="0" w:type="dxa"/>
          <w:jc w:val="center"/>
        </w:trPr>
        <w:tc>
          <w:tcPr>
            <w:tcW w:w="1079" w:type="dxa"/>
            <w:vMerge w:val="restart"/>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投入</w:t>
            </w:r>
          </w:p>
          <w:p>
            <w:pPr>
              <w:spacing w:before="100" w:beforeAutospacing="1" w:after="100" w:afterAutospacing="1"/>
              <w:jc w:val="center"/>
              <w:rPr>
                <w:rFonts w:eastAsia="楷体_GB2312"/>
                <w:sz w:val="18"/>
                <w:szCs w:val="18"/>
              </w:rPr>
            </w:pPr>
            <w:r>
              <w:rPr>
                <w:rFonts w:eastAsia="楷体_GB2312"/>
                <w:sz w:val="18"/>
                <w:szCs w:val="18"/>
              </w:rPr>
              <w:t>(共</w:t>
            </w:r>
            <w:r>
              <w:rPr>
                <w:rFonts w:hint="eastAsia" w:eastAsia="楷体_GB2312"/>
                <w:sz w:val="18"/>
                <w:szCs w:val="18"/>
              </w:rPr>
              <w:t>14</w:t>
            </w:r>
            <w:r>
              <w:rPr>
                <w:rFonts w:eastAsia="楷体_GB2312"/>
                <w:sz w:val="18"/>
                <w:szCs w:val="18"/>
              </w:rPr>
              <w:t>分)</w:t>
            </w:r>
          </w:p>
        </w:tc>
        <w:tc>
          <w:tcPr>
            <w:tcW w:w="1179" w:type="dxa"/>
            <w:vMerge w:val="restart"/>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预算编制(共</w:t>
            </w:r>
            <w:r>
              <w:rPr>
                <w:rFonts w:hint="eastAsia" w:eastAsia="楷体_GB2312"/>
                <w:sz w:val="18"/>
                <w:szCs w:val="18"/>
              </w:rPr>
              <w:t>5</w:t>
            </w:r>
            <w:r>
              <w:rPr>
                <w:rFonts w:eastAsia="楷体_GB2312"/>
                <w:sz w:val="18"/>
                <w:szCs w:val="18"/>
              </w:rPr>
              <w:t>分)</w:t>
            </w: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整体绩效</w:t>
            </w:r>
          </w:p>
          <w:p>
            <w:pPr>
              <w:spacing w:line="300" w:lineRule="exact"/>
              <w:jc w:val="center"/>
              <w:rPr>
                <w:rFonts w:eastAsia="楷体_GB2312"/>
                <w:sz w:val="18"/>
                <w:szCs w:val="18"/>
              </w:rPr>
            </w:pPr>
            <w:r>
              <w:rPr>
                <w:rFonts w:eastAsia="楷体_GB2312"/>
                <w:sz w:val="18"/>
                <w:szCs w:val="18"/>
              </w:rPr>
              <w:t>目标设定</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r>
              <w:rPr>
                <w:rFonts w:eastAsia="楷体_GB2312"/>
                <w:sz w:val="18"/>
                <w:szCs w:val="18"/>
              </w:rPr>
              <w:t>5</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部门（含所属二级预算单位，下同）或单位是否制定了年度预算整体绩效目标；整体绩效目标制定依据是否充分，是否与部门履职、年度工作任务相符；整体绩效目标是否清晰、细化、可衡量。</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设有整体绩效目标</w:t>
            </w:r>
            <w:r>
              <w:rPr>
                <w:rFonts w:hint="eastAsia" w:eastAsia="楷体_GB2312"/>
                <w:sz w:val="18"/>
                <w:szCs w:val="18"/>
              </w:rPr>
              <w:t>1</w:t>
            </w:r>
            <w:r>
              <w:rPr>
                <w:rFonts w:eastAsia="楷体_GB2312"/>
                <w:sz w:val="18"/>
                <w:szCs w:val="18"/>
              </w:rPr>
              <w:t>分；目标设定依据充分符合客观实际</w:t>
            </w:r>
            <w:r>
              <w:rPr>
                <w:rFonts w:hint="eastAsia" w:eastAsia="楷体_GB2312"/>
                <w:sz w:val="18"/>
                <w:szCs w:val="18"/>
              </w:rPr>
              <w:t>0.5</w:t>
            </w:r>
            <w:r>
              <w:rPr>
                <w:rFonts w:eastAsia="楷体_GB2312"/>
                <w:sz w:val="18"/>
                <w:szCs w:val="18"/>
              </w:rPr>
              <w:t>分；目标清晰、细化</w:t>
            </w:r>
            <w:r>
              <w:rPr>
                <w:rFonts w:hint="eastAsia" w:eastAsia="楷体_GB2312"/>
                <w:sz w:val="18"/>
                <w:szCs w:val="18"/>
              </w:rPr>
              <w:t>0.5</w:t>
            </w:r>
            <w:r>
              <w:rPr>
                <w:rFonts w:eastAsia="楷体_GB2312"/>
                <w:sz w:val="18"/>
                <w:szCs w:val="18"/>
              </w:rPr>
              <w:t>分；目标可衡量</w:t>
            </w:r>
            <w:r>
              <w:rPr>
                <w:rFonts w:hint="eastAsia" w:eastAsia="楷体_GB2312"/>
                <w:sz w:val="18"/>
                <w:szCs w:val="18"/>
              </w:rPr>
              <w:t>0.5</w:t>
            </w:r>
            <w:r>
              <w:rPr>
                <w:rFonts w:eastAsia="楷体_GB2312"/>
                <w:sz w:val="18"/>
                <w:szCs w:val="18"/>
              </w:rPr>
              <w:t>分。</w:t>
            </w:r>
          </w:p>
        </w:tc>
        <w:tc>
          <w:tcPr>
            <w:tcW w:w="1774" w:type="dxa"/>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lang w:val="en-US" w:eastAsia="zh-CN"/>
              </w:rPr>
              <w:t>制定了年度预算整体绩效目标，但是细化不够</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2.5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31"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项目绩效</w:t>
            </w:r>
          </w:p>
          <w:p>
            <w:pPr>
              <w:spacing w:line="300" w:lineRule="exact"/>
              <w:jc w:val="center"/>
              <w:rPr>
                <w:rFonts w:eastAsia="楷体_GB2312"/>
                <w:sz w:val="18"/>
                <w:szCs w:val="18"/>
              </w:rPr>
            </w:pPr>
            <w:r>
              <w:rPr>
                <w:rFonts w:eastAsia="楷体_GB2312"/>
                <w:sz w:val="18"/>
                <w:szCs w:val="18"/>
              </w:rPr>
              <w:t>目标设定</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r>
              <w:rPr>
                <w:rFonts w:eastAsia="楷体_GB2312"/>
                <w:sz w:val="18"/>
                <w:szCs w:val="18"/>
              </w:rPr>
              <w:t>5</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是否科学、合理设立了项目绩效目标；目标明确；目标细化；目标量化。</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项目均设有绩效目标</w:t>
            </w:r>
            <w:r>
              <w:rPr>
                <w:rFonts w:hint="eastAsia" w:eastAsia="楷体_GB2312"/>
                <w:sz w:val="18"/>
                <w:szCs w:val="18"/>
              </w:rPr>
              <w:t>0.5</w:t>
            </w:r>
            <w:r>
              <w:rPr>
                <w:rFonts w:eastAsia="楷体_GB2312"/>
                <w:sz w:val="18"/>
                <w:szCs w:val="18"/>
              </w:rPr>
              <w:t>分；目标科学合理</w:t>
            </w:r>
            <w:r>
              <w:rPr>
                <w:rFonts w:hint="eastAsia" w:eastAsia="楷体_GB2312"/>
                <w:sz w:val="18"/>
                <w:szCs w:val="18"/>
              </w:rPr>
              <w:t>0.5</w:t>
            </w:r>
            <w:r>
              <w:rPr>
                <w:rFonts w:eastAsia="楷体_GB2312"/>
                <w:sz w:val="18"/>
                <w:szCs w:val="18"/>
              </w:rPr>
              <w:t>分；目标明确</w:t>
            </w:r>
            <w:r>
              <w:rPr>
                <w:rFonts w:hint="eastAsia" w:eastAsia="楷体_GB2312"/>
                <w:sz w:val="18"/>
                <w:szCs w:val="18"/>
              </w:rPr>
              <w:t>0.5</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目标细化</w:t>
            </w:r>
            <w:r>
              <w:rPr>
                <w:rFonts w:hint="eastAsia" w:eastAsia="楷体_GB2312"/>
                <w:sz w:val="18"/>
                <w:szCs w:val="18"/>
              </w:rPr>
              <w:t>0.5</w:t>
            </w:r>
            <w:r>
              <w:rPr>
                <w:rFonts w:eastAsia="楷体_GB2312"/>
                <w:sz w:val="18"/>
                <w:szCs w:val="18"/>
              </w:rPr>
              <w:t>分；目标量化</w:t>
            </w:r>
            <w:r>
              <w:rPr>
                <w:rFonts w:hint="eastAsia" w:eastAsia="楷体_GB2312"/>
                <w:sz w:val="18"/>
                <w:szCs w:val="18"/>
              </w:rPr>
              <w:t>0.5</w:t>
            </w:r>
            <w:r>
              <w:rPr>
                <w:rFonts w:eastAsia="楷体_GB2312"/>
                <w:sz w:val="18"/>
                <w:szCs w:val="18"/>
              </w:rPr>
              <w:t>分。</w:t>
            </w:r>
          </w:p>
        </w:tc>
        <w:tc>
          <w:tcPr>
            <w:tcW w:w="1774" w:type="dxa"/>
            <w:tcMar>
              <w:top w:w="0" w:type="dxa"/>
              <w:left w:w="105" w:type="dxa"/>
              <w:bottom w:w="0" w:type="dxa"/>
              <w:right w:w="105" w:type="dxa"/>
            </w:tcMar>
            <w:vAlign w:val="center"/>
          </w:tcPr>
          <w:p>
            <w:pPr>
              <w:jc w:val="center"/>
              <w:rPr>
                <w:rFonts w:hint="default" w:eastAsia="楷体_GB2312"/>
                <w:sz w:val="18"/>
                <w:szCs w:val="18"/>
                <w:lang w:val="en-US" w:eastAsia="zh-CN"/>
              </w:rPr>
            </w:pPr>
            <w:r>
              <w:rPr>
                <w:rFonts w:hint="eastAsia" w:eastAsia="楷体_GB2312"/>
                <w:sz w:val="18"/>
                <w:szCs w:val="18"/>
                <w:lang w:val="en-US" w:eastAsia="zh-CN"/>
              </w:rPr>
              <w:t>所有项目都设定绩效目标，完全科学合理且目标清晰细化</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2.5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527"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restart"/>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预算配置(共</w:t>
            </w:r>
            <w:r>
              <w:rPr>
                <w:rFonts w:hint="eastAsia" w:eastAsia="楷体_GB2312"/>
                <w:sz w:val="18"/>
                <w:szCs w:val="18"/>
              </w:rPr>
              <w:t>9</w:t>
            </w:r>
            <w:r>
              <w:rPr>
                <w:rFonts w:eastAsia="楷体_GB2312"/>
                <w:sz w:val="18"/>
                <w:szCs w:val="18"/>
              </w:rPr>
              <w:t>分)</w:t>
            </w: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在职人员</w:t>
            </w:r>
          </w:p>
          <w:p>
            <w:pPr>
              <w:spacing w:line="300" w:lineRule="exact"/>
              <w:jc w:val="center"/>
              <w:rPr>
                <w:rFonts w:eastAsia="楷体_GB2312"/>
                <w:sz w:val="18"/>
                <w:szCs w:val="18"/>
              </w:rPr>
            </w:pPr>
            <w:r>
              <w:rPr>
                <w:rFonts w:eastAsia="楷体_GB2312"/>
                <w:sz w:val="18"/>
                <w:szCs w:val="18"/>
              </w:rPr>
              <w:t>控制率</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3</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在职人员控制率=[在职人员数/编制数]×100%</w:t>
            </w:r>
          </w:p>
          <w:p>
            <w:pPr>
              <w:spacing w:line="300" w:lineRule="exact"/>
              <w:jc w:val="left"/>
              <w:rPr>
                <w:rFonts w:eastAsia="楷体_GB2312"/>
                <w:sz w:val="18"/>
                <w:szCs w:val="18"/>
              </w:rPr>
            </w:pPr>
            <w:r>
              <w:rPr>
                <w:rFonts w:eastAsia="楷体_GB2312"/>
                <w:sz w:val="18"/>
                <w:szCs w:val="18"/>
              </w:rPr>
              <w:t>在职人员数：部门实际在职人数，以财政确定的部门决算编制口径为准，结合工资发放表上的年平均人数。</w:t>
            </w:r>
          </w:p>
          <w:p>
            <w:pPr>
              <w:spacing w:line="300" w:lineRule="exact"/>
              <w:jc w:val="left"/>
              <w:rPr>
                <w:rFonts w:eastAsia="楷体_GB2312"/>
                <w:sz w:val="18"/>
                <w:szCs w:val="18"/>
              </w:rPr>
            </w:pPr>
            <w:r>
              <w:rPr>
                <w:rFonts w:eastAsia="楷体_GB2312"/>
                <w:sz w:val="18"/>
                <w:szCs w:val="18"/>
              </w:rPr>
              <w:t>编制数：机构编制部门核定批复的部门的人员编制数(含临时人员)。</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结果≤100%，得3分；</w:t>
            </w:r>
          </w:p>
          <w:p>
            <w:pPr>
              <w:spacing w:line="300" w:lineRule="exact"/>
              <w:jc w:val="left"/>
              <w:rPr>
                <w:rFonts w:eastAsia="楷体_GB2312"/>
                <w:sz w:val="18"/>
                <w:szCs w:val="18"/>
              </w:rPr>
            </w:pPr>
            <w:r>
              <w:rPr>
                <w:rFonts w:eastAsia="楷体_GB2312"/>
                <w:sz w:val="18"/>
                <w:szCs w:val="18"/>
              </w:rPr>
              <w:t>结果＞100%，得0分。</w:t>
            </w:r>
          </w:p>
        </w:tc>
        <w:tc>
          <w:tcPr>
            <w:tcW w:w="1774" w:type="dxa"/>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lang w:val="en-US" w:eastAsia="zh-CN"/>
              </w:rPr>
              <w:t>6/10*100%=60%</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01"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三公经费</w:t>
            </w:r>
          </w:p>
          <w:p>
            <w:pPr>
              <w:spacing w:line="300" w:lineRule="exact"/>
              <w:jc w:val="center"/>
              <w:rPr>
                <w:rFonts w:eastAsia="楷体_GB2312"/>
                <w:sz w:val="18"/>
                <w:szCs w:val="18"/>
              </w:rPr>
            </w:pPr>
            <w:r>
              <w:rPr>
                <w:rFonts w:eastAsia="楷体_GB2312"/>
                <w:sz w:val="18"/>
                <w:szCs w:val="18"/>
              </w:rPr>
              <w:t>变动率</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3</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“三公经费”变动率=[本年度“三公经费”预算总额/上年度“三公经费”预算总额] ×100%</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结果≤100%，得3分；</w:t>
            </w:r>
          </w:p>
          <w:p>
            <w:pPr>
              <w:spacing w:line="300" w:lineRule="exact"/>
              <w:jc w:val="left"/>
              <w:rPr>
                <w:rFonts w:eastAsia="楷体_GB2312"/>
                <w:sz w:val="18"/>
                <w:szCs w:val="18"/>
              </w:rPr>
            </w:pPr>
            <w:r>
              <w:rPr>
                <w:rFonts w:eastAsia="楷体_GB2312"/>
                <w:sz w:val="18"/>
                <w:szCs w:val="18"/>
              </w:rPr>
              <w:t>结果＞100%，得0分。</w:t>
            </w:r>
          </w:p>
        </w:tc>
        <w:tc>
          <w:tcPr>
            <w:tcW w:w="1774" w:type="dxa"/>
            <w:tcMar>
              <w:top w:w="0" w:type="dxa"/>
              <w:left w:w="105" w:type="dxa"/>
              <w:bottom w:w="0" w:type="dxa"/>
              <w:right w:w="105" w:type="dxa"/>
            </w:tcMar>
            <w:vAlign w:val="center"/>
          </w:tcPr>
          <w:p>
            <w:pPr>
              <w:jc w:val="center"/>
              <w:rPr>
                <w:rFonts w:hint="default" w:eastAsia="楷体_GB2312"/>
                <w:sz w:val="18"/>
                <w:szCs w:val="18"/>
                <w:lang w:val="en-US"/>
              </w:rPr>
            </w:pPr>
            <w:r>
              <w:rPr>
                <w:rFonts w:hint="eastAsia" w:eastAsia="楷体_GB2312"/>
                <w:sz w:val="18"/>
                <w:szCs w:val="18"/>
                <w:lang w:val="en-US" w:eastAsia="zh-CN"/>
              </w:rPr>
              <w:t>三公经费预算没有变化</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728"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重点项目预算保障率</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3</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重点项目预算保障率=（重点项目预算/项目总预算）×100%。</w:t>
            </w:r>
          </w:p>
          <w:p>
            <w:pPr>
              <w:spacing w:line="300" w:lineRule="exact"/>
              <w:jc w:val="left"/>
              <w:rPr>
                <w:rFonts w:eastAsia="楷体_GB2312"/>
                <w:sz w:val="18"/>
                <w:szCs w:val="18"/>
              </w:rPr>
            </w:pPr>
            <w:r>
              <w:rPr>
                <w:rFonts w:eastAsia="楷体_GB2312"/>
                <w:sz w:val="18"/>
                <w:szCs w:val="18"/>
              </w:rPr>
              <w:t>重点项目预算：部门年度预算安排的，与本部门履职和发展密切相关、具有明显社会和经济影响、党委政府关心或社会比较关注的，列入政府重点项目的预算总额。</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结果≥80%，得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80%＞结果≥60%，得2分；</w:t>
            </w:r>
          </w:p>
          <w:p>
            <w:pPr>
              <w:spacing w:line="300" w:lineRule="exact"/>
              <w:jc w:val="left"/>
              <w:rPr>
                <w:rFonts w:eastAsia="楷体_GB2312"/>
                <w:sz w:val="18"/>
                <w:szCs w:val="18"/>
              </w:rPr>
            </w:pPr>
            <w:r>
              <w:rPr>
                <w:rFonts w:eastAsia="楷体_GB2312"/>
                <w:sz w:val="18"/>
                <w:szCs w:val="18"/>
              </w:rPr>
              <w:t>结果＜60%，得0分。</w:t>
            </w:r>
          </w:p>
        </w:tc>
        <w:tc>
          <w:tcPr>
            <w:tcW w:w="1774" w:type="dxa"/>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lang w:val="en-US" w:eastAsia="zh-CN"/>
              </w:rPr>
              <w:t>无重点项目</w:t>
            </w:r>
          </w:p>
        </w:tc>
        <w:tc>
          <w:tcPr>
            <w:tcW w:w="745" w:type="dxa"/>
            <w:tcMar>
              <w:top w:w="0" w:type="dxa"/>
              <w:left w:w="105" w:type="dxa"/>
              <w:bottom w:w="0" w:type="dxa"/>
              <w:right w:w="105" w:type="dxa"/>
            </w:tcMar>
            <w:vAlign w:val="center"/>
          </w:tcPr>
          <w:p>
            <w:pPr>
              <w:jc w:val="center"/>
              <w:rPr>
                <w:rFonts w:hint="eastAsia" w:eastAsia="楷体_GB2312"/>
                <w:lang w:eastAsia="zh-CN"/>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79" w:hRule="atLeast"/>
          <w:tblCellSpacing w:w="0" w:type="dxa"/>
          <w:jc w:val="center"/>
        </w:trPr>
        <w:tc>
          <w:tcPr>
            <w:tcW w:w="1079" w:type="dxa"/>
            <w:vMerge w:val="restart"/>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过程</w:t>
            </w:r>
          </w:p>
          <w:p>
            <w:pPr>
              <w:spacing w:before="100" w:beforeAutospacing="1" w:after="100" w:afterAutospacing="1"/>
              <w:jc w:val="center"/>
              <w:rPr>
                <w:rFonts w:eastAsia="楷体_GB2312"/>
                <w:sz w:val="18"/>
                <w:szCs w:val="18"/>
              </w:rPr>
            </w:pPr>
            <w:r>
              <w:rPr>
                <w:rFonts w:eastAsia="楷体_GB2312"/>
                <w:sz w:val="18"/>
                <w:szCs w:val="18"/>
              </w:rPr>
              <w:t>(共</w:t>
            </w:r>
            <w:r>
              <w:rPr>
                <w:rFonts w:hint="eastAsia" w:eastAsia="楷体_GB2312"/>
                <w:sz w:val="18"/>
                <w:szCs w:val="18"/>
              </w:rPr>
              <w:t>26</w:t>
            </w:r>
            <w:r>
              <w:rPr>
                <w:rFonts w:eastAsia="楷体_GB2312"/>
                <w:sz w:val="18"/>
                <w:szCs w:val="18"/>
              </w:rPr>
              <w:t>分)</w:t>
            </w:r>
          </w:p>
        </w:tc>
        <w:tc>
          <w:tcPr>
            <w:tcW w:w="1179" w:type="dxa"/>
            <w:vMerge w:val="restart"/>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预算执行（1</w:t>
            </w:r>
            <w:r>
              <w:rPr>
                <w:rFonts w:hint="eastAsia" w:eastAsia="楷体_GB2312"/>
                <w:sz w:val="18"/>
                <w:szCs w:val="18"/>
              </w:rPr>
              <w:t>2</w:t>
            </w:r>
            <w:r>
              <w:rPr>
                <w:rFonts w:eastAsia="楷体_GB2312"/>
                <w:sz w:val="18"/>
                <w:szCs w:val="18"/>
              </w:rPr>
              <w:t>分）</w:t>
            </w: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项目预算执行率</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3</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项目预算执行率=[项目预算执行数/项目预算]×100%。</w:t>
            </w:r>
          </w:p>
          <w:p>
            <w:pPr>
              <w:spacing w:line="300" w:lineRule="exact"/>
              <w:jc w:val="left"/>
              <w:rPr>
                <w:rFonts w:eastAsia="楷体_GB2312"/>
                <w:sz w:val="18"/>
                <w:szCs w:val="18"/>
              </w:rPr>
            </w:pPr>
            <w:r>
              <w:rPr>
                <w:rFonts w:eastAsia="楷体_GB2312"/>
                <w:sz w:val="18"/>
                <w:szCs w:val="18"/>
              </w:rPr>
              <w:t>项目预算执行数：部门本年度实际执行的项目预算。</w:t>
            </w:r>
          </w:p>
          <w:p>
            <w:pPr>
              <w:spacing w:line="300" w:lineRule="exact"/>
              <w:jc w:val="left"/>
              <w:rPr>
                <w:rFonts w:eastAsia="楷体_GB2312"/>
                <w:sz w:val="18"/>
                <w:szCs w:val="18"/>
              </w:rPr>
            </w:pPr>
            <w:r>
              <w:rPr>
                <w:rFonts w:eastAsia="楷体_GB2312"/>
                <w:sz w:val="18"/>
                <w:szCs w:val="18"/>
              </w:rPr>
              <w:t>项目预算数：财政部门批复的本年度部门项目预算。</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95%≤结果≤100%，得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90%≤结果＜95%，得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80%≤结果＜90%，得1分；</w:t>
            </w:r>
          </w:p>
          <w:p>
            <w:pPr>
              <w:spacing w:line="300" w:lineRule="exact"/>
              <w:jc w:val="left"/>
              <w:rPr>
                <w:rFonts w:eastAsia="楷体_GB2312"/>
                <w:spacing w:val="-20"/>
                <w:sz w:val="18"/>
                <w:szCs w:val="18"/>
              </w:rPr>
            </w:pPr>
            <w:r>
              <w:rPr>
                <w:rFonts w:eastAsia="楷体_GB2312"/>
                <w:sz w:val="18"/>
                <w:szCs w:val="18"/>
              </w:rPr>
              <w:t>结果＜80%，得0分。</w:t>
            </w:r>
          </w:p>
        </w:tc>
        <w:tc>
          <w:tcPr>
            <w:tcW w:w="1774" w:type="dxa"/>
            <w:tcMar>
              <w:top w:w="0" w:type="dxa"/>
              <w:left w:w="105" w:type="dxa"/>
              <w:bottom w:w="0" w:type="dxa"/>
              <w:right w:w="105" w:type="dxa"/>
            </w:tcMar>
            <w:vAlign w:val="center"/>
          </w:tcPr>
          <w:p>
            <w:pPr>
              <w:jc w:val="center"/>
              <w:rPr>
                <w:rFonts w:hint="default" w:eastAsia="楷体_GB2312"/>
                <w:sz w:val="18"/>
                <w:szCs w:val="18"/>
                <w:lang w:val="en-US" w:eastAsia="zh-CN"/>
              </w:rPr>
            </w:pPr>
            <w:r>
              <w:rPr>
                <w:rFonts w:hint="eastAsia" w:eastAsia="楷体_GB2312"/>
                <w:sz w:val="18"/>
                <w:szCs w:val="18"/>
                <w:lang w:val="en-US" w:eastAsia="zh-CN"/>
              </w:rPr>
              <w:t>决算报表为90%</w:t>
            </w:r>
          </w:p>
        </w:tc>
        <w:tc>
          <w:tcPr>
            <w:tcW w:w="745" w:type="dxa"/>
            <w:tcMar>
              <w:top w:w="0" w:type="dxa"/>
              <w:left w:w="105" w:type="dxa"/>
              <w:bottom w:w="0" w:type="dxa"/>
              <w:right w:w="105" w:type="dxa"/>
            </w:tcMar>
            <w:vAlign w:val="center"/>
          </w:tcPr>
          <w:p>
            <w:pPr>
              <w:jc w:val="center"/>
              <w:rPr>
                <w:rFonts w:hint="eastAsia" w:eastAsia="楷体_GB2312"/>
                <w:lang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90"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预算</w:t>
            </w:r>
          </w:p>
          <w:p>
            <w:pPr>
              <w:spacing w:line="300" w:lineRule="exact"/>
              <w:jc w:val="center"/>
              <w:rPr>
                <w:rFonts w:eastAsia="楷体_GB2312"/>
                <w:sz w:val="18"/>
                <w:szCs w:val="18"/>
              </w:rPr>
            </w:pPr>
            <w:r>
              <w:rPr>
                <w:rFonts w:eastAsia="楷体_GB2312"/>
                <w:sz w:val="18"/>
                <w:szCs w:val="18"/>
              </w:rPr>
              <w:t>调整率</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预算调整率=[预算调整数/预算数]×100%</w:t>
            </w:r>
          </w:p>
          <w:p>
            <w:pPr>
              <w:spacing w:line="300" w:lineRule="exact"/>
              <w:jc w:val="left"/>
              <w:rPr>
                <w:rFonts w:eastAsia="楷体_GB2312"/>
                <w:sz w:val="18"/>
                <w:szCs w:val="18"/>
              </w:rPr>
            </w:pPr>
            <w:r>
              <w:rPr>
                <w:rFonts w:eastAsia="楷体_GB2312"/>
                <w:sz w:val="18"/>
                <w:szCs w:val="18"/>
              </w:rPr>
              <w:t>预算调整数：部门在本年度内涉及预算的追加、追减或结构调整的资金总和（因落实国家政策、发生不可抗力、上级部门或党委政府临时交办而产生的调整除外）。</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结果≤5%，得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5%＜结果≤10%，得1分；</w:t>
            </w:r>
          </w:p>
          <w:p>
            <w:pPr>
              <w:spacing w:line="300" w:lineRule="exact"/>
              <w:jc w:val="left"/>
              <w:rPr>
                <w:rFonts w:eastAsia="楷体_GB2312"/>
                <w:sz w:val="18"/>
                <w:szCs w:val="18"/>
              </w:rPr>
            </w:pPr>
            <w:r>
              <w:rPr>
                <w:rFonts w:eastAsia="楷体_GB2312"/>
                <w:sz w:val="18"/>
                <w:szCs w:val="18"/>
              </w:rPr>
              <w:t>结果＞10%，得0分。</w:t>
            </w:r>
          </w:p>
        </w:tc>
        <w:tc>
          <w:tcPr>
            <w:tcW w:w="1774" w:type="dxa"/>
            <w:tcMar>
              <w:top w:w="0" w:type="dxa"/>
              <w:left w:w="105" w:type="dxa"/>
              <w:bottom w:w="0" w:type="dxa"/>
              <w:right w:w="105" w:type="dxa"/>
            </w:tcMar>
            <w:vAlign w:val="center"/>
          </w:tcPr>
          <w:p>
            <w:pPr>
              <w:ind w:right="238" w:rightChars="119"/>
              <w:jc w:val="center"/>
              <w:rPr>
                <w:rFonts w:eastAsia="楷体_GB2312"/>
                <w:sz w:val="18"/>
                <w:szCs w:val="18"/>
              </w:rPr>
            </w:pPr>
            <w:r>
              <w:rPr>
                <w:rFonts w:eastAsia="楷体_GB2312"/>
                <w:sz w:val="18"/>
                <w:szCs w:val="18"/>
              </w:rPr>
              <w:t>预算调整率</w:t>
            </w:r>
            <w:r>
              <w:rPr>
                <w:rFonts w:hint="eastAsia" w:eastAsia="楷体_GB2312"/>
                <w:sz w:val="18"/>
                <w:szCs w:val="18"/>
                <w:lang w:val="en-US" w:eastAsia="zh-CN"/>
              </w:rPr>
              <w:t>=40%</w:t>
            </w:r>
          </w:p>
        </w:tc>
        <w:tc>
          <w:tcPr>
            <w:tcW w:w="745" w:type="dxa"/>
            <w:tcMar>
              <w:top w:w="0" w:type="dxa"/>
              <w:left w:w="105" w:type="dxa"/>
              <w:bottom w:w="0" w:type="dxa"/>
              <w:right w:w="105" w:type="dxa"/>
            </w:tcMar>
            <w:vAlign w:val="center"/>
          </w:tcPr>
          <w:p>
            <w:pPr>
              <w:jc w:val="center"/>
              <w:rPr>
                <w:rFonts w:hint="eastAsia" w:eastAsia="楷体_GB2312"/>
                <w:lang w:eastAsia="zh-CN"/>
              </w:rPr>
            </w:pPr>
            <w:r>
              <w:rPr>
                <w:rFonts w:hint="eastAsia" w:eastAsia="楷体_GB2312"/>
                <w:lang w:val="en-US"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42"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公用经费控制率</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3</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公用经费控制率=[公用经费实际支出总额/公用经费预算安排总额]×100%</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结果＞100%，得0分。</w:t>
            </w:r>
          </w:p>
        </w:tc>
        <w:tc>
          <w:tcPr>
            <w:tcW w:w="1774" w:type="dxa"/>
            <w:tcMar>
              <w:top w:w="0" w:type="dxa"/>
              <w:left w:w="105" w:type="dxa"/>
              <w:bottom w:w="0" w:type="dxa"/>
              <w:right w:w="105" w:type="dxa"/>
            </w:tcMar>
            <w:vAlign w:val="center"/>
          </w:tcPr>
          <w:p>
            <w:pPr>
              <w:jc w:val="center"/>
              <w:rPr>
                <w:rFonts w:eastAsia="楷体_GB2312"/>
                <w:sz w:val="18"/>
                <w:szCs w:val="18"/>
              </w:rPr>
            </w:pPr>
            <w:r>
              <w:rPr>
                <w:rFonts w:eastAsia="楷体_GB2312"/>
                <w:sz w:val="18"/>
                <w:szCs w:val="18"/>
              </w:rPr>
              <w:t>公用经费控制率</w:t>
            </w:r>
            <w:r>
              <w:rPr>
                <w:rFonts w:hint="eastAsia" w:eastAsia="楷体_GB2312"/>
                <w:sz w:val="18"/>
                <w:szCs w:val="18"/>
                <w:lang w:val="en-US" w:eastAsia="zh-CN"/>
              </w:rPr>
              <w:t>=246%</w:t>
            </w:r>
          </w:p>
        </w:tc>
        <w:tc>
          <w:tcPr>
            <w:tcW w:w="745" w:type="dxa"/>
            <w:tcMar>
              <w:top w:w="0" w:type="dxa"/>
              <w:left w:w="105" w:type="dxa"/>
              <w:bottom w:w="0" w:type="dxa"/>
              <w:right w:w="105" w:type="dxa"/>
            </w:tcMar>
            <w:vAlign w:val="center"/>
          </w:tcPr>
          <w:p>
            <w:pPr>
              <w:jc w:val="center"/>
              <w:rPr>
                <w:rFonts w:hint="eastAsia" w:eastAsia="楷体_GB2312"/>
                <w:lang w:eastAsia="zh-CN"/>
              </w:rPr>
            </w:pPr>
            <w:r>
              <w:rPr>
                <w:rFonts w:hint="eastAsia" w:eastAsia="楷体_GB2312"/>
                <w:lang w:val="en-US"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672"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pacing w:val="-20"/>
                <w:sz w:val="18"/>
                <w:szCs w:val="18"/>
              </w:rPr>
            </w:pPr>
            <w:r>
              <w:rPr>
                <w:rFonts w:eastAsia="楷体_GB2312"/>
                <w:spacing w:val="-20"/>
                <w:sz w:val="18"/>
                <w:szCs w:val="18"/>
              </w:rPr>
              <w:t>“</w:t>
            </w:r>
            <w:r>
              <w:rPr>
                <w:rFonts w:eastAsia="楷体_GB2312"/>
                <w:sz w:val="18"/>
                <w:szCs w:val="18"/>
              </w:rPr>
              <w:t>三公经费”控制率</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“三公经费”控制率=[“三公经费”实际支出总额/“三公经费”预算安排总额]×100%</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结果＞100%，得0分。</w:t>
            </w:r>
          </w:p>
        </w:tc>
        <w:tc>
          <w:tcPr>
            <w:tcW w:w="1774" w:type="dxa"/>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lang w:val="en-US" w:eastAsia="zh-CN"/>
              </w:rPr>
              <w:t>2.74/5.8=45%</w:t>
            </w:r>
            <w:r>
              <w:rPr>
                <w:rFonts w:eastAsia="楷体_GB2312"/>
                <w:sz w:val="18"/>
                <w:szCs w:val="18"/>
              </w:rPr>
              <w:t>≤100%</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632"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政府采购</w:t>
            </w:r>
          </w:p>
          <w:p>
            <w:pPr>
              <w:spacing w:line="300" w:lineRule="exact"/>
              <w:jc w:val="center"/>
              <w:rPr>
                <w:rFonts w:eastAsia="楷体_GB2312"/>
                <w:sz w:val="18"/>
                <w:szCs w:val="18"/>
              </w:rPr>
            </w:pPr>
            <w:r>
              <w:rPr>
                <w:rFonts w:eastAsia="楷体_GB2312"/>
                <w:sz w:val="18"/>
                <w:szCs w:val="18"/>
              </w:rPr>
              <w:t>完成率</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政府采购完成率=（政府采购完成项目数/政府采购预算项目数）×100%；</w:t>
            </w:r>
          </w:p>
          <w:p>
            <w:pPr>
              <w:spacing w:line="300" w:lineRule="exact"/>
              <w:jc w:val="left"/>
              <w:rPr>
                <w:rFonts w:eastAsia="楷体_GB2312"/>
                <w:sz w:val="18"/>
                <w:szCs w:val="18"/>
              </w:rPr>
            </w:pPr>
            <w:r>
              <w:rPr>
                <w:rFonts w:eastAsia="楷体_GB2312"/>
                <w:sz w:val="18"/>
                <w:szCs w:val="18"/>
              </w:rPr>
              <w:t>政府采购预算项目：采购机关根据事业发展计划和行政任务编制的、并经过规定程序批准的年度政府采购计划项目。</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完成率</w:t>
            </w:r>
            <w:r>
              <w:rPr>
                <w:rFonts w:hint="eastAsia" w:ascii="宋体" w:hAnsi="宋体" w:cs="宋体"/>
                <w:sz w:val="18"/>
                <w:szCs w:val="18"/>
              </w:rPr>
              <w:t>≧</w:t>
            </w:r>
            <w:r>
              <w:rPr>
                <w:rFonts w:hint="eastAsia" w:eastAsia="楷体_GB2312"/>
                <w:sz w:val="18"/>
                <w:szCs w:val="18"/>
              </w:rPr>
              <w:t>8</w:t>
            </w:r>
            <w:r>
              <w:rPr>
                <w:rFonts w:eastAsia="楷体_GB2312"/>
                <w:sz w:val="18"/>
                <w:szCs w:val="18"/>
              </w:rPr>
              <w:t>0%，得</w:t>
            </w:r>
            <w:r>
              <w:rPr>
                <w:rFonts w:hint="eastAsia" w:eastAsia="楷体_GB2312"/>
                <w:sz w:val="18"/>
                <w:szCs w:val="18"/>
              </w:rPr>
              <w:t>2</w:t>
            </w:r>
            <w:r>
              <w:rPr>
                <w:rFonts w:eastAsia="楷体_GB2312"/>
                <w:sz w:val="18"/>
                <w:szCs w:val="18"/>
              </w:rPr>
              <w:t>分</w:t>
            </w:r>
            <w:r>
              <w:rPr>
                <w:rFonts w:hint="eastAsia" w:eastAsia="楷体_GB2312"/>
                <w:sz w:val="18"/>
                <w:szCs w:val="18"/>
              </w:rPr>
              <w:t>；</w:t>
            </w:r>
          </w:p>
          <w:p>
            <w:pPr>
              <w:spacing w:line="300" w:lineRule="exact"/>
              <w:jc w:val="left"/>
              <w:rPr>
                <w:rFonts w:eastAsia="楷体_GB2312"/>
                <w:sz w:val="18"/>
                <w:szCs w:val="18"/>
              </w:rPr>
            </w:pPr>
            <w:r>
              <w:rPr>
                <w:rFonts w:hint="eastAsia" w:eastAsia="楷体_GB2312"/>
                <w:sz w:val="18"/>
                <w:szCs w:val="18"/>
              </w:rPr>
              <w:t>80%</w:t>
            </w:r>
            <w:r>
              <w:rPr>
                <w:rFonts w:eastAsia="楷体_GB2312"/>
                <w:sz w:val="18"/>
                <w:szCs w:val="18"/>
              </w:rPr>
              <w:t>&gt;完成率</w:t>
            </w:r>
            <w:r>
              <w:rPr>
                <w:rFonts w:hint="eastAsia" w:eastAsia="楷体_GB2312"/>
                <w:sz w:val="18"/>
                <w:szCs w:val="18"/>
              </w:rPr>
              <w:t>≧60%，得1分；</w:t>
            </w:r>
          </w:p>
          <w:p>
            <w:pPr>
              <w:spacing w:line="300" w:lineRule="exact"/>
              <w:jc w:val="left"/>
              <w:rPr>
                <w:rFonts w:eastAsia="楷体_GB2312"/>
                <w:sz w:val="18"/>
                <w:szCs w:val="18"/>
              </w:rPr>
            </w:pPr>
            <w:r>
              <w:rPr>
                <w:rFonts w:eastAsia="楷体_GB2312"/>
                <w:sz w:val="18"/>
                <w:szCs w:val="18"/>
              </w:rPr>
              <w:t>完成率＜</w:t>
            </w:r>
            <w:r>
              <w:rPr>
                <w:rFonts w:hint="eastAsia" w:eastAsia="楷体_GB2312"/>
                <w:sz w:val="18"/>
                <w:szCs w:val="18"/>
              </w:rPr>
              <w:t>6</w:t>
            </w:r>
            <w:r>
              <w:rPr>
                <w:rFonts w:eastAsia="楷体_GB2312"/>
                <w:sz w:val="18"/>
                <w:szCs w:val="18"/>
              </w:rPr>
              <w:t>0%，得0分。</w:t>
            </w:r>
          </w:p>
        </w:tc>
        <w:tc>
          <w:tcPr>
            <w:tcW w:w="1774" w:type="dxa"/>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lang w:val="en-US" w:eastAsia="zh-CN"/>
              </w:rPr>
              <w:t>无政府采购项目</w:t>
            </w:r>
          </w:p>
        </w:tc>
        <w:tc>
          <w:tcPr>
            <w:tcW w:w="745" w:type="dxa"/>
            <w:tcMar>
              <w:top w:w="0" w:type="dxa"/>
              <w:left w:w="105" w:type="dxa"/>
              <w:bottom w:w="0" w:type="dxa"/>
              <w:right w:w="105" w:type="dxa"/>
            </w:tcMar>
            <w:vAlign w:val="center"/>
          </w:tcPr>
          <w:p>
            <w:pPr>
              <w:jc w:val="center"/>
              <w:rPr>
                <w:rFonts w:hint="eastAsia" w:eastAsia="楷体_GB2312"/>
                <w:lang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74"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restart"/>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w:t>
            </w:r>
          </w:p>
          <w:p>
            <w:pPr>
              <w:spacing w:before="100" w:beforeAutospacing="1" w:after="100" w:afterAutospacing="1"/>
              <w:jc w:val="center"/>
              <w:rPr>
                <w:rFonts w:eastAsia="楷体_GB2312"/>
                <w:sz w:val="18"/>
                <w:szCs w:val="18"/>
              </w:rPr>
            </w:pPr>
            <w:r>
              <w:rPr>
                <w:rFonts w:eastAsia="楷体_GB2312"/>
                <w:sz w:val="18"/>
                <w:szCs w:val="18"/>
              </w:rPr>
              <w:t>管理（</w:t>
            </w:r>
            <w:r>
              <w:rPr>
                <w:rFonts w:hint="eastAsia" w:eastAsia="楷体_GB2312"/>
                <w:sz w:val="18"/>
                <w:szCs w:val="18"/>
              </w:rPr>
              <w:t>9</w:t>
            </w:r>
            <w:r>
              <w:rPr>
                <w:rFonts w:eastAsia="楷体_GB2312"/>
                <w:sz w:val="18"/>
                <w:szCs w:val="18"/>
              </w:rPr>
              <w:t>分）</w:t>
            </w:r>
          </w:p>
        </w:tc>
        <w:tc>
          <w:tcPr>
            <w:tcW w:w="1226" w:type="dxa"/>
            <w:tcMar>
              <w:top w:w="0" w:type="dxa"/>
              <w:left w:w="105" w:type="dxa"/>
              <w:bottom w:w="0" w:type="dxa"/>
              <w:right w:w="105" w:type="dxa"/>
            </w:tcMar>
            <w:vAlign w:val="center"/>
          </w:tcPr>
          <w:p>
            <w:pPr>
              <w:spacing w:line="280" w:lineRule="exact"/>
              <w:jc w:val="center"/>
              <w:rPr>
                <w:rFonts w:eastAsia="楷体_GB2312"/>
                <w:sz w:val="18"/>
                <w:szCs w:val="18"/>
              </w:rPr>
            </w:pPr>
            <w:r>
              <w:rPr>
                <w:rFonts w:eastAsia="楷体_GB2312"/>
                <w:sz w:val="18"/>
                <w:szCs w:val="18"/>
              </w:rPr>
              <w:t>资金管理</w:t>
            </w:r>
          </w:p>
          <w:p>
            <w:pPr>
              <w:spacing w:line="280" w:lineRule="exact"/>
              <w:jc w:val="center"/>
              <w:rPr>
                <w:rFonts w:eastAsia="楷体_GB2312"/>
                <w:sz w:val="18"/>
                <w:szCs w:val="18"/>
              </w:rPr>
            </w:pPr>
            <w:r>
              <w:rPr>
                <w:rFonts w:eastAsia="楷体_GB2312"/>
                <w:sz w:val="18"/>
                <w:szCs w:val="18"/>
              </w:rPr>
              <w:t>制度健全性</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制定预算资金管理办法、内部财务管理制度、内控制度、会计核算制度等是否完整，是否执行到位。</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每发现一项问题，扣1分，扣完为止。</w:t>
            </w:r>
          </w:p>
        </w:tc>
        <w:tc>
          <w:tcPr>
            <w:tcW w:w="1774" w:type="dxa"/>
            <w:tcMar>
              <w:top w:w="0" w:type="dxa"/>
              <w:left w:w="105" w:type="dxa"/>
              <w:bottom w:w="0" w:type="dxa"/>
              <w:right w:w="105" w:type="dxa"/>
            </w:tcMar>
            <w:vAlign w:val="center"/>
          </w:tcPr>
          <w:p>
            <w:pPr>
              <w:jc w:val="center"/>
              <w:rPr>
                <w:rFonts w:eastAsia="楷体_GB2312"/>
                <w:sz w:val="18"/>
                <w:szCs w:val="18"/>
              </w:rPr>
            </w:pPr>
            <w:r>
              <w:rPr>
                <w:rFonts w:eastAsia="楷体_GB2312"/>
                <w:sz w:val="18"/>
                <w:szCs w:val="18"/>
              </w:rPr>
              <w:t>资金管理办法、内部财务管理制度、内控制度、会计核算制度完整</w:t>
            </w:r>
          </w:p>
        </w:tc>
        <w:tc>
          <w:tcPr>
            <w:tcW w:w="745" w:type="dxa"/>
            <w:vMerge w:val="restart"/>
            <w:tcMar>
              <w:top w:w="0" w:type="dxa"/>
              <w:left w:w="105" w:type="dxa"/>
              <w:bottom w:w="0" w:type="dxa"/>
              <w:right w:w="105" w:type="dxa"/>
            </w:tcMar>
            <w:vAlign w:val="center"/>
          </w:tcPr>
          <w:p>
            <w:pPr>
              <w:jc w:val="center"/>
              <w:rPr>
                <w:rFonts w:hint="eastAsia" w:eastAsia="楷体_GB2312"/>
                <w:lang w:eastAsia="zh-CN"/>
              </w:rPr>
            </w:pPr>
            <w:r>
              <w:rPr>
                <w:rFonts w:hint="eastAsia" w:eastAsia="楷体_GB2312"/>
                <w:lang w:val="en-US" w:eastAsia="zh-CN"/>
              </w:rPr>
              <w:t>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027"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资金使用</w:t>
            </w:r>
          </w:p>
          <w:p>
            <w:pPr>
              <w:spacing w:line="300" w:lineRule="exact"/>
              <w:jc w:val="center"/>
              <w:rPr>
                <w:rFonts w:eastAsia="楷体_GB2312"/>
                <w:sz w:val="18"/>
                <w:szCs w:val="18"/>
              </w:rPr>
            </w:pPr>
            <w:r>
              <w:rPr>
                <w:rFonts w:eastAsia="楷体_GB2312"/>
                <w:sz w:val="18"/>
                <w:szCs w:val="18"/>
              </w:rPr>
              <w:t>合规性</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3</w:t>
            </w:r>
          </w:p>
        </w:tc>
        <w:tc>
          <w:tcPr>
            <w:tcW w:w="4750" w:type="dxa"/>
            <w:tcMar>
              <w:top w:w="0" w:type="dxa"/>
              <w:left w:w="105" w:type="dxa"/>
              <w:bottom w:w="0" w:type="dxa"/>
              <w:right w:w="105" w:type="dxa"/>
            </w:tcMar>
            <w:vAlign w:val="center"/>
          </w:tcPr>
          <w:p>
            <w:pPr>
              <w:spacing w:line="300" w:lineRule="exact"/>
              <w:jc w:val="left"/>
              <w:rPr>
                <w:rFonts w:eastAsia="楷体_GB2312"/>
                <w:spacing w:val="-20"/>
                <w:sz w:val="18"/>
                <w:szCs w:val="18"/>
              </w:rPr>
            </w:pPr>
            <w:r>
              <w:rPr>
                <w:rFonts w:eastAsia="楷体_GB2312"/>
                <w:sz w:val="18"/>
                <w:szCs w:val="18"/>
              </w:rPr>
              <w:t>部门预算资金使用是否符合相关的预算财务管理制度的规定。如①是否符合国家财经法规和财务管理制度规定，以及有关专项资金管理办法的规定；②资金的拨付是否有完整的审批程序和手续；③项目的重大开支是否经过评估论证；④是否存在截留、挤占、挪用、虚列支出等情况。</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合规率100%得</w:t>
            </w:r>
            <w:r>
              <w:rPr>
                <w:rFonts w:hint="eastAsia" w:eastAsia="楷体_GB2312"/>
                <w:sz w:val="18"/>
                <w:szCs w:val="18"/>
              </w:rPr>
              <w:t>3</w:t>
            </w:r>
            <w:r>
              <w:rPr>
                <w:rFonts w:eastAsia="楷体_GB2312"/>
                <w:sz w:val="18"/>
                <w:szCs w:val="18"/>
              </w:rPr>
              <w:t>分；合规率每下降1%，扣0.5分，扣完为止。</w:t>
            </w:r>
          </w:p>
        </w:tc>
        <w:tc>
          <w:tcPr>
            <w:tcW w:w="1774" w:type="dxa"/>
            <w:tcMar>
              <w:top w:w="0" w:type="dxa"/>
              <w:left w:w="105" w:type="dxa"/>
              <w:bottom w:w="0" w:type="dxa"/>
              <w:right w:w="105" w:type="dxa"/>
            </w:tcMar>
            <w:vAlign w:val="center"/>
          </w:tcPr>
          <w:p>
            <w:pPr>
              <w:jc w:val="center"/>
              <w:rPr>
                <w:rFonts w:hint="default" w:eastAsia="楷体_GB2312"/>
                <w:sz w:val="18"/>
                <w:szCs w:val="18"/>
                <w:lang w:val="en-US"/>
              </w:rPr>
            </w:pPr>
            <w:r>
              <w:rPr>
                <w:rFonts w:hint="eastAsia" w:eastAsia="楷体_GB2312"/>
                <w:sz w:val="18"/>
                <w:szCs w:val="18"/>
                <w:lang w:val="en-US" w:eastAsia="zh-CN"/>
              </w:rPr>
              <w:t>合规率=100%</w:t>
            </w:r>
          </w:p>
        </w:tc>
        <w:tc>
          <w:tcPr>
            <w:tcW w:w="745" w:type="dxa"/>
            <w:vMerge w:val="continue"/>
            <w:vAlign w:val="center"/>
          </w:tcPr>
          <w:p>
            <w:pPr>
              <w:jc w:val="center"/>
              <w:rPr>
                <w:rFonts w:eastAsia="楷体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35"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资金使用</w:t>
            </w:r>
          </w:p>
          <w:p>
            <w:pPr>
              <w:spacing w:line="300" w:lineRule="exact"/>
              <w:jc w:val="center"/>
              <w:rPr>
                <w:rFonts w:eastAsia="楷体_GB2312"/>
                <w:sz w:val="18"/>
                <w:szCs w:val="18"/>
              </w:rPr>
            </w:pPr>
            <w:r>
              <w:rPr>
                <w:rFonts w:eastAsia="楷体_GB2312"/>
                <w:sz w:val="18"/>
                <w:szCs w:val="18"/>
              </w:rPr>
              <w:t>合理性</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部门预算资金使用是否与批准的预算及其预算内容相符合。</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相符率100%得2分；相符率每下降1%，扣0.5分，扣完为止。</w:t>
            </w:r>
          </w:p>
        </w:tc>
        <w:tc>
          <w:tcPr>
            <w:tcW w:w="1774" w:type="dxa"/>
            <w:tcMar>
              <w:top w:w="0" w:type="dxa"/>
              <w:left w:w="105" w:type="dxa"/>
              <w:bottom w:w="0" w:type="dxa"/>
              <w:right w:w="105" w:type="dxa"/>
            </w:tcMar>
            <w:vAlign w:val="center"/>
          </w:tcPr>
          <w:p>
            <w:pPr>
              <w:jc w:val="center"/>
              <w:rPr>
                <w:rFonts w:eastAsia="楷体_GB2312"/>
                <w:sz w:val="18"/>
                <w:szCs w:val="18"/>
              </w:rPr>
            </w:pPr>
            <w:r>
              <w:rPr>
                <w:rFonts w:eastAsia="楷体_GB2312"/>
                <w:sz w:val="18"/>
                <w:szCs w:val="18"/>
              </w:rPr>
              <w:t>相符率100%</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399"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整改</w:t>
            </w:r>
          </w:p>
          <w:p>
            <w:pPr>
              <w:spacing w:line="300" w:lineRule="exact"/>
              <w:jc w:val="center"/>
              <w:rPr>
                <w:rFonts w:eastAsia="楷体_GB2312"/>
                <w:sz w:val="18"/>
                <w:szCs w:val="18"/>
              </w:rPr>
            </w:pPr>
            <w:r>
              <w:rPr>
                <w:rFonts w:eastAsia="楷体_GB2312"/>
                <w:sz w:val="18"/>
                <w:szCs w:val="18"/>
              </w:rPr>
              <w:t>落实</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是否对近三年内审计、财政等部门各项检查中、绩效评价发现违法违规问题已经进行有效整改。</w:t>
            </w:r>
          </w:p>
        </w:tc>
        <w:tc>
          <w:tcPr>
            <w:tcW w:w="2963" w:type="dxa"/>
            <w:tcMar>
              <w:top w:w="0" w:type="dxa"/>
              <w:left w:w="105" w:type="dxa"/>
              <w:bottom w:w="0" w:type="dxa"/>
              <w:right w:w="105" w:type="dxa"/>
            </w:tcMar>
            <w:vAlign w:val="center"/>
          </w:tcPr>
          <w:p>
            <w:pPr>
              <w:spacing w:line="300" w:lineRule="exact"/>
              <w:jc w:val="left"/>
              <w:rPr>
                <w:rFonts w:eastAsia="楷体_GB2312"/>
                <w:spacing w:val="-20"/>
                <w:sz w:val="18"/>
                <w:szCs w:val="18"/>
              </w:rPr>
            </w:pPr>
            <w:r>
              <w:rPr>
                <w:rFonts w:eastAsia="楷体_GB2312"/>
                <w:sz w:val="18"/>
                <w:szCs w:val="18"/>
              </w:rPr>
              <w:t>没发现违法违规问题或发现违法违纪行为并积极制定措施全部整改的，得</w:t>
            </w:r>
            <w:r>
              <w:rPr>
                <w:rFonts w:hint="eastAsia" w:eastAsia="楷体_GB2312"/>
                <w:sz w:val="18"/>
                <w:szCs w:val="18"/>
              </w:rPr>
              <w:t>2</w:t>
            </w:r>
            <w:r>
              <w:rPr>
                <w:rFonts w:eastAsia="楷体_GB2312"/>
                <w:sz w:val="18"/>
                <w:szCs w:val="18"/>
              </w:rPr>
              <w:t>分；部分整改的，视整改情况得</w:t>
            </w:r>
            <w:r>
              <w:rPr>
                <w:rFonts w:hint="eastAsia" w:eastAsia="楷体_GB2312"/>
                <w:sz w:val="18"/>
                <w:szCs w:val="18"/>
              </w:rPr>
              <w:t>0.5至1</w:t>
            </w:r>
            <w:r>
              <w:rPr>
                <w:rFonts w:eastAsia="楷体_GB2312"/>
                <w:sz w:val="18"/>
                <w:szCs w:val="18"/>
              </w:rPr>
              <w:t>分；未整改的，得0分。</w:t>
            </w:r>
          </w:p>
        </w:tc>
        <w:tc>
          <w:tcPr>
            <w:tcW w:w="1774" w:type="dxa"/>
            <w:tcMar>
              <w:top w:w="0" w:type="dxa"/>
              <w:left w:w="105" w:type="dxa"/>
              <w:bottom w:w="0" w:type="dxa"/>
              <w:right w:w="105" w:type="dxa"/>
            </w:tcMar>
            <w:vAlign w:val="center"/>
          </w:tcPr>
          <w:p>
            <w:pPr>
              <w:jc w:val="center"/>
              <w:rPr>
                <w:rFonts w:eastAsia="楷体_GB2312"/>
                <w:sz w:val="18"/>
                <w:szCs w:val="18"/>
              </w:rPr>
            </w:pPr>
            <w:r>
              <w:rPr>
                <w:rFonts w:eastAsia="楷体_GB2312"/>
                <w:sz w:val="18"/>
                <w:szCs w:val="18"/>
              </w:rPr>
              <w:t>没发现违法违规问题</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32"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restart"/>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资产管理（5分）</w:t>
            </w: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资产管理制度健全性</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1</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部门为加强资产管理、规范资产管理行为而制定的管理制度是否健全完整，是否合法合规，是否执行到位。</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每发现一项问题，扣0.5分，扣完为止。</w:t>
            </w:r>
          </w:p>
        </w:tc>
        <w:tc>
          <w:tcPr>
            <w:tcW w:w="1774" w:type="dxa"/>
            <w:tcMar>
              <w:top w:w="0" w:type="dxa"/>
              <w:left w:w="105" w:type="dxa"/>
              <w:bottom w:w="0" w:type="dxa"/>
              <w:right w:w="105" w:type="dxa"/>
            </w:tcMar>
            <w:vAlign w:val="center"/>
          </w:tcPr>
          <w:p>
            <w:pPr>
              <w:jc w:val="center"/>
              <w:rPr>
                <w:rFonts w:eastAsia="楷体_GB2312"/>
                <w:sz w:val="18"/>
                <w:szCs w:val="18"/>
              </w:rPr>
            </w:pPr>
            <w:r>
              <w:rPr>
                <w:rFonts w:eastAsia="楷体_GB2312"/>
                <w:sz w:val="18"/>
                <w:szCs w:val="18"/>
              </w:rPr>
              <w:t>管理制度健全完整</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6"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资产管理</w:t>
            </w:r>
          </w:p>
          <w:p>
            <w:pPr>
              <w:spacing w:line="300" w:lineRule="exact"/>
              <w:jc w:val="center"/>
              <w:rPr>
                <w:rFonts w:eastAsia="楷体_GB2312"/>
                <w:sz w:val="18"/>
                <w:szCs w:val="18"/>
              </w:rPr>
            </w:pPr>
            <w:r>
              <w:rPr>
                <w:rFonts w:eastAsia="楷体_GB2312"/>
                <w:sz w:val="18"/>
                <w:szCs w:val="18"/>
              </w:rPr>
              <w:t>安全性</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部门的资产是否保存完整、使用合规、配置合理、处置规范、收入及时足额上缴。</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每发现一项问题，扣0.5分，扣完为止。</w:t>
            </w:r>
          </w:p>
        </w:tc>
        <w:tc>
          <w:tcPr>
            <w:tcW w:w="1774" w:type="dxa"/>
            <w:tcMar>
              <w:top w:w="0" w:type="dxa"/>
              <w:left w:w="105" w:type="dxa"/>
              <w:bottom w:w="0" w:type="dxa"/>
              <w:right w:w="105" w:type="dxa"/>
            </w:tcMar>
            <w:vAlign w:val="center"/>
          </w:tcPr>
          <w:p>
            <w:pPr>
              <w:jc w:val="center"/>
              <w:rPr>
                <w:rFonts w:eastAsia="楷体_GB2312"/>
                <w:sz w:val="18"/>
                <w:szCs w:val="18"/>
              </w:rPr>
            </w:pPr>
            <w:r>
              <w:rPr>
                <w:rFonts w:eastAsia="楷体_GB2312"/>
                <w:sz w:val="18"/>
                <w:szCs w:val="18"/>
              </w:rPr>
              <w:t>保存完整、使用合规、配置合理、处置规范</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73"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固定资产</w:t>
            </w:r>
          </w:p>
          <w:p>
            <w:pPr>
              <w:spacing w:line="300" w:lineRule="exact"/>
              <w:jc w:val="center"/>
              <w:rPr>
                <w:rFonts w:eastAsia="楷体_GB2312"/>
                <w:sz w:val="18"/>
                <w:szCs w:val="18"/>
              </w:rPr>
            </w:pPr>
            <w:r>
              <w:rPr>
                <w:rFonts w:eastAsia="楷体_GB2312"/>
                <w:sz w:val="18"/>
                <w:szCs w:val="18"/>
              </w:rPr>
              <w:t>利用率</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固定资产利用率=（实际在用固定资产总额/所有固定资产总额）×100%</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99%≤结果≤100%，得2分；</w:t>
            </w:r>
          </w:p>
          <w:p>
            <w:pPr>
              <w:spacing w:line="300" w:lineRule="exact"/>
              <w:jc w:val="left"/>
              <w:rPr>
                <w:rFonts w:eastAsia="楷体_GB2312"/>
                <w:sz w:val="18"/>
                <w:szCs w:val="18"/>
              </w:rPr>
            </w:pPr>
            <w:r>
              <w:rPr>
                <w:rFonts w:eastAsia="楷体_GB2312"/>
                <w:sz w:val="18"/>
                <w:szCs w:val="18"/>
              </w:rPr>
              <w:t>90%≤结果＜99%，得1分；</w:t>
            </w:r>
          </w:p>
          <w:p>
            <w:pPr>
              <w:spacing w:line="300" w:lineRule="exact"/>
              <w:jc w:val="left"/>
              <w:rPr>
                <w:rFonts w:eastAsia="楷体_GB2312"/>
                <w:spacing w:val="-20"/>
                <w:sz w:val="18"/>
                <w:szCs w:val="18"/>
              </w:rPr>
            </w:pPr>
            <w:r>
              <w:rPr>
                <w:rFonts w:eastAsia="楷体_GB2312"/>
                <w:sz w:val="18"/>
                <w:szCs w:val="18"/>
              </w:rPr>
              <w:t>结果＜90%，得0分。</w:t>
            </w:r>
          </w:p>
        </w:tc>
        <w:tc>
          <w:tcPr>
            <w:tcW w:w="1774" w:type="dxa"/>
            <w:tcMar>
              <w:top w:w="0" w:type="dxa"/>
              <w:left w:w="105" w:type="dxa"/>
              <w:bottom w:w="0" w:type="dxa"/>
              <w:right w:w="105" w:type="dxa"/>
            </w:tcMar>
            <w:vAlign w:val="center"/>
          </w:tcPr>
          <w:p>
            <w:pPr>
              <w:jc w:val="center"/>
              <w:rPr>
                <w:rFonts w:eastAsia="楷体_GB2312"/>
                <w:sz w:val="18"/>
                <w:szCs w:val="18"/>
              </w:rPr>
            </w:pPr>
            <w:r>
              <w:rPr>
                <w:rFonts w:eastAsia="楷体_GB2312"/>
                <w:sz w:val="18"/>
                <w:szCs w:val="18"/>
              </w:rPr>
              <w:t>固定资产利用率=</w:t>
            </w:r>
            <w:r>
              <w:rPr>
                <w:rFonts w:hint="eastAsia" w:eastAsia="楷体_GB2312"/>
                <w:sz w:val="18"/>
                <w:szCs w:val="18"/>
                <w:lang w:val="en-US" w:eastAsia="zh-CN"/>
              </w:rPr>
              <w:t>100%</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094" w:hRule="atLeast"/>
          <w:tblCellSpacing w:w="0" w:type="dxa"/>
          <w:jc w:val="center"/>
        </w:trPr>
        <w:tc>
          <w:tcPr>
            <w:tcW w:w="1079" w:type="dxa"/>
            <w:vMerge w:val="restart"/>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产出与效果(共</w:t>
            </w:r>
            <w:r>
              <w:rPr>
                <w:rFonts w:hint="eastAsia" w:eastAsia="楷体_GB2312"/>
                <w:sz w:val="18"/>
                <w:szCs w:val="18"/>
              </w:rPr>
              <w:t>6</w:t>
            </w:r>
            <w:r>
              <w:rPr>
                <w:rFonts w:eastAsia="楷体_GB2312"/>
                <w:sz w:val="18"/>
                <w:szCs w:val="18"/>
              </w:rPr>
              <w:t>0分)</w:t>
            </w:r>
          </w:p>
        </w:tc>
        <w:tc>
          <w:tcPr>
            <w:tcW w:w="1179" w:type="dxa"/>
            <w:vMerge w:val="restart"/>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p>
          <w:p>
            <w:pPr>
              <w:spacing w:before="100" w:beforeAutospacing="1" w:after="100" w:afterAutospacing="1"/>
              <w:jc w:val="center"/>
              <w:rPr>
                <w:rFonts w:eastAsia="楷体_GB2312"/>
                <w:sz w:val="18"/>
                <w:szCs w:val="18"/>
              </w:rPr>
            </w:pPr>
            <w:r>
              <w:rPr>
                <w:rFonts w:eastAsia="楷体_GB2312"/>
                <w:sz w:val="18"/>
                <w:szCs w:val="18"/>
              </w:rPr>
              <w:t>产出指标（30分）</w:t>
            </w: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数量</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对照整体绩效目标评价。未设置整体绩效目标，或整体绩效目标设置不完善的，根据部门年度履行职责主要工作和重点工作计划任务数与实际完成任务数的比率评价得分。</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对照绩效目标，按实际产出数量率计算得分</w:t>
            </w:r>
          </w:p>
        </w:tc>
        <w:tc>
          <w:tcPr>
            <w:tcW w:w="1774" w:type="dxa"/>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lang w:val="en-US" w:eastAsia="zh-CN"/>
              </w:rPr>
              <w:t>设置了</w:t>
            </w:r>
            <w:r>
              <w:rPr>
                <w:rFonts w:eastAsia="楷体_GB2312"/>
                <w:sz w:val="18"/>
                <w:szCs w:val="18"/>
              </w:rPr>
              <w:t>整体绩效目标，</w:t>
            </w:r>
            <w:r>
              <w:rPr>
                <w:rFonts w:hint="eastAsia" w:eastAsia="楷体_GB2312"/>
                <w:sz w:val="18"/>
                <w:szCs w:val="18"/>
                <w:lang w:val="en-US" w:eastAsia="zh-CN"/>
              </w:rPr>
              <w:t>但是</w:t>
            </w:r>
            <w:r>
              <w:rPr>
                <w:rFonts w:eastAsia="楷体_GB2312"/>
                <w:sz w:val="18"/>
                <w:szCs w:val="18"/>
              </w:rPr>
              <w:t>整体绩效目标设置不完善的</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59"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质量</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对照整体绩效目标评价。未设置整体绩效目标，或整体绩效目标设置不完善的，根据部门年度履行职责主要工作和重点工作，标识具体明确的产出质量。</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对照绩效目标，按实际产出质量计算得分</w:t>
            </w:r>
          </w:p>
        </w:tc>
        <w:tc>
          <w:tcPr>
            <w:tcW w:w="1774" w:type="dxa"/>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从严执法，严厉打击违规违法</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54"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时效</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对照整体绩效目标评价。未设置整体绩效目标，或整体绩效目标设置不完善的，根据部门年度履行职责主要工作和重点工作，标识具体明确的产出时效。</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对照绩效目标，按实际产出时效计算得分</w:t>
            </w:r>
          </w:p>
        </w:tc>
        <w:tc>
          <w:tcPr>
            <w:tcW w:w="1774" w:type="dxa"/>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工作完成及时性</w:t>
            </w:r>
            <w:r>
              <w:rPr>
                <w:rFonts w:hint="eastAsia" w:eastAsia="楷体_GB2312"/>
                <w:sz w:val="18"/>
                <w:szCs w:val="18"/>
                <w:lang w:val="en-US" w:eastAsia="zh-CN"/>
              </w:rPr>
              <w:t>100%</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73"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restart"/>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效益指标（</w:t>
            </w:r>
            <w:r>
              <w:rPr>
                <w:rFonts w:hint="eastAsia" w:eastAsia="楷体_GB2312"/>
                <w:sz w:val="18"/>
                <w:szCs w:val="18"/>
              </w:rPr>
              <w:t>3</w:t>
            </w:r>
            <w:r>
              <w:rPr>
                <w:rFonts w:eastAsia="楷体_GB2312"/>
                <w:sz w:val="18"/>
                <w:szCs w:val="18"/>
              </w:rPr>
              <w:t>0分）</w:t>
            </w: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经济</w:t>
            </w:r>
          </w:p>
          <w:p>
            <w:pPr>
              <w:spacing w:line="300" w:lineRule="exact"/>
              <w:jc w:val="center"/>
              <w:rPr>
                <w:rFonts w:eastAsia="楷体_GB2312"/>
                <w:sz w:val="18"/>
                <w:szCs w:val="18"/>
              </w:rPr>
            </w:pPr>
            <w:r>
              <w:rPr>
                <w:rFonts w:eastAsia="楷体_GB2312"/>
                <w:sz w:val="18"/>
                <w:szCs w:val="18"/>
              </w:rPr>
              <w:t>效益</w:t>
            </w:r>
          </w:p>
        </w:tc>
        <w:tc>
          <w:tcPr>
            <w:tcW w:w="701" w:type="dxa"/>
            <w:vMerge w:val="restart"/>
            <w:tcBorders>
              <w:top w:val="single" w:color="auto" w:sz="4" w:space="0"/>
            </w:tcBorders>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20</w:t>
            </w:r>
          </w:p>
        </w:tc>
        <w:tc>
          <w:tcPr>
            <w:tcW w:w="4750" w:type="dxa"/>
            <w:tcBorders>
              <w:top w:val="single" w:color="auto" w:sz="4" w:space="0"/>
            </w:tcBorders>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对照整体绩效目标评价。未设置整体绩效目标，或整体绩效目标设置不完善的，根据部门年度履行职责主要工作和重点工作，标识所产生的直接或间接的经济效益</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对照绩效目标，按经济效益实现程度计算得分</w:t>
            </w:r>
          </w:p>
        </w:tc>
        <w:tc>
          <w:tcPr>
            <w:tcW w:w="1774" w:type="dxa"/>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lang w:val="en-US" w:eastAsia="zh-CN"/>
              </w:rPr>
              <w:t>不适用</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Borders>
              <w:right w:val="single" w:color="auto" w:sz="4" w:space="0"/>
            </w:tcBorders>
            <w:vAlign w:val="center"/>
          </w:tcPr>
          <w:p>
            <w:pPr>
              <w:spacing w:line="300" w:lineRule="exact"/>
              <w:jc w:val="center"/>
              <w:rPr>
                <w:rFonts w:eastAsia="楷体_GB2312"/>
                <w:sz w:val="18"/>
                <w:szCs w:val="18"/>
              </w:rPr>
            </w:pPr>
            <w:r>
              <w:rPr>
                <w:rFonts w:eastAsia="楷体_GB2312"/>
                <w:sz w:val="18"/>
                <w:szCs w:val="18"/>
              </w:rPr>
              <w:t>社会</w:t>
            </w:r>
          </w:p>
          <w:p>
            <w:pPr>
              <w:spacing w:line="300" w:lineRule="exact"/>
              <w:jc w:val="center"/>
              <w:rPr>
                <w:rFonts w:eastAsia="楷体_GB2312"/>
                <w:sz w:val="18"/>
                <w:szCs w:val="18"/>
              </w:rPr>
            </w:pPr>
            <w:r>
              <w:rPr>
                <w:rFonts w:eastAsia="楷体_GB2312"/>
                <w:sz w:val="18"/>
                <w:szCs w:val="18"/>
              </w:rPr>
              <w:t>效益</w:t>
            </w:r>
          </w:p>
        </w:tc>
        <w:tc>
          <w:tcPr>
            <w:tcW w:w="701" w:type="dxa"/>
            <w:vMerge w:val="continue"/>
            <w:vAlign w:val="center"/>
          </w:tcPr>
          <w:p>
            <w:pPr>
              <w:jc w:val="center"/>
              <w:rPr>
                <w:rFonts w:eastAsia="楷体_GB2312"/>
                <w:sz w:val="18"/>
                <w:szCs w:val="18"/>
              </w:rPr>
            </w:pPr>
          </w:p>
        </w:tc>
        <w:tc>
          <w:tcPr>
            <w:tcW w:w="4750" w:type="dxa"/>
            <w:tcBorders>
              <w:top w:val="single" w:color="auto" w:sz="4" w:space="0"/>
            </w:tcBorders>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对照整体绩效目标评价。未设置整体绩效目标，或整体绩效目标设置不完善的，根据部门年度履行职责主要工作和重点工作，标识所产生的社会效益</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对照绩效目标，按社会效益实现程度计算得分</w:t>
            </w:r>
          </w:p>
        </w:tc>
        <w:tc>
          <w:tcPr>
            <w:tcW w:w="1774" w:type="dxa"/>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lang w:val="en-US" w:eastAsia="zh-CN"/>
              </w:rPr>
              <w:t>市容市貌</w:t>
            </w:r>
            <w:r>
              <w:rPr>
                <w:rFonts w:hint="eastAsia" w:eastAsia="楷体_GB2312"/>
                <w:sz w:val="18"/>
                <w:szCs w:val="18"/>
              </w:rPr>
              <w:t>明显改观，群众满意度大幅度提高，幸福感增强</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230"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vAlign w:val="center"/>
          </w:tcPr>
          <w:p>
            <w:pPr>
              <w:spacing w:line="300" w:lineRule="exact"/>
              <w:jc w:val="center"/>
              <w:rPr>
                <w:rFonts w:eastAsia="楷体_GB2312"/>
                <w:sz w:val="18"/>
                <w:szCs w:val="18"/>
              </w:rPr>
            </w:pPr>
            <w:r>
              <w:rPr>
                <w:rFonts w:eastAsia="楷体_GB2312"/>
                <w:sz w:val="18"/>
                <w:szCs w:val="18"/>
              </w:rPr>
              <w:t>环境</w:t>
            </w:r>
          </w:p>
          <w:p>
            <w:pPr>
              <w:spacing w:line="300" w:lineRule="exact"/>
              <w:jc w:val="center"/>
              <w:rPr>
                <w:rFonts w:eastAsia="楷体_GB2312"/>
                <w:sz w:val="18"/>
                <w:szCs w:val="18"/>
              </w:rPr>
            </w:pPr>
            <w:r>
              <w:rPr>
                <w:rFonts w:eastAsia="楷体_GB2312"/>
                <w:sz w:val="18"/>
                <w:szCs w:val="18"/>
              </w:rPr>
              <w:t>效益</w:t>
            </w:r>
          </w:p>
        </w:tc>
        <w:tc>
          <w:tcPr>
            <w:tcW w:w="701" w:type="dxa"/>
            <w:vMerge w:val="continue"/>
            <w:vAlign w:val="center"/>
          </w:tcPr>
          <w:p>
            <w:pPr>
              <w:jc w:val="center"/>
              <w:rPr>
                <w:rFonts w:eastAsia="楷体_GB2312"/>
                <w:sz w:val="18"/>
                <w:szCs w:val="18"/>
              </w:rPr>
            </w:pPr>
          </w:p>
        </w:tc>
        <w:tc>
          <w:tcPr>
            <w:tcW w:w="4750" w:type="dxa"/>
            <w:tcBorders>
              <w:right w:val="nil"/>
            </w:tcBorders>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w:t>
            </w:r>
          </w:p>
          <w:p>
            <w:pPr>
              <w:spacing w:line="300" w:lineRule="exact"/>
              <w:jc w:val="left"/>
              <w:rPr>
                <w:rFonts w:eastAsia="楷体_GB2312"/>
                <w:sz w:val="18"/>
                <w:szCs w:val="18"/>
              </w:rPr>
            </w:pPr>
            <w:r>
              <w:rPr>
                <w:rFonts w:eastAsia="楷体_GB2312"/>
                <w:sz w:val="18"/>
                <w:szCs w:val="18"/>
              </w:rPr>
              <w:t>置整体绩效目标，或整体绩效目标设置不完善的，根据部门年度履行职责主要工作和重点工作，标识对环境所产生的积极或消极影响</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对照绩效目标，按对环境所产生的实际影响程度计算得分</w:t>
            </w:r>
          </w:p>
        </w:tc>
        <w:tc>
          <w:tcPr>
            <w:tcW w:w="1774" w:type="dxa"/>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城市提质，环境改善，增进市民身体健康</w:t>
            </w:r>
            <w:r>
              <w:rPr>
                <w:rFonts w:hint="eastAsia" w:eastAsia="楷体_GB2312"/>
                <w:sz w:val="18"/>
                <w:szCs w:val="18"/>
                <w:lang w:val="en-US" w:eastAsia="zh-CN"/>
              </w:rPr>
              <w:t xml:space="preserve">  明显提高</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63"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vAlign w:val="center"/>
          </w:tcPr>
          <w:p>
            <w:pPr>
              <w:spacing w:line="300" w:lineRule="exact"/>
              <w:jc w:val="center"/>
              <w:rPr>
                <w:rFonts w:eastAsia="楷体_GB2312"/>
                <w:sz w:val="18"/>
                <w:szCs w:val="18"/>
              </w:rPr>
            </w:pPr>
            <w:r>
              <w:rPr>
                <w:rFonts w:eastAsia="楷体_GB2312"/>
                <w:sz w:val="18"/>
                <w:szCs w:val="18"/>
              </w:rPr>
              <w:t>可持续性</w:t>
            </w:r>
          </w:p>
        </w:tc>
        <w:tc>
          <w:tcPr>
            <w:tcW w:w="701" w:type="dxa"/>
            <w:vMerge w:val="continue"/>
            <w:vAlign w:val="center"/>
          </w:tcPr>
          <w:p>
            <w:pPr>
              <w:jc w:val="center"/>
              <w:rPr>
                <w:rFonts w:eastAsia="楷体_GB2312"/>
                <w:sz w:val="18"/>
                <w:szCs w:val="18"/>
              </w:rPr>
            </w:pP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对照整体绩效目标评价。未设置整体绩效目标，或整体绩效目标设置不完善的，根据部门年度履行职责主要工作和重点工作，标识可持续性</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对照绩效目标，按实际情况计算得分</w:t>
            </w:r>
          </w:p>
        </w:tc>
        <w:tc>
          <w:tcPr>
            <w:tcW w:w="1774" w:type="dxa"/>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保持文明县城，国家卫生城市，全国园林县城的各项指标</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51"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260" w:lineRule="exact"/>
              <w:jc w:val="center"/>
              <w:rPr>
                <w:rFonts w:eastAsia="楷体_GB2312"/>
                <w:sz w:val="18"/>
                <w:szCs w:val="18"/>
              </w:rPr>
            </w:pPr>
            <w:r>
              <w:rPr>
                <w:rFonts w:eastAsia="楷体_GB2312"/>
                <w:sz w:val="18"/>
                <w:szCs w:val="18"/>
              </w:rPr>
              <w:t>社会公众与服务对象满意度</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社会公众、服务对象对部门主要工作实施的满意程度</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hint="eastAsia" w:eastAsia="楷体_GB2312"/>
                <w:sz w:val="18"/>
                <w:szCs w:val="18"/>
              </w:rPr>
              <w:t>90%≤满意度≤100%记10分，</w:t>
            </w:r>
          </w:p>
          <w:p>
            <w:pPr>
              <w:spacing w:line="300" w:lineRule="exact"/>
              <w:jc w:val="left"/>
              <w:rPr>
                <w:rFonts w:eastAsia="楷体_GB2312"/>
                <w:sz w:val="18"/>
                <w:szCs w:val="18"/>
              </w:rPr>
            </w:pPr>
            <w:r>
              <w:rPr>
                <w:rFonts w:hint="eastAsia" w:eastAsia="楷体_GB2312"/>
                <w:sz w:val="18"/>
                <w:szCs w:val="18"/>
              </w:rPr>
              <w:t>80%≤满意度&lt;90%记8分，</w:t>
            </w:r>
          </w:p>
          <w:p>
            <w:pPr>
              <w:spacing w:line="300" w:lineRule="exact"/>
              <w:jc w:val="left"/>
              <w:rPr>
                <w:rFonts w:eastAsia="楷体_GB2312"/>
                <w:sz w:val="18"/>
                <w:szCs w:val="18"/>
              </w:rPr>
            </w:pPr>
            <w:r>
              <w:rPr>
                <w:rFonts w:hint="eastAsia" w:eastAsia="楷体_GB2312"/>
                <w:sz w:val="18"/>
                <w:szCs w:val="18"/>
              </w:rPr>
              <w:t>70%≤满意度&lt;80%  记6分，</w:t>
            </w:r>
          </w:p>
          <w:p>
            <w:pPr>
              <w:spacing w:line="300" w:lineRule="exact"/>
              <w:jc w:val="left"/>
              <w:rPr>
                <w:rFonts w:eastAsia="楷体_GB2312"/>
                <w:sz w:val="18"/>
                <w:szCs w:val="18"/>
              </w:rPr>
            </w:pPr>
            <w:r>
              <w:rPr>
                <w:rFonts w:hint="eastAsia" w:eastAsia="楷体_GB2312"/>
                <w:sz w:val="18"/>
                <w:szCs w:val="18"/>
              </w:rPr>
              <w:t>60%≤满意度&lt;70%记4分，</w:t>
            </w:r>
          </w:p>
          <w:p>
            <w:pPr>
              <w:spacing w:line="300" w:lineRule="exact"/>
              <w:jc w:val="left"/>
              <w:rPr>
                <w:rFonts w:eastAsia="楷体_GB2312"/>
                <w:sz w:val="18"/>
                <w:szCs w:val="18"/>
              </w:rPr>
            </w:pPr>
            <w:r>
              <w:rPr>
                <w:rFonts w:hint="eastAsia" w:eastAsia="楷体_GB2312"/>
                <w:sz w:val="18"/>
                <w:szCs w:val="18"/>
              </w:rPr>
              <w:t>满意度&lt;60%记0分。</w:t>
            </w:r>
          </w:p>
        </w:tc>
        <w:tc>
          <w:tcPr>
            <w:tcW w:w="1774" w:type="dxa"/>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lang w:val="en-US" w:eastAsia="zh-CN"/>
              </w:rPr>
              <w:t>满意度85%</w:t>
            </w:r>
          </w:p>
        </w:tc>
        <w:tc>
          <w:tcPr>
            <w:tcW w:w="745" w:type="dxa"/>
            <w:tcMar>
              <w:top w:w="0" w:type="dxa"/>
              <w:left w:w="105" w:type="dxa"/>
              <w:bottom w:w="0" w:type="dxa"/>
              <w:right w:w="105" w:type="dxa"/>
            </w:tcMar>
            <w:vAlign w:val="center"/>
          </w:tcPr>
          <w:p>
            <w:pPr>
              <w:jc w:val="center"/>
              <w:rPr>
                <w:rFonts w:hint="eastAsia" w:eastAsia="楷体_GB2312"/>
                <w:lang w:eastAsia="zh-CN"/>
              </w:rPr>
            </w:pPr>
            <w:r>
              <w:rPr>
                <w:rFonts w:hint="eastAsia" w:eastAsia="楷体_GB2312"/>
                <w:lang w:val="en-US" w:eastAsia="zh-CN"/>
              </w:rPr>
              <w:t>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86" w:hRule="atLeast"/>
          <w:tblCellSpacing w:w="0" w:type="dxa"/>
          <w:jc w:val="center"/>
        </w:trPr>
        <w:tc>
          <w:tcPr>
            <w:tcW w:w="1079" w:type="dxa"/>
            <w:tcMar>
              <w:top w:w="0" w:type="dxa"/>
              <w:left w:w="105" w:type="dxa"/>
              <w:bottom w:w="0" w:type="dxa"/>
              <w:right w:w="105" w:type="dxa"/>
            </w:tcMar>
            <w:vAlign w:val="center"/>
          </w:tcPr>
          <w:p>
            <w:pPr>
              <w:spacing w:before="100" w:beforeAutospacing="1" w:after="100" w:afterAutospacing="1"/>
              <w:jc w:val="center"/>
              <w:rPr>
                <w:rFonts w:eastAsia="楷体_GB2312"/>
                <w:sz w:val="22"/>
                <w:szCs w:val="22"/>
              </w:rPr>
            </w:pPr>
            <w:r>
              <w:rPr>
                <w:rFonts w:eastAsia="楷体_GB2312"/>
                <w:sz w:val="22"/>
                <w:szCs w:val="22"/>
              </w:rPr>
              <w:t>合计</w:t>
            </w:r>
          </w:p>
        </w:tc>
        <w:tc>
          <w:tcPr>
            <w:tcW w:w="1179" w:type="dxa"/>
            <w:tcMar>
              <w:top w:w="0" w:type="dxa"/>
              <w:left w:w="105" w:type="dxa"/>
              <w:bottom w:w="0" w:type="dxa"/>
              <w:right w:w="105" w:type="dxa"/>
            </w:tcMar>
            <w:vAlign w:val="center"/>
          </w:tcPr>
          <w:p>
            <w:pPr>
              <w:spacing w:before="100" w:beforeAutospacing="1" w:after="100" w:afterAutospacing="1"/>
              <w:rPr>
                <w:rFonts w:eastAsia="楷体_GB2312"/>
                <w:sz w:val="22"/>
                <w:szCs w:val="22"/>
              </w:rPr>
            </w:pPr>
            <w:r>
              <w:rPr>
                <w:rFonts w:eastAsia="楷体_GB2312"/>
                <w:sz w:val="22"/>
                <w:szCs w:val="22"/>
              </w:rPr>
              <w:t>—</w:t>
            </w:r>
          </w:p>
        </w:tc>
        <w:tc>
          <w:tcPr>
            <w:tcW w:w="1226" w:type="dxa"/>
            <w:tcMar>
              <w:top w:w="0" w:type="dxa"/>
              <w:left w:w="105" w:type="dxa"/>
              <w:bottom w:w="0" w:type="dxa"/>
              <w:right w:w="105" w:type="dxa"/>
            </w:tcMar>
            <w:vAlign w:val="center"/>
          </w:tcPr>
          <w:p>
            <w:pPr>
              <w:spacing w:before="100" w:beforeAutospacing="1" w:after="100" w:afterAutospacing="1"/>
              <w:rPr>
                <w:rFonts w:eastAsia="楷体_GB2312"/>
                <w:sz w:val="22"/>
                <w:szCs w:val="22"/>
              </w:rPr>
            </w:pPr>
            <w:r>
              <w:rPr>
                <w:rFonts w:eastAsia="楷体_GB2312"/>
                <w:sz w:val="22"/>
                <w:szCs w:val="22"/>
              </w:rPr>
              <w:t>——</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pacing w:val="-20"/>
                <w:sz w:val="22"/>
                <w:szCs w:val="22"/>
              </w:rPr>
            </w:pPr>
            <w:r>
              <w:rPr>
                <w:rFonts w:eastAsia="楷体_GB2312"/>
                <w:spacing w:val="-20"/>
                <w:sz w:val="22"/>
                <w:szCs w:val="22"/>
              </w:rPr>
              <w:t>100</w:t>
            </w:r>
          </w:p>
        </w:tc>
        <w:tc>
          <w:tcPr>
            <w:tcW w:w="4750" w:type="dxa"/>
            <w:tcMar>
              <w:top w:w="0" w:type="dxa"/>
              <w:left w:w="105" w:type="dxa"/>
              <w:bottom w:w="0" w:type="dxa"/>
              <w:right w:w="105" w:type="dxa"/>
            </w:tcMar>
            <w:vAlign w:val="center"/>
          </w:tcPr>
          <w:p>
            <w:pPr>
              <w:spacing w:line="300" w:lineRule="exact"/>
              <w:jc w:val="center"/>
              <w:rPr>
                <w:rFonts w:eastAsia="楷体_GB2312"/>
              </w:rPr>
            </w:pPr>
            <w:r>
              <w:rPr>
                <w:rFonts w:eastAsia="楷体_GB2312"/>
              </w:rPr>
              <w:t>——</w:t>
            </w:r>
          </w:p>
        </w:tc>
        <w:tc>
          <w:tcPr>
            <w:tcW w:w="2963" w:type="dxa"/>
            <w:tcMar>
              <w:top w:w="0" w:type="dxa"/>
              <w:left w:w="105" w:type="dxa"/>
              <w:bottom w:w="0" w:type="dxa"/>
              <w:right w:w="105" w:type="dxa"/>
            </w:tcMar>
            <w:vAlign w:val="center"/>
          </w:tcPr>
          <w:p>
            <w:pPr>
              <w:spacing w:line="300" w:lineRule="exact"/>
              <w:jc w:val="center"/>
              <w:rPr>
                <w:rFonts w:eastAsia="楷体_GB2312"/>
              </w:rPr>
            </w:pPr>
            <w:r>
              <w:rPr>
                <w:rFonts w:eastAsia="楷体_GB2312"/>
              </w:rPr>
              <w:t>——</w:t>
            </w:r>
          </w:p>
        </w:tc>
        <w:tc>
          <w:tcPr>
            <w:tcW w:w="1774" w:type="dxa"/>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w:t>
            </w:r>
          </w:p>
        </w:tc>
        <w:tc>
          <w:tcPr>
            <w:tcW w:w="745" w:type="dxa"/>
            <w:tcMar>
              <w:top w:w="0" w:type="dxa"/>
              <w:left w:w="105" w:type="dxa"/>
              <w:bottom w:w="0" w:type="dxa"/>
              <w:right w:w="105" w:type="dxa"/>
            </w:tcMar>
            <w:vAlign w:val="center"/>
          </w:tcPr>
          <w:p>
            <w:pPr>
              <w:rPr>
                <w:rFonts w:hint="eastAsia" w:eastAsia="楷体_GB2312"/>
                <w:lang w:val="en-US" w:eastAsia="zh-CN"/>
              </w:rPr>
            </w:pPr>
            <w:r>
              <w:rPr>
                <w:rFonts w:hint="eastAsia" w:eastAsia="楷体_GB2312"/>
              </w:rPr>
              <w:t>8</w:t>
            </w: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30" w:hRule="atLeast"/>
          <w:tblCellSpacing w:w="0" w:type="dxa"/>
          <w:jc w:val="center"/>
        </w:trPr>
        <w:tc>
          <w:tcPr>
            <w:tcW w:w="1079" w:type="dxa"/>
            <w:tcMar>
              <w:top w:w="0" w:type="dxa"/>
              <w:left w:w="105" w:type="dxa"/>
              <w:bottom w:w="0" w:type="dxa"/>
              <w:right w:w="105" w:type="dxa"/>
            </w:tcMar>
            <w:vAlign w:val="center"/>
          </w:tcPr>
          <w:p>
            <w:pPr>
              <w:spacing w:before="100" w:beforeAutospacing="1" w:after="100" w:afterAutospacing="1"/>
              <w:jc w:val="center"/>
              <w:rPr>
                <w:rFonts w:ascii="楷体_GB2312" w:hAnsi="楷体_GB2312" w:eastAsia="楷体_GB2312" w:cs="楷体_GB2312"/>
                <w:sz w:val="21"/>
                <w:szCs w:val="16"/>
              </w:rPr>
            </w:pPr>
            <w:r>
              <w:rPr>
                <w:rFonts w:hint="eastAsia" w:ascii="楷体_GB2312" w:hAnsi="楷体_GB2312" w:eastAsia="楷体_GB2312" w:cs="楷体_GB2312"/>
                <w:sz w:val="21"/>
                <w:szCs w:val="16"/>
              </w:rPr>
              <w:t>评价</w:t>
            </w:r>
          </w:p>
          <w:p>
            <w:pPr>
              <w:spacing w:before="100" w:beforeAutospacing="1" w:after="100" w:afterAutospacing="1"/>
              <w:jc w:val="center"/>
              <w:rPr>
                <w:rFonts w:ascii="楷体_GB2312" w:hAnsi="楷体_GB2312" w:eastAsia="楷体_GB2312" w:cs="楷体_GB2312"/>
                <w:sz w:val="21"/>
                <w:szCs w:val="16"/>
              </w:rPr>
            </w:pPr>
            <w:r>
              <w:rPr>
                <w:rFonts w:hint="eastAsia" w:ascii="楷体_GB2312" w:hAnsi="楷体_GB2312" w:eastAsia="楷体_GB2312" w:cs="楷体_GB2312"/>
                <w:sz w:val="21"/>
                <w:szCs w:val="16"/>
              </w:rPr>
              <w:t>等级</w:t>
            </w:r>
          </w:p>
        </w:tc>
        <w:tc>
          <w:tcPr>
            <w:tcW w:w="13338" w:type="dxa"/>
            <w:gridSpan w:val="7"/>
            <w:tcMar>
              <w:top w:w="0" w:type="dxa"/>
              <w:left w:w="105" w:type="dxa"/>
              <w:bottom w:w="0" w:type="dxa"/>
              <w:right w:w="105" w:type="dxa"/>
            </w:tcMar>
            <w:vAlign w:val="center"/>
          </w:tcPr>
          <w:p>
            <w:pPr>
              <w:spacing w:line="400" w:lineRule="exact"/>
              <w:ind w:firstLine="210" w:firstLineChars="100"/>
              <w:rPr>
                <w:rFonts w:ascii="楷体_GB2312" w:hAnsi="楷体_GB2312" w:eastAsia="楷体_GB2312" w:cs="楷体_GB2312"/>
                <w:sz w:val="21"/>
                <w:szCs w:val="16"/>
              </w:rPr>
            </w:pPr>
            <w:r>
              <w:rPr>
                <w:rFonts w:hint="eastAsia" w:ascii="楷体_GB2312" w:hAnsi="楷体_GB2312" w:eastAsia="楷体_GB2312" w:cs="楷体_GB2312"/>
                <w:sz w:val="21"/>
                <w:szCs w:val="16"/>
              </w:rPr>
              <w:t xml:space="preserve">□优秀  90分≤得分≤100分；   </w:t>
            </w:r>
            <w:r>
              <w:rPr>
                <w:rFonts w:hint="eastAsia" w:ascii="楷体_GB2312" w:hAnsi="楷体_GB2312" w:eastAsia="楷体_GB2312" w:cs="楷体_GB2312"/>
                <w:sz w:val="21"/>
                <w:szCs w:val="16"/>
                <w:lang w:eastAsia="zh-CN"/>
              </w:rPr>
              <w:t>☑</w:t>
            </w:r>
            <w:r>
              <w:rPr>
                <w:rFonts w:hint="eastAsia" w:ascii="楷体_GB2312" w:hAnsi="楷体_GB2312" w:eastAsia="楷体_GB2312" w:cs="楷体_GB2312"/>
                <w:sz w:val="21"/>
                <w:szCs w:val="16"/>
              </w:rPr>
              <w:t xml:space="preserve">良好  </w:t>
            </w:r>
            <w:r>
              <w:rPr>
                <w:rFonts w:ascii="楷体_GB2312" w:hAnsi="楷体_GB2312" w:eastAsia="楷体_GB2312" w:cs="楷体_GB2312"/>
                <w:sz w:val="21"/>
                <w:szCs w:val="16"/>
              </w:rPr>
              <w:t>80</w:t>
            </w:r>
            <w:r>
              <w:rPr>
                <w:rFonts w:hint="eastAsia" w:ascii="楷体_GB2312" w:hAnsi="楷体_GB2312" w:eastAsia="楷体_GB2312" w:cs="楷体_GB2312"/>
                <w:sz w:val="21"/>
                <w:szCs w:val="16"/>
              </w:rPr>
              <w:t>分≤得分＜90分；   □较差  60分≤得分＜</w:t>
            </w:r>
            <w:r>
              <w:rPr>
                <w:rFonts w:ascii="楷体_GB2312" w:hAnsi="楷体_GB2312" w:eastAsia="楷体_GB2312" w:cs="楷体_GB2312"/>
                <w:sz w:val="21"/>
                <w:szCs w:val="16"/>
              </w:rPr>
              <w:t>80</w:t>
            </w:r>
            <w:r>
              <w:rPr>
                <w:rFonts w:hint="eastAsia" w:ascii="楷体_GB2312" w:hAnsi="楷体_GB2312" w:eastAsia="楷体_GB2312" w:cs="楷体_GB2312"/>
                <w:sz w:val="21"/>
                <w:szCs w:val="16"/>
              </w:rPr>
              <w:t>分；   □差  得分＜60分</w:t>
            </w:r>
          </w:p>
        </w:tc>
      </w:tr>
    </w:tbl>
    <w:p>
      <w:pPr>
        <w:spacing w:line="320" w:lineRule="exact"/>
        <w:ind w:firstLine="6490" w:firstLineChars="2950"/>
        <w:jc w:val="center"/>
        <w:rPr>
          <w:rFonts w:ascii="华文中宋" w:hAnsi="华文中宋" w:eastAsia="华文中宋"/>
          <w:sz w:val="22"/>
          <w:szCs w:val="24"/>
        </w:rPr>
      </w:pPr>
    </w:p>
    <w:p>
      <w:pPr>
        <w:spacing w:line="320" w:lineRule="exact"/>
        <w:ind w:firstLine="6490" w:firstLineChars="2950"/>
        <w:jc w:val="center"/>
        <w:rPr>
          <w:rFonts w:ascii="楷体" w:hAnsi="楷体" w:eastAsia="楷体" w:cs="楷体"/>
          <w:sz w:val="22"/>
          <w:szCs w:val="24"/>
        </w:rPr>
      </w:pPr>
      <w:r>
        <w:rPr>
          <w:rFonts w:hint="eastAsia" w:ascii="楷体" w:hAnsi="楷体" w:eastAsia="楷体" w:cs="楷体"/>
          <w:sz w:val="22"/>
          <w:szCs w:val="24"/>
          <w:lang w:val="en-US" w:eastAsia="zh-CN"/>
        </w:rPr>
        <w:t xml:space="preserve">   </w:t>
      </w:r>
      <w:r>
        <w:rPr>
          <w:rFonts w:hint="eastAsia" w:ascii="楷体" w:hAnsi="楷体" w:eastAsia="楷体" w:cs="楷体"/>
          <w:sz w:val="22"/>
          <w:szCs w:val="24"/>
        </w:rPr>
        <w:t>单位负责人（签字）：</w:t>
      </w:r>
    </w:p>
    <w:p>
      <w:pPr>
        <w:spacing w:line="320" w:lineRule="exact"/>
        <w:ind w:firstLine="6270" w:firstLineChars="2850"/>
        <w:jc w:val="center"/>
        <w:rPr>
          <w:rFonts w:ascii="楷体" w:hAnsi="楷体" w:eastAsia="楷体" w:cs="楷体"/>
          <w:sz w:val="22"/>
          <w:szCs w:val="24"/>
        </w:rPr>
        <w:sectPr>
          <w:footerReference r:id="rId5" w:type="default"/>
          <w:pgSz w:w="16838" w:h="11906" w:orient="landscape"/>
          <w:pgMar w:top="1800" w:right="1440" w:bottom="1800" w:left="1440" w:header="851" w:footer="992" w:gutter="0"/>
          <w:cols w:space="720" w:num="1"/>
          <w:docGrid w:type="lines" w:linePitch="312" w:charSpace="0"/>
        </w:sectPr>
      </w:pPr>
      <w:r>
        <w:rPr>
          <w:rFonts w:hint="eastAsia" w:ascii="楷体" w:hAnsi="楷体" w:eastAsia="楷体" w:cs="楷体"/>
          <w:sz w:val="22"/>
          <w:szCs w:val="24"/>
          <w:lang w:val="en-US" w:eastAsia="zh-CN"/>
        </w:rPr>
        <w:t xml:space="preserve">     </w:t>
      </w:r>
      <w:r>
        <w:rPr>
          <w:rFonts w:hint="eastAsia" w:ascii="楷体" w:hAnsi="楷体" w:eastAsia="楷体" w:cs="楷体"/>
          <w:sz w:val="22"/>
          <w:szCs w:val="24"/>
        </w:rPr>
        <w:t>填表日期： 202</w:t>
      </w:r>
      <w:r>
        <w:rPr>
          <w:rFonts w:hint="eastAsia" w:ascii="楷体" w:hAnsi="楷体" w:eastAsia="楷体" w:cs="楷体"/>
          <w:sz w:val="22"/>
          <w:szCs w:val="24"/>
          <w:lang w:val="en-US" w:eastAsia="zh-CN"/>
        </w:rPr>
        <w:t>3</w:t>
      </w:r>
      <w:r>
        <w:rPr>
          <w:rFonts w:hint="eastAsia" w:ascii="楷体" w:hAnsi="楷体" w:eastAsia="楷体" w:cs="楷体"/>
          <w:sz w:val="22"/>
          <w:szCs w:val="24"/>
        </w:rPr>
        <w:t> 年  5 月 </w:t>
      </w:r>
      <w:r>
        <w:rPr>
          <w:rFonts w:hint="eastAsia" w:ascii="楷体" w:hAnsi="楷体" w:eastAsia="楷体" w:cs="楷体"/>
          <w:sz w:val="22"/>
          <w:szCs w:val="24"/>
          <w:lang w:val="en-US" w:eastAsia="zh-CN"/>
        </w:rPr>
        <w:t>18</w:t>
      </w:r>
      <w:r>
        <w:rPr>
          <w:rFonts w:hint="eastAsia" w:ascii="楷体" w:hAnsi="楷体" w:eastAsia="楷体" w:cs="楷体"/>
          <w:sz w:val="22"/>
          <w:szCs w:val="24"/>
        </w:rPr>
        <w:t xml:space="preserve"> 日</w:t>
      </w:r>
    </w:p>
    <w:p>
      <w:pPr>
        <w:spacing w:line="320" w:lineRule="exact"/>
        <w:ind w:firstLine="6270" w:firstLineChars="2850"/>
        <w:jc w:val="center"/>
        <w:rPr>
          <w:rFonts w:ascii="楷体" w:hAnsi="楷体" w:eastAsia="楷体" w:cs="楷体"/>
          <w:sz w:val="22"/>
          <w:szCs w:val="24"/>
        </w:rPr>
      </w:pPr>
    </w:p>
    <w:p>
      <w:pPr>
        <w:spacing w:before="100" w:beforeAutospacing="1" w:after="100" w:afterAutospacing="1"/>
        <w:jc w:val="left"/>
        <w:rPr>
          <w:rFonts w:ascii="仿宋_GB2312" w:hAnsi="仿宋_GB2312" w:eastAsia="仿宋_GB2312" w:cs="仿宋_GB2312"/>
          <w:sz w:val="24"/>
        </w:rPr>
      </w:pPr>
      <w:r>
        <w:rPr>
          <w:rFonts w:hint="eastAsia" w:ascii="仿宋_GB2312" w:hAnsi="仿宋_GB2312" w:eastAsia="仿宋_GB2312" w:cs="仿宋_GB2312"/>
          <w:sz w:val="24"/>
        </w:rPr>
        <w:t>附件1-2</w:t>
      </w:r>
    </w:p>
    <w:p>
      <w:pPr>
        <w:pStyle w:val="5"/>
        <w:widowControl w:val="0"/>
        <w:spacing w:before="0" w:beforeAutospacing="0" w:after="0" w:afterAutospacing="0" w:line="800" w:lineRule="exact"/>
        <w:jc w:val="center"/>
        <w:rPr>
          <w:rStyle w:val="9"/>
          <w:rFonts w:ascii="Times New Roman" w:hAnsi="Times New Roman" w:eastAsia="方正粗宋简体" w:cs="Times New Roman"/>
          <w:b w:val="0"/>
          <w:bCs w:val="0"/>
          <w:spacing w:val="-23"/>
          <w:sz w:val="36"/>
          <w:szCs w:val="36"/>
        </w:rPr>
      </w:pPr>
      <w:r>
        <w:rPr>
          <w:rStyle w:val="9"/>
          <w:rFonts w:hint="eastAsia" w:ascii="Times New Roman" w:hAnsi="Times New Roman" w:eastAsia="方正粗宋简体" w:cs="Times New Roman"/>
          <w:b w:val="0"/>
          <w:bCs w:val="0"/>
          <w:spacing w:val="-23"/>
          <w:sz w:val="36"/>
          <w:szCs w:val="36"/>
          <w:lang w:eastAsia="zh-CN"/>
        </w:rPr>
        <w:t>2022</w:t>
      </w:r>
      <w:r>
        <w:rPr>
          <w:rStyle w:val="9"/>
          <w:rFonts w:ascii="Times New Roman" w:hAnsi="Times New Roman" w:eastAsia="方正粗宋简体" w:cs="Times New Roman"/>
          <w:b w:val="0"/>
          <w:bCs w:val="0"/>
          <w:spacing w:val="-23"/>
          <w:sz w:val="36"/>
          <w:szCs w:val="36"/>
        </w:rPr>
        <w:t>年度</w:t>
      </w:r>
      <w:r>
        <w:rPr>
          <w:rFonts w:hint="eastAsia" w:hAnsi="方正粗宋简体" w:eastAsia="方正粗宋简体"/>
          <w:w w:val="85"/>
          <w:sz w:val="36"/>
          <w:szCs w:val="36"/>
        </w:rPr>
        <w:t>城市管理和综合执法局</w:t>
      </w:r>
      <w:r>
        <w:rPr>
          <w:rStyle w:val="9"/>
          <w:rFonts w:ascii="Times New Roman" w:hAnsi="Times New Roman" w:eastAsia="方正粗宋简体" w:cs="Times New Roman"/>
          <w:b w:val="0"/>
          <w:bCs w:val="0"/>
          <w:spacing w:val="-23"/>
          <w:sz w:val="36"/>
          <w:szCs w:val="36"/>
        </w:rPr>
        <w:t>部门（单位）整体支出绩效</w:t>
      </w:r>
    </w:p>
    <w:p>
      <w:pPr>
        <w:pStyle w:val="5"/>
        <w:widowControl w:val="0"/>
        <w:spacing w:before="0" w:beforeAutospacing="0" w:after="0" w:afterAutospacing="0" w:line="800" w:lineRule="exact"/>
        <w:jc w:val="center"/>
        <w:rPr>
          <w:rStyle w:val="9"/>
          <w:rFonts w:ascii="Times New Roman" w:hAnsi="Times New Roman" w:eastAsia="方正粗宋简体" w:cs="Times New Roman"/>
          <w:b w:val="0"/>
          <w:bCs w:val="0"/>
          <w:spacing w:val="-23"/>
          <w:sz w:val="36"/>
          <w:szCs w:val="36"/>
        </w:rPr>
      </w:pPr>
      <w:r>
        <w:rPr>
          <w:rStyle w:val="9"/>
          <w:rFonts w:ascii="Times New Roman" w:hAnsi="Times New Roman" w:eastAsia="方正粗宋简体" w:cs="Times New Roman"/>
          <w:b w:val="0"/>
          <w:bCs w:val="0"/>
          <w:spacing w:val="-23"/>
          <w:sz w:val="36"/>
          <w:szCs w:val="36"/>
        </w:rPr>
        <w:t>自评报告</w:t>
      </w:r>
    </w:p>
    <w:p>
      <w:pPr>
        <w:spacing w:before="240" w:line="560" w:lineRule="exact"/>
        <w:ind w:firstLine="400" w:firstLineChars="200"/>
        <w:jc w:val="left"/>
      </w:pPr>
      <w:r>
        <w:t xml:space="preserve">   </w:t>
      </w:r>
      <w:r>
        <w:rPr>
          <w:rFonts w:eastAsia="仿宋_GB2312"/>
          <w:sz w:val="32"/>
          <w:szCs w:val="32"/>
        </w:rPr>
        <w:t>一、部门（单位）基本概况</w:t>
      </w:r>
    </w:p>
    <w:p>
      <w:pPr>
        <w:spacing w:before="240" w:line="560" w:lineRule="exact"/>
        <w:ind w:firstLine="640" w:firstLineChars="200"/>
        <w:jc w:val="left"/>
        <w:rPr>
          <w:rFonts w:asciiTheme="minorEastAsia" w:hAnsiTheme="minorEastAsia" w:eastAsiaTheme="minorEastAsia"/>
          <w:sz w:val="32"/>
          <w:szCs w:val="32"/>
        </w:rPr>
      </w:pPr>
      <w:r>
        <w:rPr>
          <w:rFonts w:hint="eastAsia" w:cs="宋体" w:asciiTheme="minorEastAsia" w:hAnsiTheme="minorEastAsia" w:eastAsiaTheme="minorEastAsia"/>
          <w:sz w:val="32"/>
          <w:szCs w:val="32"/>
        </w:rPr>
        <w:t>1.负责贯彻执行国家、省、市有关城市管理和综合执法的法律、法规和政策；</w:t>
      </w:r>
    </w:p>
    <w:p>
      <w:pPr>
        <w:snapToGrid w:val="0"/>
        <w:spacing w:line="520" w:lineRule="exact"/>
        <w:ind w:firstLine="640" w:firstLineChars="200"/>
        <w:rPr>
          <w:rFonts w:cs="宋体" w:asciiTheme="minorEastAsia" w:hAnsiTheme="minorEastAsia" w:eastAsiaTheme="minorEastAsia"/>
          <w:sz w:val="32"/>
          <w:szCs w:val="32"/>
        </w:rPr>
      </w:pPr>
      <w:r>
        <w:rPr>
          <w:rFonts w:hint="eastAsia" w:cs="宋体" w:asciiTheme="minorEastAsia" w:hAnsiTheme="minorEastAsia" w:eastAsiaTheme="minorEastAsia"/>
          <w:sz w:val="32"/>
          <w:szCs w:val="32"/>
        </w:rPr>
        <w:t>2.负责对城区城市管理和综合执法工作的组织领导、指挥协调、考核监督与绩效评价。</w:t>
      </w:r>
    </w:p>
    <w:p>
      <w:pPr>
        <w:snapToGrid w:val="0"/>
        <w:spacing w:line="520" w:lineRule="exact"/>
        <w:ind w:firstLine="640" w:firstLineChars="200"/>
        <w:rPr>
          <w:rFonts w:cs="宋体" w:asciiTheme="minorEastAsia" w:hAnsiTheme="minorEastAsia" w:eastAsiaTheme="minorEastAsia"/>
          <w:sz w:val="32"/>
          <w:szCs w:val="32"/>
        </w:rPr>
      </w:pPr>
      <w:r>
        <w:rPr>
          <w:rFonts w:hint="eastAsia" w:cs="宋体" w:asciiTheme="minorEastAsia" w:hAnsiTheme="minorEastAsia" w:eastAsiaTheme="minorEastAsia"/>
          <w:sz w:val="32"/>
          <w:szCs w:val="32"/>
        </w:rPr>
        <w:t>3.负责“智慧城市”数字城管平台的建设和管理。</w:t>
      </w:r>
    </w:p>
    <w:p>
      <w:pPr>
        <w:snapToGrid w:val="0"/>
        <w:spacing w:line="520" w:lineRule="exact"/>
        <w:ind w:firstLine="640" w:firstLineChars="200"/>
        <w:rPr>
          <w:rFonts w:hint="eastAsia" w:cs="宋体" w:asciiTheme="minorEastAsia" w:hAnsiTheme="minorEastAsia" w:eastAsiaTheme="minorEastAsia"/>
          <w:sz w:val="32"/>
          <w:szCs w:val="32"/>
        </w:rPr>
      </w:pPr>
      <w:r>
        <w:rPr>
          <w:rFonts w:hint="eastAsia" w:cs="宋体" w:asciiTheme="minorEastAsia" w:hAnsiTheme="minorEastAsia" w:eastAsiaTheme="minorEastAsia"/>
          <w:sz w:val="32"/>
          <w:szCs w:val="32"/>
        </w:rPr>
        <w:t>4.负责城市规划区内主次干道的城市市容、环境卫生的管理工作；</w:t>
      </w:r>
    </w:p>
    <w:p>
      <w:pPr>
        <w:snapToGrid w:val="0"/>
        <w:spacing w:line="520" w:lineRule="exact"/>
        <w:ind w:firstLine="640" w:firstLineChars="200"/>
        <w:rPr>
          <w:rFonts w:hint="eastAsia" w:cs="宋体" w:asciiTheme="minorEastAsia" w:hAnsiTheme="minorEastAsia" w:eastAsiaTheme="minorEastAsia"/>
          <w:sz w:val="32"/>
          <w:szCs w:val="32"/>
        </w:rPr>
      </w:pPr>
      <w:r>
        <w:rPr>
          <w:rFonts w:hint="eastAsia" w:cs="宋体" w:asciiTheme="minorEastAsia" w:hAnsiTheme="minorEastAsia" w:eastAsiaTheme="minorEastAsia"/>
          <w:sz w:val="32"/>
          <w:szCs w:val="32"/>
        </w:rPr>
        <w:t>5.负责城市市政公用设施、市政道路、路灯、城市桥涵、城市排水系统的管理、执法和维护工作；</w:t>
      </w:r>
    </w:p>
    <w:p>
      <w:pPr>
        <w:snapToGrid w:val="0"/>
        <w:spacing w:line="520" w:lineRule="exact"/>
        <w:ind w:firstLine="640" w:firstLineChars="200"/>
        <w:rPr>
          <w:rFonts w:hint="eastAsia" w:cs="宋体" w:asciiTheme="minorEastAsia" w:hAnsiTheme="minorEastAsia" w:eastAsiaTheme="minorEastAsia"/>
          <w:sz w:val="32"/>
          <w:szCs w:val="32"/>
        </w:rPr>
      </w:pPr>
      <w:r>
        <w:rPr>
          <w:rFonts w:hint="eastAsia" w:cs="宋体" w:asciiTheme="minorEastAsia" w:hAnsiTheme="minorEastAsia" w:eastAsiaTheme="minorEastAsia"/>
          <w:sz w:val="32"/>
          <w:szCs w:val="32"/>
        </w:rPr>
        <w:t>6.负责城市规划区园林、绿化的管理工作；</w:t>
      </w:r>
    </w:p>
    <w:p>
      <w:pPr>
        <w:snapToGrid w:val="0"/>
        <w:spacing w:line="520" w:lineRule="exact"/>
        <w:ind w:firstLine="640" w:firstLineChars="200"/>
        <w:rPr>
          <w:rFonts w:hint="eastAsia" w:cs="宋体" w:asciiTheme="minorEastAsia" w:hAnsiTheme="minorEastAsia" w:eastAsiaTheme="minorEastAsia"/>
          <w:sz w:val="32"/>
          <w:szCs w:val="32"/>
        </w:rPr>
      </w:pPr>
      <w:r>
        <w:rPr>
          <w:rFonts w:hint="eastAsia" w:cs="宋体" w:asciiTheme="minorEastAsia" w:hAnsiTheme="minorEastAsia" w:eastAsiaTheme="minorEastAsia"/>
          <w:sz w:val="32"/>
          <w:szCs w:val="32"/>
        </w:rPr>
        <w:t>7.负责城市规划区内城市供水（含二次供水）、计划用水、节约用水的管理和执法工作；</w:t>
      </w:r>
    </w:p>
    <w:p>
      <w:pPr>
        <w:snapToGrid w:val="0"/>
        <w:spacing w:line="520" w:lineRule="exact"/>
        <w:ind w:firstLine="640" w:firstLineChars="200"/>
        <w:rPr>
          <w:rFonts w:cs="宋体" w:asciiTheme="minorEastAsia" w:hAnsiTheme="minorEastAsia" w:eastAsiaTheme="minorEastAsia"/>
          <w:sz w:val="32"/>
          <w:szCs w:val="32"/>
        </w:rPr>
      </w:pPr>
      <w:r>
        <w:rPr>
          <w:rFonts w:hint="eastAsia" w:cs="宋体" w:asciiTheme="minorEastAsia" w:hAnsiTheme="minorEastAsia" w:eastAsiaTheme="minorEastAsia"/>
          <w:sz w:val="32"/>
          <w:szCs w:val="32"/>
        </w:rPr>
        <w:t>8.负责城市辖区内户外广告设置管理和执法工作。</w:t>
      </w:r>
    </w:p>
    <w:p>
      <w:pPr>
        <w:snapToGrid w:val="0"/>
        <w:spacing w:line="520" w:lineRule="exact"/>
        <w:ind w:firstLine="640" w:firstLineChars="200"/>
        <w:rPr>
          <w:rFonts w:cs="宋体" w:asciiTheme="minorEastAsia" w:hAnsiTheme="minorEastAsia" w:eastAsiaTheme="minorEastAsia"/>
          <w:sz w:val="32"/>
          <w:szCs w:val="32"/>
        </w:rPr>
      </w:pPr>
      <w:r>
        <w:rPr>
          <w:rFonts w:hint="eastAsia" w:cs="宋体" w:asciiTheme="minorEastAsia" w:hAnsiTheme="minorEastAsia" w:eastAsiaTheme="minorEastAsia"/>
          <w:sz w:val="32"/>
          <w:szCs w:val="32"/>
        </w:rPr>
        <w:t>9.负责监督管理城市辖区内车辆清洗站、场。</w:t>
      </w:r>
    </w:p>
    <w:p>
      <w:pPr>
        <w:snapToGrid w:val="0"/>
        <w:spacing w:line="520" w:lineRule="exact"/>
        <w:ind w:firstLine="640" w:firstLineChars="200"/>
        <w:rPr>
          <w:rFonts w:cs="宋体" w:asciiTheme="minorEastAsia" w:hAnsiTheme="minorEastAsia" w:eastAsiaTheme="minorEastAsia"/>
          <w:sz w:val="32"/>
          <w:szCs w:val="32"/>
        </w:rPr>
      </w:pPr>
      <w:r>
        <w:rPr>
          <w:rFonts w:hint="eastAsia" w:cs="宋体" w:asciiTheme="minorEastAsia" w:hAnsiTheme="minorEastAsia" w:eastAsiaTheme="minorEastAsia"/>
          <w:sz w:val="32"/>
          <w:szCs w:val="32"/>
        </w:rPr>
        <w:t>10.负责城区建筑垃圾倾倒、运输、消纳、处置的管理和执法工作。</w:t>
      </w:r>
    </w:p>
    <w:p>
      <w:pPr>
        <w:snapToGrid w:val="0"/>
        <w:spacing w:line="520" w:lineRule="exact"/>
        <w:ind w:firstLine="640" w:firstLineChars="200"/>
        <w:rPr>
          <w:rFonts w:cs="宋体" w:asciiTheme="minorEastAsia" w:hAnsiTheme="minorEastAsia" w:eastAsiaTheme="minorEastAsia"/>
          <w:sz w:val="32"/>
          <w:szCs w:val="32"/>
        </w:rPr>
      </w:pPr>
      <w:r>
        <w:rPr>
          <w:rFonts w:hint="eastAsia" w:cs="宋体" w:asciiTheme="minorEastAsia" w:hAnsiTheme="minorEastAsia" w:eastAsiaTheme="minorEastAsia"/>
          <w:sz w:val="32"/>
          <w:szCs w:val="32"/>
        </w:rPr>
        <w:t>11.负责城市规划区内临时占用道路两侧和公共场地的行政许可。</w:t>
      </w:r>
    </w:p>
    <w:p>
      <w:pPr>
        <w:snapToGrid w:val="0"/>
        <w:spacing w:line="520" w:lineRule="exact"/>
        <w:ind w:firstLine="640" w:firstLineChars="200"/>
        <w:rPr>
          <w:rFonts w:cs="宋体" w:asciiTheme="minorEastAsia" w:hAnsiTheme="minorEastAsia" w:eastAsiaTheme="minorEastAsia"/>
          <w:sz w:val="32"/>
          <w:szCs w:val="32"/>
        </w:rPr>
      </w:pPr>
      <w:r>
        <w:rPr>
          <w:rFonts w:hint="eastAsia" w:cs="宋体" w:asciiTheme="minorEastAsia" w:hAnsiTheme="minorEastAsia" w:eastAsiaTheme="minorEastAsia"/>
          <w:sz w:val="32"/>
          <w:szCs w:val="32"/>
        </w:rPr>
        <w:t>12.负责城市规划区内城市管理综合执法。</w:t>
      </w:r>
    </w:p>
    <w:p>
      <w:pPr>
        <w:spacing w:line="540" w:lineRule="exact"/>
        <w:rPr>
          <w:rFonts w:asciiTheme="minorEastAsia" w:hAnsiTheme="minorEastAsia" w:eastAsiaTheme="minorEastAsia"/>
          <w:sz w:val="32"/>
          <w:szCs w:val="32"/>
        </w:rPr>
      </w:pPr>
      <w:r>
        <w:rPr>
          <w:rFonts w:hint="eastAsia" w:cs="Arial" w:asciiTheme="minorEastAsia" w:hAnsiTheme="minorEastAsia" w:eastAsiaTheme="minorEastAsia"/>
          <w:color w:val="333333"/>
          <w:sz w:val="32"/>
          <w:szCs w:val="32"/>
        </w:rPr>
        <w:t>（二）机构设置 </w:t>
      </w:r>
    </w:p>
    <w:p>
      <w:pPr>
        <w:widowControl/>
        <w:ind w:firstLine="640" w:firstLineChars="200"/>
        <w:jc w:val="left"/>
        <w:rPr>
          <w:rFonts w:cs="Arial" w:asciiTheme="minorEastAsia" w:hAnsiTheme="minorEastAsia" w:eastAsiaTheme="minorEastAsia"/>
          <w:color w:val="333333"/>
          <w:sz w:val="32"/>
          <w:szCs w:val="32"/>
        </w:rPr>
      </w:pPr>
      <w:r>
        <w:rPr>
          <w:rFonts w:hint="eastAsia" w:asciiTheme="minorEastAsia" w:hAnsiTheme="minorEastAsia" w:eastAsiaTheme="minorEastAsia"/>
          <w:color w:val="333333"/>
          <w:sz w:val="32"/>
          <w:szCs w:val="32"/>
        </w:rPr>
        <w:t xml:space="preserve">根据上级要求，我单位核定机关行政编制为10名，设局长1名，副局长2名，股室长职数7名， </w:t>
      </w:r>
      <w:r>
        <w:rPr>
          <w:rFonts w:hint="eastAsia" w:asciiTheme="minorEastAsia" w:hAnsiTheme="minorEastAsia" w:eastAsiaTheme="minorEastAsia"/>
          <w:color w:val="333333"/>
          <w:sz w:val="32"/>
          <w:szCs w:val="32"/>
          <w:lang w:eastAsia="zh-CN"/>
        </w:rPr>
        <w:t>2022</w:t>
      </w:r>
      <w:r>
        <w:rPr>
          <w:rFonts w:hint="eastAsia" w:asciiTheme="minorEastAsia" w:hAnsiTheme="minorEastAsia" w:eastAsiaTheme="minorEastAsia"/>
          <w:color w:val="333333"/>
          <w:sz w:val="32"/>
          <w:szCs w:val="32"/>
        </w:rPr>
        <w:t>年末实有人员数</w:t>
      </w:r>
      <w:r>
        <w:rPr>
          <w:rFonts w:hint="eastAsia" w:asciiTheme="minorEastAsia" w:hAnsiTheme="minorEastAsia" w:eastAsiaTheme="minorEastAsia"/>
          <w:color w:val="333333"/>
          <w:sz w:val="32"/>
          <w:szCs w:val="32"/>
          <w:lang w:val="en-US" w:eastAsia="zh-CN"/>
        </w:rPr>
        <w:t>6</w:t>
      </w:r>
      <w:r>
        <w:rPr>
          <w:rFonts w:hint="eastAsia" w:asciiTheme="minorEastAsia" w:hAnsiTheme="minorEastAsia" w:eastAsiaTheme="minorEastAsia"/>
          <w:color w:val="333333"/>
          <w:sz w:val="32"/>
          <w:szCs w:val="32"/>
        </w:rPr>
        <w:t>人。我单位设下列内设股室：办公室、公用事业管理股（园林绿化管理股）、政策法规股、行政审批服务股、市政设施管理股、督查考评股、财务装备股。</w:t>
      </w:r>
    </w:p>
    <w:p>
      <w:pPr>
        <w:spacing w:line="560" w:lineRule="exact"/>
        <w:ind w:firstLine="640" w:firstLineChars="200"/>
        <w:jc w:val="left"/>
        <w:rPr>
          <w:rFonts w:eastAsia="仿宋_GB2312"/>
          <w:sz w:val="32"/>
          <w:szCs w:val="32"/>
        </w:rPr>
      </w:pPr>
      <w:r>
        <w:rPr>
          <w:rFonts w:eastAsia="仿宋_GB2312"/>
          <w:sz w:val="32"/>
          <w:szCs w:val="32"/>
        </w:rPr>
        <w:t>二、部门（单位）整体支出绩效状况</w:t>
      </w:r>
    </w:p>
    <w:p>
      <w:pPr>
        <w:pStyle w:val="14"/>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lang w:eastAsia="zh-CN"/>
        </w:rPr>
        <w:t>2022</w:t>
      </w:r>
      <w:r>
        <w:rPr>
          <w:rFonts w:asciiTheme="minorEastAsia" w:hAnsiTheme="minorEastAsia" w:eastAsiaTheme="minorEastAsia"/>
          <w:sz w:val="32"/>
          <w:szCs w:val="32"/>
        </w:rPr>
        <w:t>年度财政收支</w:t>
      </w:r>
      <w:r>
        <w:rPr>
          <w:rFonts w:hint="eastAsia" w:asciiTheme="minorEastAsia" w:hAnsiTheme="minorEastAsia" w:eastAsiaTheme="minorEastAsia"/>
          <w:sz w:val="32"/>
          <w:szCs w:val="32"/>
        </w:rPr>
        <w:t>情况总体情况说明：</w:t>
      </w:r>
    </w:p>
    <w:p>
      <w:pPr>
        <w:pStyle w:val="14"/>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lang w:eastAsia="zh-CN"/>
        </w:rPr>
        <w:t>2022</w:t>
      </w:r>
      <w:r>
        <w:rPr>
          <w:rFonts w:hint="eastAsia" w:asciiTheme="minorEastAsia" w:hAnsiTheme="minorEastAsia" w:eastAsiaTheme="minorEastAsia"/>
          <w:sz w:val="32"/>
          <w:szCs w:val="32"/>
        </w:rPr>
        <w:t>年度收入合计</w:t>
      </w:r>
      <w:r>
        <w:rPr>
          <w:rFonts w:hint="eastAsia" w:asciiTheme="minorEastAsia" w:hAnsiTheme="minorEastAsia" w:eastAsiaTheme="minorEastAsia"/>
          <w:sz w:val="32"/>
          <w:szCs w:val="32"/>
          <w:lang w:val="en-US" w:eastAsia="zh-CN"/>
        </w:rPr>
        <w:t>1601.57</w:t>
      </w:r>
      <w:r>
        <w:rPr>
          <w:rFonts w:hint="eastAsia" w:asciiTheme="minorEastAsia" w:hAnsiTheme="minorEastAsia" w:eastAsiaTheme="minorEastAsia"/>
          <w:sz w:val="32"/>
          <w:szCs w:val="32"/>
        </w:rPr>
        <w:t>万元。与</w:t>
      </w:r>
      <w:r>
        <w:rPr>
          <w:rFonts w:hint="eastAsia" w:asciiTheme="minorEastAsia" w:hAnsiTheme="minorEastAsia" w:eastAsiaTheme="minorEastAsia"/>
          <w:sz w:val="32"/>
          <w:szCs w:val="32"/>
          <w:lang w:eastAsia="zh-CN"/>
        </w:rPr>
        <w:t>2021</w:t>
      </w:r>
      <w:r>
        <w:rPr>
          <w:rFonts w:hint="eastAsia" w:asciiTheme="minorEastAsia" w:hAnsiTheme="minorEastAsia" w:eastAsiaTheme="minorEastAsia"/>
          <w:sz w:val="32"/>
          <w:szCs w:val="32"/>
        </w:rPr>
        <w:t>年</w:t>
      </w:r>
      <w:r>
        <w:rPr>
          <w:rFonts w:hint="eastAsia" w:asciiTheme="minorEastAsia" w:hAnsiTheme="minorEastAsia" w:eastAsiaTheme="minorEastAsia"/>
          <w:sz w:val="32"/>
          <w:szCs w:val="32"/>
          <w:lang w:val="en-US" w:eastAsia="zh-CN"/>
        </w:rPr>
        <w:t>1035.79</w:t>
      </w:r>
      <w:r>
        <w:rPr>
          <w:rFonts w:hint="eastAsia" w:asciiTheme="minorEastAsia" w:hAnsiTheme="minorEastAsia" w:eastAsiaTheme="minorEastAsia"/>
          <w:sz w:val="32"/>
          <w:szCs w:val="32"/>
        </w:rPr>
        <w:t>万元相比，</w:t>
      </w:r>
      <w:r>
        <w:rPr>
          <w:rFonts w:hint="eastAsia" w:asciiTheme="minorEastAsia" w:hAnsiTheme="minorEastAsia" w:eastAsiaTheme="minorEastAsia"/>
          <w:sz w:val="32"/>
          <w:szCs w:val="32"/>
          <w:lang w:val="en-US" w:eastAsia="zh-CN"/>
        </w:rPr>
        <w:t>增加565.78</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增加35.32</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202</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年城管局</w:t>
      </w:r>
      <w:r>
        <w:rPr>
          <w:rFonts w:hint="eastAsia" w:asciiTheme="minorEastAsia" w:hAnsiTheme="minorEastAsia" w:eastAsiaTheme="minorEastAsia"/>
          <w:sz w:val="32"/>
          <w:szCs w:val="32"/>
          <w:lang w:val="en-US" w:eastAsia="zh-CN"/>
        </w:rPr>
        <w:t>项目经费支出增加</w:t>
      </w:r>
      <w:r>
        <w:rPr>
          <w:rFonts w:hint="eastAsia" w:asciiTheme="minorEastAsia" w:hAnsiTheme="minorEastAsia" w:eastAsiaTheme="minorEastAsia"/>
          <w:sz w:val="32"/>
          <w:szCs w:val="32"/>
        </w:rPr>
        <w:t>，所以</w:t>
      </w:r>
      <w:r>
        <w:rPr>
          <w:rFonts w:hint="eastAsia" w:asciiTheme="minorEastAsia" w:hAnsiTheme="minorEastAsia" w:eastAsiaTheme="minorEastAsia"/>
          <w:sz w:val="32"/>
          <w:szCs w:val="32"/>
          <w:lang w:eastAsia="zh-CN"/>
        </w:rPr>
        <w:t>202</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年收入比</w:t>
      </w:r>
      <w:r>
        <w:rPr>
          <w:rFonts w:hint="eastAsia" w:asciiTheme="minorEastAsia" w:hAnsiTheme="minorEastAsia" w:eastAsiaTheme="minorEastAsia"/>
          <w:sz w:val="32"/>
          <w:szCs w:val="32"/>
          <w:lang w:eastAsia="zh-CN"/>
        </w:rPr>
        <w:t>202</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年</w:t>
      </w:r>
      <w:r>
        <w:rPr>
          <w:rFonts w:hint="eastAsia" w:asciiTheme="minorEastAsia" w:hAnsiTheme="minorEastAsia" w:eastAsiaTheme="minorEastAsia"/>
          <w:sz w:val="32"/>
          <w:szCs w:val="32"/>
          <w:lang w:val="en-US" w:eastAsia="zh-CN"/>
        </w:rPr>
        <w:t>增加</w:t>
      </w:r>
      <w:r>
        <w:rPr>
          <w:rFonts w:hint="eastAsia" w:asciiTheme="minorEastAsia" w:hAnsiTheme="minorEastAsia" w:eastAsiaTheme="minorEastAsia"/>
          <w:sz w:val="32"/>
          <w:szCs w:val="32"/>
        </w:rPr>
        <w:t>。</w:t>
      </w:r>
    </w:p>
    <w:p>
      <w:pPr>
        <w:pStyle w:val="14"/>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lang w:eastAsia="zh-CN"/>
        </w:rPr>
        <w:t>2022</w:t>
      </w:r>
      <w:r>
        <w:rPr>
          <w:rFonts w:hint="eastAsia" w:asciiTheme="minorEastAsia" w:hAnsiTheme="minorEastAsia" w:eastAsiaTheme="minorEastAsia"/>
          <w:sz w:val="32"/>
          <w:szCs w:val="32"/>
        </w:rPr>
        <w:t>年度支出合计</w:t>
      </w:r>
      <w:r>
        <w:rPr>
          <w:rFonts w:hint="eastAsia" w:asciiTheme="minorEastAsia" w:hAnsiTheme="minorEastAsia" w:eastAsiaTheme="minorEastAsia"/>
          <w:sz w:val="32"/>
          <w:szCs w:val="32"/>
          <w:lang w:val="en-US" w:eastAsia="zh-CN"/>
        </w:rPr>
        <w:t>1601.57</w:t>
      </w:r>
      <w:r>
        <w:rPr>
          <w:rFonts w:hint="eastAsia" w:asciiTheme="minorEastAsia" w:hAnsiTheme="minorEastAsia" w:eastAsiaTheme="minorEastAsia"/>
          <w:sz w:val="32"/>
          <w:szCs w:val="32"/>
        </w:rPr>
        <w:t>万元。与</w:t>
      </w:r>
      <w:r>
        <w:rPr>
          <w:rFonts w:hint="eastAsia" w:asciiTheme="minorEastAsia" w:hAnsiTheme="minorEastAsia" w:eastAsiaTheme="minorEastAsia"/>
          <w:sz w:val="32"/>
          <w:szCs w:val="32"/>
          <w:lang w:eastAsia="zh-CN"/>
        </w:rPr>
        <w:t>2021</w:t>
      </w:r>
      <w:r>
        <w:rPr>
          <w:rFonts w:hint="eastAsia" w:asciiTheme="minorEastAsia" w:hAnsiTheme="minorEastAsia" w:eastAsiaTheme="minorEastAsia"/>
          <w:sz w:val="32"/>
          <w:szCs w:val="32"/>
        </w:rPr>
        <w:t>年1035.79万元相比，</w:t>
      </w:r>
      <w:r>
        <w:rPr>
          <w:rFonts w:hint="eastAsia" w:asciiTheme="minorEastAsia" w:hAnsiTheme="minorEastAsia" w:eastAsiaTheme="minorEastAsia"/>
          <w:sz w:val="32"/>
          <w:szCs w:val="32"/>
          <w:lang w:val="en-US" w:eastAsia="zh-CN"/>
        </w:rPr>
        <w:t>增加565.78</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增加35.32</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val="en-US" w:eastAsia="zh-CN"/>
        </w:rPr>
        <w:t>本单位项目经费支出增加，以及跨年度支付项目款导致</w:t>
      </w:r>
      <w:r>
        <w:rPr>
          <w:rFonts w:hint="eastAsia" w:asciiTheme="minorEastAsia" w:hAnsiTheme="minorEastAsia" w:eastAsiaTheme="minorEastAsia"/>
          <w:sz w:val="32"/>
          <w:szCs w:val="32"/>
        </w:rPr>
        <w:t>。</w:t>
      </w:r>
    </w:p>
    <w:p>
      <w:pPr>
        <w:ind w:firstLine="640" w:firstLineChars="200"/>
        <w:rPr>
          <w:rFonts w:cs="黑体" w:asciiTheme="minorEastAsia" w:hAnsiTheme="minorEastAsia" w:eastAsiaTheme="minorEastAsia"/>
          <w:color w:val="000000"/>
          <w:sz w:val="32"/>
          <w:szCs w:val="32"/>
        </w:rPr>
      </w:pPr>
      <w:r>
        <w:rPr>
          <w:rFonts w:hint="eastAsia" w:cs="黑体" w:asciiTheme="minorEastAsia" w:hAnsiTheme="minorEastAsia" w:eastAsiaTheme="minorEastAsia"/>
          <w:color w:val="000000"/>
          <w:sz w:val="32"/>
          <w:szCs w:val="32"/>
        </w:rPr>
        <w:t>国有资产占用情况</w:t>
      </w:r>
      <w:r>
        <w:rPr>
          <w:rFonts w:hint="eastAsia" w:asciiTheme="minorEastAsia" w:hAnsiTheme="minorEastAsia" w:eastAsiaTheme="minorEastAsia"/>
          <w:sz w:val="32"/>
          <w:szCs w:val="32"/>
        </w:rPr>
        <w:t>：</w:t>
      </w:r>
      <w:r>
        <w:rPr>
          <w:rFonts w:hint="eastAsia" w:cs="黑体" w:asciiTheme="minorEastAsia" w:hAnsiTheme="minorEastAsia" w:eastAsiaTheme="minorEastAsia"/>
          <w:color w:val="000000"/>
          <w:sz w:val="32"/>
          <w:szCs w:val="32"/>
        </w:rPr>
        <w:t>截至</w:t>
      </w:r>
      <w:r>
        <w:rPr>
          <w:rFonts w:hint="eastAsia" w:cs="黑体" w:asciiTheme="minorEastAsia" w:hAnsiTheme="minorEastAsia" w:eastAsiaTheme="minorEastAsia"/>
          <w:color w:val="000000"/>
          <w:sz w:val="32"/>
          <w:szCs w:val="32"/>
          <w:lang w:eastAsia="zh-CN"/>
        </w:rPr>
        <w:t>2022</w:t>
      </w:r>
      <w:r>
        <w:rPr>
          <w:rFonts w:hint="eastAsia" w:cs="黑体" w:asciiTheme="minorEastAsia" w:hAnsiTheme="minorEastAsia" w:eastAsiaTheme="minorEastAsia"/>
          <w:color w:val="000000"/>
          <w:sz w:val="32"/>
          <w:szCs w:val="32"/>
        </w:rPr>
        <w:t>年12月31日，本单位共有车辆</w:t>
      </w:r>
      <w:r>
        <w:rPr>
          <w:rFonts w:hint="eastAsia" w:cs="黑体" w:asciiTheme="minorEastAsia" w:hAnsiTheme="minorEastAsia" w:eastAsiaTheme="minorEastAsia"/>
          <w:color w:val="000000"/>
          <w:sz w:val="32"/>
          <w:szCs w:val="32"/>
          <w:lang w:val="en-US" w:eastAsia="zh-CN"/>
        </w:rPr>
        <w:t>0</w:t>
      </w:r>
      <w:r>
        <w:rPr>
          <w:rFonts w:hint="eastAsia" w:cs="黑体" w:asciiTheme="minorEastAsia" w:hAnsiTheme="minorEastAsia" w:eastAsiaTheme="minorEastAsia"/>
          <w:color w:val="000000"/>
          <w:sz w:val="32"/>
          <w:szCs w:val="32"/>
        </w:rPr>
        <w:t>辆，其中，领导干部用车0辆、机要通信用车0辆、应急保障用车0辆、执法执勤用车</w:t>
      </w:r>
      <w:r>
        <w:rPr>
          <w:rFonts w:hint="eastAsia" w:cs="黑体" w:asciiTheme="minorEastAsia" w:hAnsiTheme="minorEastAsia" w:eastAsiaTheme="minorEastAsia"/>
          <w:color w:val="000000"/>
          <w:sz w:val="32"/>
          <w:szCs w:val="32"/>
          <w:lang w:val="en-US" w:eastAsia="zh-CN"/>
        </w:rPr>
        <w:t>0</w:t>
      </w:r>
      <w:r>
        <w:rPr>
          <w:rFonts w:hint="eastAsia" w:cs="黑体" w:asciiTheme="minorEastAsia" w:hAnsiTheme="minorEastAsia" w:eastAsiaTheme="minorEastAsia"/>
          <w:color w:val="000000"/>
          <w:sz w:val="32"/>
          <w:szCs w:val="32"/>
        </w:rPr>
        <w:t>辆、特种专业技术用车0辆、其他用车0辆；单位价值50万元以上通用设备0台（套）；单位价值100万元以上专用设备0台（套）。</w:t>
      </w:r>
    </w:p>
    <w:p>
      <w:pPr>
        <w:ind w:firstLine="640" w:firstLineChars="200"/>
        <w:rPr>
          <w:rFonts w:cs="仿宋_GB2312" w:asciiTheme="minorEastAsia" w:hAnsiTheme="minorEastAsia" w:eastAsiaTheme="minorEastAsia"/>
          <w:sz w:val="32"/>
          <w:szCs w:val="32"/>
        </w:rPr>
      </w:pPr>
      <w:r>
        <w:rPr>
          <w:rFonts w:hint="eastAsia" w:asciiTheme="minorEastAsia" w:hAnsiTheme="minorEastAsia" w:eastAsiaTheme="minorEastAsia"/>
          <w:sz w:val="32"/>
          <w:szCs w:val="32"/>
        </w:rPr>
        <w:t>我单位严格按照《预算法》和相关财经纪律要求，厉行节约，杜绝不合理开支，降低行政成本，努力让财政资金发挥最大效益，较好地完成了全年预算。</w:t>
      </w:r>
      <w:r>
        <w:rPr>
          <w:rFonts w:hint="eastAsia" w:cs="仿宋_GB2312" w:asciiTheme="minorEastAsia" w:hAnsiTheme="minorEastAsia" w:eastAsiaTheme="minorEastAsia"/>
          <w:sz w:val="32"/>
          <w:szCs w:val="32"/>
        </w:rPr>
        <w:t>我单位</w:t>
      </w:r>
      <w:r>
        <w:rPr>
          <w:rFonts w:hint="eastAsia" w:cs="仿宋_GB2312" w:asciiTheme="minorEastAsia" w:hAnsiTheme="minorEastAsia" w:eastAsiaTheme="minorEastAsia"/>
          <w:sz w:val="32"/>
          <w:szCs w:val="32"/>
          <w:lang w:eastAsia="zh-CN"/>
        </w:rPr>
        <w:t>2022</w:t>
      </w:r>
      <w:r>
        <w:rPr>
          <w:rFonts w:hint="eastAsia" w:cs="仿宋_GB2312" w:asciiTheme="minorEastAsia" w:hAnsiTheme="minorEastAsia" w:eastAsiaTheme="minorEastAsia"/>
          <w:sz w:val="32"/>
          <w:szCs w:val="32"/>
        </w:rPr>
        <w:t>年的公务用车运行维护费到12月止支出</w:t>
      </w:r>
      <w:r>
        <w:rPr>
          <w:rFonts w:hint="eastAsia" w:cs="仿宋_GB2312" w:asciiTheme="minorEastAsia" w:hAnsiTheme="minorEastAsia" w:eastAsiaTheme="minorEastAsia"/>
          <w:sz w:val="32"/>
          <w:szCs w:val="32"/>
          <w:lang w:val="en-US" w:eastAsia="zh-CN"/>
        </w:rPr>
        <w:t>0</w:t>
      </w:r>
      <w:r>
        <w:rPr>
          <w:rFonts w:hint="eastAsia" w:cs="仿宋_GB2312" w:asciiTheme="minorEastAsia" w:hAnsiTheme="minorEastAsia" w:eastAsiaTheme="minorEastAsia"/>
          <w:sz w:val="32"/>
          <w:szCs w:val="32"/>
        </w:rPr>
        <w:t>万元，公务接待费到12月止支出</w:t>
      </w:r>
      <w:r>
        <w:rPr>
          <w:rFonts w:hint="eastAsia" w:cs="仿宋_GB2312" w:asciiTheme="minorEastAsia" w:hAnsiTheme="minorEastAsia" w:eastAsiaTheme="minorEastAsia"/>
          <w:sz w:val="32"/>
          <w:szCs w:val="32"/>
          <w:lang w:val="en-US" w:eastAsia="zh-CN"/>
        </w:rPr>
        <w:t>2</w:t>
      </w:r>
      <w:r>
        <w:rPr>
          <w:rFonts w:hint="eastAsia" w:cs="仿宋_GB2312" w:asciiTheme="minorEastAsia" w:hAnsiTheme="minorEastAsia" w:eastAsiaTheme="minorEastAsia"/>
          <w:sz w:val="32"/>
          <w:szCs w:val="32"/>
        </w:rPr>
        <w:t>.7</w:t>
      </w:r>
      <w:r>
        <w:rPr>
          <w:rFonts w:hint="eastAsia" w:cs="仿宋_GB2312" w:asciiTheme="minorEastAsia" w:hAnsiTheme="minorEastAsia" w:eastAsiaTheme="minorEastAsia"/>
          <w:sz w:val="32"/>
          <w:szCs w:val="32"/>
          <w:lang w:val="en-US" w:eastAsia="zh-CN"/>
        </w:rPr>
        <w:t>4</w:t>
      </w:r>
      <w:r>
        <w:rPr>
          <w:rFonts w:hint="eastAsia" w:cs="仿宋_GB2312" w:asciiTheme="minorEastAsia" w:hAnsiTheme="minorEastAsia" w:eastAsiaTheme="minorEastAsia"/>
          <w:sz w:val="32"/>
          <w:szCs w:val="32"/>
        </w:rPr>
        <w:t>万元。</w:t>
      </w:r>
    </w:p>
    <w:p>
      <w:pPr>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根据《部门整体支出绩效评价指标》评分表，自评得分8</w:t>
      </w: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分，主要绩效如下：</w:t>
      </w:r>
    </w:p>
    <w:p>
      <w:pPr>
        <w:spacing w:line="700" w:lineRule="exact"/>
        <w:ind w:firstLine="640" w:firstLineChars="200"/>
        <w:jc w:val="left"/>
        <w:rPr>
          <w:rFonts w:hint="eastAsia" w:asciiTheme="minorEastAsia" w:hAnsiTheme="minorEastAsia" w:eastAsiaTheme="minorEastAsia"/>
          <w:sz w:val="32"/>
          <w:szCs w:val="32"/>
        </w:rPr>
      </w:pPr>
      <w:r>
        <w:rPr>
          <w:rFonts w:hint="eastAsia" w:asciiTheme="minorEastAsia" w:hAnsiTheme="minorEastAsia" w:eastAsiaTheme="minorEastAsia"/>
          <w:sz w:val="32"/>
          <w:szCs w:val="32"/>
        </w:rPr>
        <w:t>（一）提高政治站位，强化理论武装</w:t>
      </w:r>
    </w:p>
    <w:p>
      <w:pPr>
        <w:spacing w:line="700" w:lineRule="exact"/>
        <w:ind w:firstLine="640" w:firstLineChars="200"/>
        <w:jc w:val="left"/>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坚持以习近平新时代中国特色社会主义思想为指导，通过党组理论学习中心组、周工作例会等形式，认真学习习近平总书记关于疫情防控、乡村振兴和建党一百周年等系列重要讲话、指示、批示精神，深化党风廉政教育，增强“四个意识”，坚定“四个自信”，做到“两个维护”。购置各类党史学习书籍300多册。组织全体干部职工对《中国共产党纪律处分条例》、《中华人民共和国监察法》、《党员干部职工最容易触犯的30条警示清单》学习，组织全体党员观看了《高山清渠》、《一代洪商》等电视剧和党的二十大开幕式。</w:t>
      </w:r>
    </w:p>
    <w:p>
      <w:pPr>
        <w:spacing w:line="700" w:lineRule="exact"/>
        <w:ind w:firstLine="640" w:firstLineChars="200"/>
        <w:jc w:val="left"/>
        <w:rPr>
          <w:rFonts w:hint="eastAsia" w:asciiTheme="minorEastAsia" w:hAnsiTheme="minorEastAsia" w:eastAsiaTheme="minorEastAsia"/>
          <w:sz w:val="32"/>
          <w:szCs w:val="32"/>
        </w:rPr>
      </w:pPr>
      <w:r>
        <w:rPr>
          <w:rFonts w:hint="eastAsia" w:asciiTheme="minorEastAsia" w:hAnsiTheme="minorEastAsia" w:eastAsiaTheme="minorEastAsia"/>
          <w:sz w:val="32"/>
          <w:szCs w:val="32"/>
        </w:rPr>
        <w:t>（二）加强疫情防控，深入开展爱国卫生运动</w:t>
      </w:r>
    </w:p>
    <w:p>
      <w:pPr>
        <w:spacing w:line="700" w:lineRule="exact"/>
        <w:ind w:firstLine="640" w:firstLineChars="200"/>
        <w:jc w:val="left"/>
        <w:rPr>
          <w:rFonts w:asciiTheme="minorEastAsia" w:hAnsiTheme="minorEastAsia" w:eastAsiaTheme="minorEastAsia"/>
          <w:sz w:val="32"/>
          <w:szCs w:val="32"/>
        </w:rPr>
      </w:pPr>
      <w:r>
        <w:rPr>
          <w:rFonts w:hint="eastAsia" w:asciiTheme="minorEastAsia" w:hAnsiTheme="minorEastAsia" w:eastAsiaTheme="minorEastAsia"/>
          <w:sz w:val="32"/>
          <w:szCs w:val="32"/>
        </w:rPr>
        <w:t>1.强化预防优先。做好“三类人员”摸排、环卫工人体温监测等疫情防控工作</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组建疫情防控网格，形成局、社区和群众三道防线，建立网格化管理机制，及时发现防控隐患线索。</w:t>
      </w:r>
    </w:p>
    <w:p>
      <w:pPr>
        <w:spacing w:line="700" w:lineRule="exact"/>
        <w:ind w:firstLine="640" w:firstLineChars="200"/>
        <w:jc w:val="left"/>
        <w:rPr>
          <w:rFonts w:asciiTheme="minorEastAsia" w:hAnsiTheme="minorEastAsia" w:eastAsiaTheme="minorEastAsia"/>
          <w:sz w:val="32"/>
          <w:szCs w:val="32"/>
        </w:rPr>
      </w:pPr>
      <w:r>
        <w:rPr>
          <w:rFonts w:hint="eastAsia" w:asciiTheme="minorEastAsia" w:hAnsiTheme="minorEastAsia" w:eastAsiaTheme="minorEastAsia"/>
          <w:sz w:val="32"/>
          <w:szCs w:val="32"/>
        </w:rPr>
        <w:t>2.打造健康环境。深入开展以清除卫生死角、整治脏乱为重点的爱国卫生运动，持续开展“洗城”、清洁家园活动，集中开展公共区域清洁消毒，每天对管辖15座公厕、6座垃圾中转站进行消毒杀菌，对城区10余条道路人行道、窨井、垃圾桶、果皮箱进行洗刷，保持干净整洁。县城区80万m²清扫保洁面积全部实行市场化运行，机械化清扫率达82%；清运生活垃圾1.1万余吨，做到“两个100%”，即垃圾日产日清100%，密闭运输100%。同时，加大资金投入更新移动垃圾桶200个，固定式果皮箱84个，更换破损果皮箱内胆100个。</w:t>
      </w:r>
    </w:p>
    <w:p>
      <w:pPr>
        <w:spacing w:line="700" w:lineRule="exact"/>
        <w:ind w:firstLine="640" w:firstLineChars="200"/>
        <w:jc w:val="left"/>
        <w:rPr>
          <w:rFonts w:hint="eastAsia" w:asciiTheme="minorEastAsia" w:hAnsiTheme="minorEastAsia" w:eastAsiaTheme="minorEastAsia"/>
          <w:sz w:val="32"/>
          <w:szCs w:val="32"/>
        </w:rPr>
      </w:pP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三</w:t>
      </w:r>
      <w:r>
        <w:rPr>
          <w:rFonts w:hint="eastAsia" w:asciiTheme="minorEastAsia" w:hAnsiTheme="minorEastAsia" w:eastAsiaTheme="minorEastAsia"/>
          <w:sz w:val="32"/>
          <w:szCs w:val="32"/>
        </w:rPr>
        <w:t>）认真履职，努力提升城市管理综合执法水平</w:t>
      </w:r>
    </w:p>
    <w:p>
      <w:pPr>
        <w:spacing w:line="700" w:lineRule="exact"/>
        <w:ind w:firstLine="640" w:firstLineChars="200"/>
        <w:jc w:val="left"/>
        <w:rPr>
          <w:rFonts w:hint="eastAsia" w:asciiTheme="minorEastAsia" w:hAnsiTheme="minorEastAsia" w:eastAsiaTheme="minorEastAsia"/>
          <w:sz w:val="32"/>
          <w:szCs w:val="32"/>
        </w:rPr>
      </w:pPr>
      <w:r>
        <w:rPr>
          <w:rFonts w:hint="eastAsia" w:asciiTheme="minorEastAsia" w:hAnsiTheme="minorEastAsia" w:eastAsiaTheme="minorEastAsia"/>
          <w:sz w:val="32"/>
          <w:szCs w:val="32"/>
        </w:rPr>
        <w:t>1.提升市容市貌监管能力。共办理行政处罚案件1144起（渣土类4起，市容类32起，市政类1起，禁炮类7起，车辆违停1100起），整治出店经营15500次，流动摊贩违法占道经营8600余起，清理牛皮癣21800余处；拆除乱搭乱建行为50余处，清理无主乱堆乱放建筑垃圾200余车</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查处渣土运输车辆560台次</w:t>
      </w:r>
      <w:r>
        <w:rPr>
          <w:rFonts w:hint="eastAsia" w:asciiTheme="minorEastAsia" w:hAnsiTheme="minorEastAsia" w:eastAsiaTheme="minorEastAsia"/>
          <w:sz w:val="32"/>
          <w:szCs w:val="32"/>
        </w:rPr>
        <w:t>；规范门头招牌251处，拆除巨幅广告5幅；横幅500余条。</w:t>
      </w:r>
    </w:p>
    <w:p>
      <w:pPr>
        <w:spacing w:line="700" w:lineRule="exact"/>
        <w:ind w:firstLine="640" w:firstLineChars="200"/>
        <w:jc w:val="left"/>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2.重拳拆除违建，铁腕推进治理。我局配合两违整治办共下达《限期整改通知书》37份，立案339起，拆除建筑物13栋，面积1921㎡，拆除乱搭乱建3228㎡，新增违法建设势头得到遏制。</w:t>
      </w:r>
    </w:p>
    <w:p>
      <w:pPr>
        <w:spacing w:line="700" w:lineRule="exact"/>
        <w:ind w:firstLine="640" w:firstLineChars="200"/>
        <w:jc w:val="left"/>
        <w:rPr>
          <w:rFonts w:hint="eastAsia" w:asciiTheme="minorEastAsia" w:hAnsiTheme="minorEastAsia" w:eastAsiaTheme="minorEastAsia"/>
          <w:sz w:val="32"/>
          <w:szCs w:val="32"/>
        </w:rPr>
      </w:pP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四</w:t>
      </w:r>
      <w:r>
        <w:rPr>
          <w:rFonts w:hint="eastAsia" w:asciiTheme="minorEastAsia" w:hAnsiTheme="minorEastAsia" w:eastAsiaTheme="minorEastAsia"/>
          <w:sz w:val="32"/>
          <w:szCs w:val="32"/>
        </w:rPr>
        <w:t>）抓好基础设施建设，提升公共服务能力</w:t>
      </w:r>
    </w:p>
    <w:p>
      <w:pPr>
        <w:spacing w:line="700" w:lineRule="exact"/>
        <w:ind w:firstLine="640" w:firstLineChars="200"/>
        <w:jc w:val="left"/>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加强市政设施管护，保障城市安全运行。补损县城道路路面18200㎡，改造人行道1756㎡，人行道盲道改造2476㎡，无障碍路口改造38个，城区绿化栏杆零星维修1850m，雨水井盖清淤671座，下水道疏通、清淤380m，下水道改造165m。对夜郎广场、鼓楼广场、商业步行街麻石板破损零星维修586㎡，公厕下水道疏通45次，广场沟盖更换维修230m。</w:t>
      </w:r>
    </w:p>
    <w:p>
      <w:pPr>
        <w:spacing w:line="700" w:lineRule="exact"/>
        <w:ind w:firstLine="640" w:firstLineChars="200"/>
        <w:jc w:val="left"/>
        <w:rPr>
          <w:rFonts w:hint="eastAsia" w:asciiTheme="minorEastAsia" w:hAnsiTheme="minorEastAsia" w:eastAsiaTheme="minorEastAsia"/>
          <w:sz w:val="32"/>
          <w:szCs w:val="32"/>
        </w:rPr>
      </w:pP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五</w:t>
      </w:r>
      <w:r>
        <w:rPr>
          <w:rFonts w:hint="eastAsia" w:asciiTheme="minorEastAsia" w:hAnsiTheme="minorEastAsia" w:eastAsiaTheme="minorEastAsia"/>
          <w:sz w:val="32"/>
          <w:szCs w:val="32"/>
        </w:rPr>
        <w:t>）聚焦精细管理，推进城市品质持续提升</w:t>
      </w:r>
    </w:p>
    <w:p>
      <w:pPr>
        <w:spacing w:line="700" w:lineRule="exact"/>
        <w:ind w:firstLine="640" w:firstLineChars="200"/>
        <w:jc w:val="left"/>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提升生活垃圾无害化处理率。县生活垃圾无害化填埋厂在运行过程中严格规范管理，进场垃圾无害化处理率达到100%。自2020年起全县各乡镇生活垃圾按要求全部输送进县生活垃圾无害化处理厂（处理量增加58％）。截止2022年</w:t>
      </w:r>
      <w:r>
        <w:rPr>
          <w:rFonts w:hint="eastAsia" w:asciiTheme="minorEastAsia" w:hAnsiTheme="minorEastAsia" w:eastAsiaTheme="minorEastAsia"/>
          <w:sz w:val="32"/>
          <w:szCs w:val="32"/>
          <w:lang w:val="en-US" w:eastAsia="zh-CN"/>
        </w:rPr>
        <w:t>11</w:t>
      </w:r>
      <w:r>
        <w:rPr>
          <w:rFonts w:hint="eastAsia" w:asciiTheme="minorEastAsia" w:hAnsiTheme="minorEastAsia" w:eastAsiaTheme="minorEastAsia"/>
          <w:sz w:val="32"/>
          <w:szCs w:val="32"/>
        </w:rPr>
        <w:t>月县城镇生活垃圾无害化处理场无害化处理生活垃圾3.</w:t>
      </w:r>
      <w:r>
        <w:rPr>
          <w:rFonts w:hint="eastAsia" w:asciiTheme="minorEastAsia" w:hAnsiTheme="minorEastAsia" w:eastAsiaTheme="minorEastAsia"/>
          <w:sz w:val="32"/>
          <w:szCs w:val="32"/>
          <w:lang w:val="en-US" w:eastAsia="zh-CN"/>
        </w:rPr>
        <w:t>84</w:t>
      </w:r>
      <w:r>
        <w:rPr>
          <w:rFonts w:hint="eastAsia" w:asciiTheme="minorEastAsia" w:hAnsiTheme="minorEastAsia" w:eastAsiaTheme="minorEastAsia"/>
          <w:sz w:val="32"/>
          <w:szCs w:val="32"/>
        </w:rPr>
        <w:t>万吨，共计8233车次，渗滤液处理2.26万吨，进场垃圾无害化处理率达到100%。</w:t>
      </w:r>
    </w:p>
    <w:p>
      <w:pPr>
        <w:spacing w:line="560" w:lineRule="exact"/>
        <w:ind w:firstLine="640" w:firstLineChars="200"/>
        <w:jc w:val="left"/>
        <w:rPr>
          <w:rFonts w:eastAsia="仿宋_GB2312"/>
          <w:sz w:val="32"/>
          <w:szCs w:val="32"/>
        </w:rPr>
      </w:pPr>
      <w:r>
        <w:rPr>
          <w:rFonts w:eastAsia="仿宋_GB2312"/>
          <w:sz w:val="32"/>
          <w:szCs w:val="32"/>
        </w:rPr>
        <w:t>三、存在的问题及原因</w:t>
      </w:r>
    </w:p>
    <w:p>
      <w:pPr>
        <w:spacing w:line="700" w:lineRule="exact"/>
        <w:ind w:firstLine="640" w:firstLineChars="200"/>
        <w:jc w:val="left"/>
        <w:rPr>
          <w:rFonts w:asciiTheme="minorEastAsia" w:hAnsiTheme="minorEastAsia" w:eastAsiaTheme="minorEastAsia"/>
          <w:sz w:val="32"/>
          <w:szCs w:val="32"/>
        </w:rPr>
      </w:pPr>
      <w:r>
        <w:rPr>
          <w:rFonts w:asciiTheme="minorEastAsia" w:hAnsiTheme="minorEastAsia" w:eastAsiaTheme="minorEastAsia"/>
          <w:sz w:val="32"/>
          <w:szCs w:val="32"/>
        </w:rPr>
        <w:t>当前影响财政资金使用绩效的问题</w:t>
      </w:r>
      <w:r>
        <w:rPr>
          <w:rFonts w:hint="eastAsia" w:asciiTheme="minorEastAsia" w:hAnsiTheme="minorEastAsia" w:eastAsiaTheme="minorEastAsia"/>
          <w:sz w:val="32"/>
          <w:szCs w:val="32"/>
        </w:rPr>
        <w:t>及原因：</w:t>
      </w:r>
    </w:p>
    <w:p>
      <w:pPr>
        <w:spacing w:line="700" w:lineRule="exact"/>
        <w:ind w:firstLine="640" w:firstLineChars="200"/>
        <w:jc w:val="left"/>
        <w:rPr>
          <w:rFonts w:asciiTheme="minorEastAsia" w:hAnsiTheme="minorEastAsia" w:eastAsiaTheme="minorEastAsia"/>
          <w:sz w:val="32"/>
          <w:szCs w:val="32"/>
        </w:rPr>
      </w:pPr>
      <w:r>
        <w:rPr>
          <w:rFonts w:hint="eastAsia" w:asciiTheme="minorEastAsia" w:hAnsiTheme="minorEastAsia" w:eastAsiaTheme="minorEastAsia"/>
          <w:sz w:val="32"/>
          <w:szCs w:val="32"/>
        </w:rPr>
        <w:t>1、</w:t>
      </w:r>
      <w:r>
        <w:rPr>
          <w:rFonts w:hint="eastAsia" w:asciiTheme="minorEastAsia" w:hAnsiTheme="minorEastAsia" w:eastAsiaTheme="minorEastAsia"/>
          <w:color w:val="121212"/>
          <w:sz w:val="32"/>
          <w:szCs w:val="32"/>
          <w:shd w:val="clear" w:color="auto" w:fill="FFFFFF"/>
        </w:rPr>
        <w:t>绩效理念尚未完全形成，思想认识不一致</w:t>
      </w:r>
    </w:p>
    <w:p>
      <w:pPr>
        <w:spacing w:line="700" w:lineRule="exact"/>
        <w:ind w:firstLine="640" w:firstLineChars="200"/>
        <w:jc w:val="left"/>
        <w:rPr>
          <w:rFonts w:asciiTheme="minorEastAsia" w:hAnsiTheme="minorEastAsia" w:eastAsiaTheme="minorEastAsia"/>
          <w:color w:val="121212"/>
          <w:sz w:val="32"/>
          <w:szCs w:val="32"/>
          <w:shd w:val="clear" w:color="auto" w:fill="FFFFFF"/>
        </w:rPr>
      </w:pPr>
      <w:r>
        <w:rPr>
          <w:rFonts w:hint="eastAsia" w:asciiTheme="minorEastAsia" w:hAnsiTheme="minorEastAsia" w:eastAsiaTheme="minorEastAsia"/>
          <w:color w:val="121212"/>
          <w:sz w:val="32"/>
          <w:szCs w:val="32"/>
          <w:shd w:val="clear" w:color="auto" w:fill="FFFFFF"/>
        </w:rPr>
        <w:t>财政资金本身错综复杂的利益关系，增加了对绩效评价工作认识的错综复杂性。财政部门、项目管理单位及项目执行单位的理解和把握就有较大的差距，从不同方面削弱了绩效评价工作的地位和作用。绩效评价主要以了解项目进展情况、财政资金使用情况进行监督检查为主，或多或少地涉及了评价绩效的内容，还没有成为真正意义上的财政资金绩效评价。全社会对绩效评价的认识还有一个过程，传统的、固有的观念给绩效评价工作带来相当大的阻力。</w:t>
      </w:r>
    </w:p>
    <w:p>
      <w:pPr>
        <w:spacing w:line="700" w:lineRule="exact"/>
        <w:ind w:firstLine="640" w:firstLineChars="200"/>
        <w:jc w:val="left"/>
        <w:rPr>
          <w:rFonts w:asciiTheme="minorEastAsia" w:hAnsiTheme="minorEastAsia" w:eastAsiaTheme="minorEastAsia"/>
          <w:color w:val="121212"/>
          <w:sz w:val="32"/>
          <w:szCs w:val="32"/>
          <w:shd w:val="clear" w:color="auto" w:fill="FFFFFF"/>
        </w:rPr>
      </w:pPr>
      <w:r>
        <w:rPr>
          <w:rFonts w:hint="eastAsia" w:asciiTheme="minorEastAsia" w:hAnsiTheme="minorEastAsia" w:eastAsiaTheme="minorEastAsia"/>
          <w:color w:val="121212"/>
          <w:sz w:val="32"/>
          <w:szCs w:val="32"/>
          <w:shd w:val="clear" w:color="auto" w:fill="FFFFFF"/>
        </w:rPr>
        <w:t>2、绩效评价工作缺乏法律性约束和制度保障</w:t>
      </w:r>
    </w:p>
    <w:p>
      <w:pPr>
        <w:spacing w:line="700" w:lineRule="exact"/>
        <w:ind w:firstLine="640" w:firstLineChars="200"/>
        <w:jc w:val="left"/>
        <w:rPr>
          <w:rFonts w:asciiTheme="minorEastAsia" w:hAnsiTheme="minorEastAsia" w:eastAsiaTheme="minorEastAsia"/>
          <w:sz w:val="32"/>
          <w:szCs w:val="32"/>
        </w:rPr>
      </w:pPr>
      <w:r>
        <w:rPr>
          <w:rFonts w:hint="eastAsia" w:asciiTheme="minorEastAsia" w:hAnsiTheme="minorEastAsia" w:eastAsiaTheme="minorEastAsia"/>
          <w:color w:val="121212"/>
          <w:sz w:val="32"/>
          <w:szCs w:val="32"/>
          <w:shd w:val="clear" w:color="auto" w:fill="FFFFFF"/>
        </w:rPr>
        <w:t>财政资金绩效评价工作要取得实效，必须得到立法支持，而且要制度化、经常化。而我国公共投资部门虽然也提出要完善项目投资决策程序，对国家重点投资项目要从立项决策、竣工验收直到财政资金绩效评价，实行全过程管理，但迄今尚未出台全国统一的有关财政资金绩效评价工作的法律法规，使我国财政资金绩效评价工作缺乏法律约束和制度保障。</w:t>
      </w:r>
    </w:p>
    <w:p>
      <w:pPr>
        <w:spacing w:line="560" w:lineRule="exact"/>
        <w:ind w:firstLine="640" w:firstLineChars="200"/>
        <w:jc w:val="left"/>
        <w:rPr>
          <w:rFonts w:eastAsia="仿宋_GB2312"/>
          <w:sz w:val="32"/>
          <w:szCs w:val="32"/>
        </w:rPr>
      </w:pPr>
      <w:r>
        <w:rPr>
          <w:rFonts w:eastAsia="仿宋_GB2312"/>
          <w:sz w:val="32"/>
          <w:szCs w:val="32"/>
        </w:rPr>
        <w:t>四、提高财政资金绩效的措施与建议</w:t>
      </w:r>
    </w:p>
    <w:p>
      <w:pPr>
        <w:spacing w:line="560" w:lineRule="exact"/>
        <w:ind w:firstLine="640" w:firstLineChars="200"/>
        <w:jc w:val="left"/>
        <w:rPr>
          <w:rFonts w:asciiTheme="minorEastAsia" w:hAnsiTheme="minorEastAsia" w:eastAsiaTheme="minorEastAsia"/>
          <w:sz w:val="32"/>
          <w:szCs w:val="32"/>
        </w:rPr>
      </w:pPr>
      <w:r>
        <w:rPr>
          <w:rFonts w:asciiTheme="minorEastAsia" w:hAnsiTheme="minorEastAsia" w:eastAsiaTheme="minorEastAsia"/>
          <w:sz w:val="32"/>
          <w:szCs w:val="32"/>
        </w:rPr>
        <w:t>针对存在的问题及有关情况，提出下一步提高</w:t>
      </w:r>
      <w:r>
        <w:rPr>
          <w:rFonts w:hint="eastAsia" w:asciiTheme="minorEastAsia" w:hAnsiTheme="minorEastAsia" w:eastAsiaTheme="minorEastAsia"/>
          <w:sz w:val="32"/>
          <w:szCs w:val="32"/>
        </w:rPr>
        <w:t>本单位</w:t>
      </w:r>
      <w:r>
        <w:rPr>
          <w:rFonts w:asciiTheme="minorEastAsia" w:hAnsiTheme="minorEastAsia" w:eastAsiaTheme="minorEastAsia"/>
          <w:sz w:val="32"/>
          <w:szCs w:val="32"/>
        </w:rPr>
        <w:t>财政资金使用绩效的措施与建议</w:t>
      </w:r>
      <w:r>
        <w:rPr>
          <w:rFonts w:hint="eastAsia" w:asciiTheme="minorEastAsia" w:hAnsiTheme="minorEastAsia" w:eastAsiaTheme="minorEastAsia"/>
          <w:sz w:val="32"/>
          <w:szCs w:val="32"/>
        </w:rPr>
        <w:t>：建立健全的财政支出绩效评价体系。进行财政支出绩效评价，最终目的是为了提高财政支出效益，因此财政支出绩效评价体系还必须包括绩效评价信息反馈制度、激励机制和奖惩制度等内容。一方面通过绩效评价信息反馈制度及时了解各项目的实施情况和实施效果；另一方面通过建立激励机制和奖惩制度，改变现行预算制度只重视资金分配、不重视资金使用的状况。首先，把对项目预期目标的绩效评价结果作为预算编制和批复的重要依据，从源头上控制没有绩效和低绩效的项目；其次，实现财政预算管理上的两个转变，即预算拨款由传统的按预算拨款转为按绩效拨款，从过去对预算的重过程管理转变为重结果管理；第三，将本年度绩效评价的结果作为下年度预算安排的重要依据。</w:t>
      </w:r>
    </w:p>
    <w:p>
      <w:pPr>
        <w:spacing w:line="560" w:lineRule="exact"/>
        <w:ind w:firstLine="640" w:firstLineChars="200"/>
        <w:jc w:val="left"/>
        <w:rPr>
          <w:rFonts w:eastAsia="仿宋_GB2312"/>
          <w:sz w:val="32"/>
          <w:szCs w:val="32"/>
        </w:rPr>
      </w:pPr>
      <w:r>
        <w:rPr>
          <w:rFonts w:eastAsia="仿宋_GB2312"/>
          <w:sz w:val="32"/>
          <w:szCs w:val="32"/>
        </w:rPr>
        <w:t>五、附件（佐证依据）</w:t>
      </w:r>
    </w:p>
    <w:p>
      <w:pPr>
        <w:spacing w:line="560" w:lineRule="exact"/>
        <w:ind w:firstLine="640" w:firstLineChars="200"/>
        <w:jc w:val="left"/>
        <w:rPr>
          <w:rFonts w:asciiTheme="minorEastAsia" w:hAnsiTheme="minorEastAsia" w:eastAsiaTheme="minorEastAsia"/>
          <w:sz w:val="32"/>
          <w:szCs w:val="32"/>
        </w:rPr>
      </w:pPr>
      <w:r>
        <w:rPr>
          <w:rFonts w:hint="eastAsia" w:asciiTheme="minorEastAsia" w:hAnsiTheme="minorEastAsia" w:eastAsiaTheme="minorEastAsia"/>
          <w:sz w:val="32"/>
          <w:szCs w:val="32"/>
        </w:rPr>
        <w:t>此项附件无。</w:t>
      </w:r>
    </w:p>
    <w:p>
      <w:pPr>
        <w:spacing w:line="560" w:lineRule="exact"/>
        <w:ind w:firstLine="640" w:firstLineChars="200"/>
        <w:jc w:val="left"/>
        <w:rPr>
          <w:rFonts w:eastAsia="仿宋_GB2312"/>
          <w:sz w:val="32"/>
          <w:szCs w:val="32"/>
        </w:rPr>
      </w:pPr>
      <w:r>
        <w:rPr>
          <w:rFonts w:eastAsia="仿宋_GB2312"/>
          <w:sz w:val="32"/>
          <w:szCs w:val="32"/>
        </w:rPr>
        <w:t xml:space="preserve">                </w:t>
      </w:r>
      <w:r>
        <w:rPr>
          <w:rFonts w:hint="eastAsia" w:eastAsia="仿宋_GB2312"/>
          <w:sz w:val="32"/>
          <w:szCs w:val="32"/>
        </w:rPr>
        <w:t xml:space="preserve">               </w:t>
      </w:r>
      <w:r>
        <w:rPr>
          <w:rFonts w:eastAsia="仿宋_GB2312"/>
          <w:sz w:val="32"/>
          <w:szCs w:val="32"/>
        </w:rPr>
        <w:t>部门（签章）</w:t>
      </w:r>
    </w:p>
    <w:p>
      <w:pPr>
        <w:spacing w:before="100" w:beforeAutospacing="1" w:after="100" w:afterAutospacing="1" w:line="240" w:lineRule="exact"/>
        <w:jc w:val="left"/>
        <w:rPr>
          <w:rFonts w:ascii="仿宋_GB2312" w:hAnsi="仿宋_GB2312" w:eastAsia="仿宋_GB2312" w:cs="仿宋_GB2312"/>
          <w:sz w:val="24"/>
        </w:rPr>
      </w:pPr>
      <w:r>
        <w:rPr>
          <w:rFonts w:eastAsia="仿宋_GB2312"/>
          <w:sz w:val="32"/>
          <w:szCs w:val="32"/>
        </w:rPr>
        <w:t xml:space="preserve">                                  </w:t>
      </w:r>
      <w:r>
        <w:rPr>
          <w:rFonts w:hint="eastAsia" w:eastAsia="仿宋_GB2312"/>
          <w:sz w:val="32"/>
          <w:szCs w:val="32"/>
        </w:rPr>
        <w:t xml:space="preserve">   202</w:t>
      </w:r>
      <w:r>
        <w:rPr>
          <w:rFonts w:hint="eastAsia" w:eastAsia="仿宋_GB2312"/>
          <w:sz w:val="32"/>
          <w:szCs w:val="32"/>
          <w:lang w:val="en-US" w:eastAsia="zh-CN"/>
        </w:rPr>
        <w:t>3</w:t>
      </w:r>
      <w:r>
        <w:rPr>
          <w:rFonts w:eastAsia="仿宋_GB2312"/>
          <w:sz w:val="32"/>
          <w:szCs w:val="32"/>
        </w:rPr>
        <w:t>年</w:t>
      </w:r>
      <w:r>
        <w:rPr>
          <w:rFonts w:hint="eastAsia" w:eastAsia="仿宋_GB2312"/>
          <w:sz w:val="32"/>
          <w:szCs w:val="32"/>
        </w:rPr>
        <w:t>5</w:t>
      </w:r>
      <w:r>
        <w:rPr>
          <w:rFonts w:eastAsia="仿宋_GB2312"/>
          <w:sz w:val="32"/>
          <w:szCs w:val="32"/>
        </w:rPr>
        <w:t xml:space="preserve"> 月 </w:t>
      </w:r>
      <w:r>
        <w:rPr>
          <w:rFonts w:hint="eastAsia" w:eastAsia="仿宋_GB2312"/>
          <w:sz w:val="32"/>
          <w:szCs w:val="32"/>
          <w:lang w:val="en-US" w:eastAsia="zh-CN"/>
        </w:rPr>
        <w:t>18</w:t>
      </w:r>
      <w:r>
        <w:rPr>
          <w:rFonts w:eastAsia="仿宋_GB2312"/>
          <w:sz w:val="32"/>
          <w:szCs w:val="32"/>
        </w:rPr>
        <w:t>日</w:t>
      </w:r>
      <w:r>
        <w:rPr>
          <w:sz w:val="24"/>
        </w:rPr>
        <w:br w:type="page"/>
      </w:r>
      <w:r>
        <w:rPr>
          <w:rFonts w:hint="eastAsia" w:ascii="仿宋_GB2312" w:hAnsi="仿宋_GB2312" w:eastAsia="仿宋_GB2312" w:cs="仿宋_GB2312"/>
          <w:sz w:val="24"/>
        </w:rPr>
        <w:t>附件2-1</w:t>
      </w:r>
    </w:p>
    <w:p>
      <w:pPr>
        <w:spacing w:line="480" w:lineRule="exact"/>
        <w:jc w:val="center"/>
        <w:rPr>
          <w:rFonts w:eastAsia="方正粗宋简体"/>
          <w:w w:val="85"/>
          <w:sz w:val="44"/>
          <w:szCs w:val="44"/>
        </w:rPr>
      </w:pPr>
      <w:r>
        <w:rPr>
          <w:rFonts w:hint="eastAsia" w:eastAsia="方正粗宋简体"/>
          <w:w w:val="85"/>
          <w:sz w:val="44"/>
          <w:szCs w:val="44"/>
          <w:lang w:eastAsia="zh-CN"/>
        </w:rPr>
        <w:t>2022</w:t>
      </w:r>
      <w:r>
        <w:rPr>
          <w:rFonts w:hAnsi="方正粗宋简体" w:eastAsia="方正粗宋简体"/>
          <w:w w:val="85"/>
          <w:sz w:val="44"/>
          <w:szCs w:val="44"/>
        </w:rPr>
        <w:t>年度新晃县项目</w:t>
      </w:r>
      <w:r>
        <w:rPr>
          <w:rFonts w:hint="eastAsia" w:hAnsi="方正粗宋简体" w:eastAsia="方正粗宋简体"/>
          <w:w w:val="85"/>
          <w:sz w:val="44"/>
          <w:szCs w:val="44"/>
        </w:rPr>
        <w:t>支出</w:t>
      </w:r>
      <w:r>
        <w:rPr>
          <w:rFonts w:hAnsi="方正粗宋简体" w:eastAsia="方正粗宋简体"/>
          <w:w w:val="85"/>
          <w:sz w:val="44"/>
          <w:szCs w:val="44"/>
        </w:rPr>
        <w:t>绩效</w:t>
      </w:r>
      <w:r>
        <w:rPr>
          <w:rFonts w:hint="eastAsia" w:hAnsi="方正粗宋简体" w:eastAsia="方正粗宋简体"/>
          <w:w w:val="85"/>
          <w:sz w:val="44"/>
          <w:szCs w:val="44"/>
        </w:rPr>
        <w:t>自评</w:t>
      </w:r>
      <w:r>
        <w:rPr>
          <w:rFonts w:hAnsi="方正粗宋简体" w:eastAsia="方正粗宋简体"/>
          <w:w w:val="85"/>
          <w:sz w:val="44"/>
          <w:szCs w:val="44"/>
        </w:rPr>
        <w:t>表</w:t>
      </w:r>
    </w:p>
    <w:p>
      <w:pPr>
        <w:spacing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6"/>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项目单位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景观亮化维护和一河两岸电费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城市管理和综合执法局</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吴俊达</w:t>
            </w:r>
          </w:p>
        </w:tc>
        <w:tc>
          <w:tcPr>
            <w:tcW w:w="1206"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15115163888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项目资金</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vAlign w:val="center"/>
          </w:tcPr>
          <w:p>
            <w:pPr>
              <w:spacing w:line="320" w:lineRule="exact"/>
              <w:jc w:val="center"/>
              <w:rPr>
                <w:rFonts w:ascii="仿宋_GB2312" w:hAnsi="仿宋_GB2312" w:eastAsia="仿宋_GB2312" w:cs="仿宋_GB2312"/>
                <w:szCs w:val="21"/>
              </w:rPr>
            </w:pP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180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500</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2303" w:type="dxa"/>
            <w:gridSpan w:val="2"/>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336</w:t>
            </w:r>
          </w:p>
        </w:tc>
        <w:tc>
          <w:tcPr>
            <w:tcW w:w="1702"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67.2</w:t>
            </w:r>
            <w:r>
              <w:rPr>
                <w:rFonts w:hint="eastAsia" w:ascii="仿宋_GB2312" w:hAnsi="仿宋_GB2312" w:eastAsia="仿宋_GB2312" w:cs="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财政复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67.2</w:t>
            </w:r>
            <w:r>
              <w:rPr>
                <w:rFonts w:hint="eastAsia" w:ascii="仿宋_GB2312" w:hAnsi="仿宋_GB2312" w:eastAsia="仿宋_GB2312" w:cs="仿宋_GB2312"/>
                <w:szCs w:val="21"/>
              </w:rPr>
              <w:t>%。根据实际情况评分</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ind w:left="0" w:leftChars="0" w:firstLine="0" w:firstLineChars="0"/>
              <w:rPr>
                <w:rFonts w:ascii="仿宋_GB2312" w:hAnsi="仿宋_GB2312" w:eastAsia="仿宋_GB2312" w:cs="仿宋_GB2312"/>
                <w:szCs w:val="21"/>
              </w:rPr>
            </w:pPr>
            <w:r>
              <w:rPr>
                <w:rFonts w:hint="eastAsia" w:ascii="仿宋_GB2312" w:hAnsi="仿宋_GB2312" w:eastAsia="仿宋_GB2312" w:cs="仿宋_GB2312"/>
                <w:szCs w:val="21"/>
              </w:rPr>
              <w:t>本项目建立了项目管理制度，并严格按相关制度执行。</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资金支出</w:t>
            </w:r>
          </w:p>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tcMar>
              <w:top w:w="0" w:type="dxa"/>
              <w:left w:w="105" w:type="dxa"/>
              <w:bottom w:w="0" w:type="dxa"/>
              <w:right w:w="105" w:type="dxa"/>
            </w:tcMar>
            <w:vAlign w:val="center"/>
          </w:tcPr>
          <w:p>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按时按量且及时支付项目费用</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28</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tcMar>
              <w:top w:w="0" w:type="dxa"/>
              <w:left w:w="105" w:type="dxa"/>
              <w:bottom w:w="0" w:type="dxa"/>
              <w:right w:w="105" w:type="dxa"/>
            </w:tcMar>
            <w:vAlign w:val="center"/>
          </w:tcPr>
          <w:p>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美化城区环境，便利群众出行</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17</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lang w:val="en-US" w:eastAsia="zh-CN"/>
              </w:rPr>
              <w:t>通过调查</w:t>
            </w:r>
            <w:r>
              <w:rPr>
                <w:rFonts w:hint="eastAsia" w:ascii="仿宋_GB2312" w:hAnsi="仿宋_GB2312" w:eastAsia="仿宋_GB2312" w:cs="仿宋_GB2312"/>
                <w:szCs w:val="21"/>
              </w:rPr>
              <w:t>服务对象满意度</w:t>
            </w:r>
            <w:r>
              <w:rPr>
                <w:rFonts w:hint="eastAsia" w:ascii="仿宋_GB2312" w:hAnsi="仿宋_GB2312" w:eastAsia="仿宋_GB2312" w:cs="仿宋_GB2312"/>
                <w:szCs w:val="21"/>
                <w:lang w:val="en-US" w:eastAsia="zh-CN"/>
              </w:rPr>
              <w:t>为</w:t>
            </w:r>
            <w:r>
              <w:rPr>
                <w:rFonts w:hint="eastAsia" w:ascii="仿宋_GB2312" w:hAnsi="仿宋_GB2312" w:eastAsia="仿宋_GB2312" w:cs="仿宋_GB2312"/>
                <w:szCs w:val="21"/>
              </w:rPr>
              <w:t>：9</w:t>
            </w:r>
            <w:r>
              <w:rPr>
                <w:rFonts w:hint="eastAsia" w:ascii="仿宋_GB2312" w:hAnsi="仿宋_GB2312" w:eastAsia="仿宋_GB2312" w:cs="仿宋_GB2312"/>
                <w:szCs w:val="21"/>
                <w:lang w:val="en-US" w:eastAsia="zh-CN"/>
              </w:rPr>
              <w:t>1</w:t>
            </w:r>
            <w:r>
              <w:rPr>
                <w:rFonts w:hint="eastAsia" w:ascii="仿宋_GB2312" w:hAnsi="仿宋_GB2312" w:eastAsia="仿宋_GB2312" w:cs="仿宋_GB2312"/>
                <w:szCs w:val="21"/>
              </w:rPr>
              <w:t>%</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89</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7433" w:type="dxa"/>
            <w:gridSpan w:val="6"/>
            <w:tcMar>
              <w:top w:w="0" w:type="dxa"/>
              <w:left w:w="105" w:type="dxa"/>
              <w:bottom w:w="0" w:type="dxa"/>
              <w:right w:w="105" w:type="dxa"/>
            </w:tcMar>
            <w:vAlign w:val="center"/>
          </w:tcPr>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pPr>
        <w:spacing w:line="320" w:lineRule="exact"/>
        <w:ind w:left="0"/>
        <w:jc w:val="left"/>
        <w:rPr>
          <w:rFonts w:ascii="华文中宋" w:hAnsi="华文中宋" w:eastAsia="华文中宋"/>
          <w:sz w:val="8"/>
          <w:szCs w:val="10"/>
        </w:rPr>
      </w:pPr>
    </w:p>
    <w:p>
      <w:pPr>
        <w:spacing w:line="320" w:lineRule="exact"/>
        <w:ind w:left="0"/>
        <w:jc w:val="left"/>
        <w:rPr>
          <w:rFonts w:ascii="华文中宋" w:hAnsi="华文中宋" w:eastAsia="华文中宋"/>
          <w:szCs w:val="21"/>
        </w:rPr>
      </w:pPr>
      <w:r>
        <w:rPr>
          <w:rFonts w:ascii="华文中宋" w:hAnsi="华文中宋" w:eastAsia="华文中宋"/>
          <w:szCs w:val="21"/>
        </w:rPr>
        <w:t xml:space="preserve">单位负责人（签字）：  </w:t>
      </w:r>
      <w:r>
        <w:rPr>
          <w:rFonts w:hint="eastAsia" w:ascii="华文中宋" w:hAnsi="华文中宋" w:eastAsia="华文中宋"/>
          <w:szCs w:val="21"/>
        </w:rPr>
        <w:t xml:space="preserve">   </w:t>
      </w:r>
      <w:r>
        <w:rPr>
          <w:rFonts w:ascii="华文中宋" w:hAnsi="华文中宋" w:eastAsia="华文中宋"/>
          <w:szCs w:val="21"/>
        </w:rPr>
        <w:t xml:space="preserve">  项目负责人（签字）： </w:t>
      </w:r>
      <w:r>
        <w:rPr>
          <w:rFonts w:hint="eastAsia" w:ascii="华文中宋" w:hAnsi="华文中宋" w:eastAsia="华文中宋"/>
          <w:szCs w:val="21"/>
        </w:rPr>
        <w:t xml:space="preserve">      </w:t>
      </w:r>
      <w:r>
        <w:rPr>
          <w:rFonts w:ascii="华文中宋" w:hAnsi="华文中宋" w:eastAsia="华文中宋"/>
          <w:szCs w:val="21"/>
        </w:rPr>
        <w:t xml:space="preserve"> 填表日期： </w:t>
      </w:r>
      <w:r>
        <w:rPr>
          <w:rFonts w:hint="eastAsia" w:ascii="华文中宋" w:hAnsi="华文中宋" w:eastAsia="华文中宋"/>
          <w:szCs w:val="21"/>
        </w:rPr>
        <w:t>202</w:t>
      </w:r>
      <w:r>
        <w:rPr>
          <w:rFonts w:hint="eastAsia" w:ascii="华文中宋" w:hAnsi="华文中宋" w:eastAsia="华文中宋"/>
          <w:szCs w:val="21"/>
          <w:lang w:val="en-US" w:eastAsia="zh-CN"/>
        </w:rPr>
        <w:t>3</w:t>
      </w:r>
      <w:r>
        <w:rPr>
          <w:rFonts w:hint="eastAsia" w:ascii="华文中宋" w:hAnsi="华文中宋" w:eastAsia="华文中宋"/>
          <w:szCs w:val="21"/>
        </w:rPr>
        <w:t xml:space="preserve"> </w:t>
      </w:r>
      <w:r>
        <w:rPr>
          <w:rFonts w:ascii="华文中宋" w:hAnsi="华文中宋" w:eastAsia="华文中宋"/>
          <w:szCs w:val="21"/>
        </w:rPr>
        <w:t>年 </w:t>
      </w:r>
      <w:r>
        <w:rPr>
          <w:rFonts w:hint="eastAsia" w:ascii="华文中宋" w:hAnsi="华文中宋" w:eastAsia="华文中宋"/>
          <w:szCs w:val="21"/>
          <w:lang w:val="en-US" w:eastAsia="zh-CN"/>
        </w:rPr>
        <w:t>5</w:t>
      </w:r>
      <w:r>
        <w:rPr>
          <w:rFonts w:ascii="华文中宋" w:hAnsi="华文中宋" w:eastAsia="华文中宋"/>
          <w:szCs w:val="21"/>
        </w:rPr>
        <w:t>月</w:t>
      </w:r>
      <w:r>
        <w:rPr>
          <w:rFonts w:hint="eastAsia" w:ascii="华文中宋" w:hAnsi="华文中宋" w:eastAsia="华文中宋"/>
          <w:szCs w:val="21"/>
          <w:lang w:val="en-US" w:eastAsia="zh-CN"/>
        </w:rPr>
        <w:t>18</w:t>
      </w:r>
      <w:r>
        <w:rPr>
          <w:rFonts w:ascii="华文中宋" w:hAnsi="华文中宋" w:eastAsia="华文中宋"/>
          <w:szCs w:val="21"/>
        </w:rPr>
        <w:t xml:space="preserve"> 日</w:t>
      </w:r>
    </w:p>
    <w:p>
      <w:pPr>
        <w:spacing w:before="240" w:line="340" w:lineRule="exact"/>
        <w:jc w:val="left"/>
        <w:rPr>
          <w:rFonts w:asciiTheme="minorEastAsia" w:hAnsiTheme="minorEastAsia" w:eastAsiaTheme="minorEastAsia"/>
          <w:sz w:val="30"/>
          <w:szCs w:val="30"/>
        </w:rPr>
      </w:pPr>
      <w:r>
        <w:rPr>
          <w:rFonts w:hint="eastAsia" w:cs="仿宋_GB2312" w:asciiTheme="minorEastAsia" w:hAnsiTheme="minorEastAsia" w:eastAsiaTheme="minorEastAsia"/>
          <w:sz w:val="30"/>
          <w:szCs w:val="30"/>
        </w:rPr>
        <w:t>附件2-3 </w:t>
      </w:r>
    </w:p>
    <w:p>
      <w:pPr>
        <w:spacing w:line="600" w:lineRule="exact"/>
        <w:jc w:val="center"/>
        <w:rPr>
          <w:rFonts w:asciiTheme="minorEastAsia" w:hAnsiTheme="minorEastAsia" w:eastAsiaTheme="minorEastAsia"/>
          <w:w w:val="85"/>
          <w:sz w:val="30"/>
          <w:szCs w:val="30"/>
        </w:rPr>
      </w:pPr>
      <w:r>
        <w:rPr>
          <w:rFonts w:asciiTheme="minorEastAsia" w:hAnsiTheme="minorEastAsia" w:eastAsiaTheme="minorEastAsia"/>
          <w:w w:val="85"/>
          <w:sz w:val="30"/>
          <w:szCs w:val="30"/>
        </w:rPr>
        <w:t> </w:t>
      </w:r>
      <w:r>
        <w:rPr>
          <w:rFonts w:hint="eastAsia" w:asciiTheme="minorEastAsia" w:hAnsiTheme="minorEastAsia" w:eastAsiaTheme="minorEastAsia"/>
          <w:w w:val="85"/>
          <w:sz w:val="30"/>
          <w:szCs w:val="30"/>
          <w:lang w:eastAsia="zh-CN"/>
        </w:rPr>
        <w:t>2022</w:t>
      </w:r>
      <w:r>
        <w:rPr>
          <w:rFonts w:asciiTheme="minorEastAsia" w:hAnsiTheme="minorEastAsia" w:eastAsiaTheme="minorEastAsia"/>
          <w:w w:val="85"/>
          <w:sz w:val="30"/>
          <w:szCs w:val="30"/>
        </w:rPr>
        <w:t>年度新晃县</w:t>
      </w:r>
      <w:r>
        <w:rPr>
          <w:rFonts w:hint="eastAsia" w:asciiTheme="minorEastAsia" w:hAnsiTheme="minorEastAsia" w:eastAsiaTheme="minorEastAsia"/>
          <w:w w:val="85"/>
          <w:sz w:val="30"/>
          <w:szCs w:val="30"/>
        </w:rPr>
        <w:t>项目</w:t>
      </w:r>
      <w:r>
        <w:rPr>
          <w:rFonts w:asciiTheme="minorEastAsia" w:hAnsiTheme="minorEastAsia" w:eastAsiaTheme="minorEastAsia"/>
          <w:w w:val="85"/>
          <w:sz w:val="30"/>
          <w:szCs w:val="30"/>
        </w:rPr>
        <w:t>支出</w:t>
      </w:r>
      <w:r>
        <w:rPr>
          <w:rFonts w:hint="eastAsia" w:asciiTheme="minorEastAsia" w:hAnsiTheme="minorEastAsia" w:eastAsiaTheme="minorEastAsia"/>
          <w:w w:val="85"/>
          <w:sz w:val="30"/>
          <w:szCs w:val="30"/>
        </w:rPr>
        <w:t>绩效</w:t>
      </w:r>
      <w:r>
        <w:rPr>
          <w:rFonts w:asciiTheme="minorEastAsia" w:hAnsiTheme="minorEastAsia" w:eastAsiaTheme="minorEastAsia"/>
          <w:w w:val="85"/>
          <w:sz w:val="30"/>
          <w:szCs w:val="30"/>
        </w:rPr>
        <w:t>自评报告</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一、基本情况</w:t>
      </w:r>
    </w:p>
    <w:p>
      <w:pPr>
        <w:spacing w:line="560" w:lineRule="exact"/>
        <w:ind w:firstLine="600" w:firstLineChars="200"/>
        <w:jc w:val="left"/>
        <w:rPr>
          <w:rFonts w:asciiTheme="minorEastAsia" w:hAnsiTheme="minorEastAsia" w:eastAsiaTheme="minorEastAsia"/>
          <w:sz w:val="30"/>
          <w:szCs w:val="30"/>
        </w:rPr>
      </w:pPr>
      <w:r>
        <w:rPr>
          <w:rFonts w:hint="eastAsia" w:asciiTheme="minorEastAsia" w:hAnsiTheme="minorEastAsia" w:eastAsiaTheme="minorEastAsia"/>
          <w:sz w:val="30"/>
          <w:szCs w:val="30"/>
        </w:rPr>
        <w:t>（一）项目概况。</w:t>
      </w:r>
    </w:p>
    <w:p>
      <w:pPr>
        <w:spacing w:line="560" w:lineRule="exact"/>
        <w:ind w:firstLine="640" w:firstLineChars="200"/>
        <w:jc w:val="left"/>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为保障城市整洁卫生，为市民提供良好的生活环境，县财政安排500万元的年初预算专项资金，用于景观亮化维护和一河两岸电费项目主要是用于城区景观亮化的维护费和一河两岸的电费。</w:t>
      </w:r>
    </w:p>
    <w:p>
      <w:pPr>
        <w:spacing w:line="560" w:lineRule="exact"/>
        <w:ind w:firstLine="600" w:firstLineChars="200"/>
        <w:jc w:val="left"/>
        <w:rPr>
          <w:rFonts w:asciiTheme="minorEastAsia" w:hAnsiTheme="minorEastAsia" w:eastAsiaTheme="minorEastAsia"/>
          <w:sz w:val="30"/>
          <w:szCs w:val="30"/>
        </w:rPr>
      </w:pPr>
      <w:r>
        <w:rPr>
          <w:rFonts w:hint="eastAsia" w:asciiTheme="minorEastAsia" w:hAnsiTheme="minorEastAsia" w:eastAsiaTheme="minorEastAsia"/>
          <w:sz w:val="30"/>
          <w:szCs w:val="30"/>
        </w:rPr>
        <w:t>（二）项目绩效目标。</w:t>
      </w:r>
    </w:p>
    <w:p>
      <w:pPr>
        <w:spacing w:line="560" w:lineRule="exact"/>
        <w:ind w:firstLine="640" w:firstLineChars="200"/>
        <w:jc w:val="left"/>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1、保障一河两岸市政路灯亮化；</w:t>
      </w:r>
    </w:p>
    <w:p>
      <w:pPr>
        <w:spacing w:line="560" w:lineRule="exact"/>
        <w:ind w:firstLine="640" w:firstLineChars="200"/>
        <w:jc w:val="left"/>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2、保障一河两岸路灯的正常运行。</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二、绩效评价工作开展情况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（一）绩效评价目的、对象和范围。</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2022年度项目绩效的绩效评价,了解2022年度该项目经费的来源、使用和管理情况，项目的组织实施及事后的监督情况;评价该项目经费使用是否达到预期目标,总结经验,分析问题,强化该项目经费的管理,为以后该项目经费管理和预算安排提供参考依据。同时，及时总结经验，分析存在的问题，采取切实措施进一步改进和增强财政支出项目管理，切实提高资金使用效益。</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(二)绩效评价原则、评价指标体系（附表说明）、评价方法、评价标准等。</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1、绩效评价原则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遵循科学、规范、公正、公开和绩效相关性原则。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2、评价指标体系（附表说明）</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2022年度新晃县项目绩效自评计分标准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3、评价方法</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4、评价标准</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（三）绩效评价过程</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晃财绩[2023]24号《关于开展2022年度部门预算支出绩效自评工作的通知》，本次绩效评价重点评价一河两岸市政路灯亮化电费及维护工程费项目资金的绩效情况，填报绩效项目自评申报表，在对所有取得的资料进行分析整理的基础上按照规定格式编写绩效评价工作报告，然后按照绩效评价资料清单上报县财政局。</w:t>
      </w:r>
    </w:p>
    <w:p>
      <w:pPr>
        <w:spacing w:line="560" w:lineRule="exact"/>
        <w:ind w:firstLine="643" w:firstLineChars="200"/>
        <w:jc w:val="left"/>
        <w:rPr>
          <w:rFonts w:hint="eastAsia" w:eastAsia="仿宋_GB2312"/>
          <w:b/>
          <w:bCs/>
          <w:sz w:val="32"/>
          <w:szCs w:val="32"/>
        </w:rPr>
      </w:pPr>
      <w:r>
        <w:rPr>
          <w:rFonts w:hint="eastAsia" w:eastAsia="仿宋_GB2312"/>
          <w:b/>
          <w:bCs/>
          <w:sz w:val="32"/>
          <w:szCs w:val="32"/>
        </w:rPr>
        <w:t>三、综合评价情况及评价结论（附相关评分表）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1、完成了预期绩效目标任务</w:t>
      </w:r>
    </w:p>
    <w:p>
      <w:pPr>
        <w:spacing w:line="560" w:lineRule="exact"/>
        <w:ind w:firstLine="640" w:firstLineChars="200"/>
        <w:jc w:val="left"/>
        <w:rPr>
          <w:rFonts w:hint="default" w:asciiTheme="minorEastAsia" w:hAnsiTheme="minorEastAsia" w:eastAsiaTheme="minorEastAsia"/>
          <w:sz w:val="30"/>
          <w:szCs w:val="30"/>
          <w:lang w:val="en-US" w:eastAsia="zh-CN"/>
        </w:rPr>
      </w:pPr>
      <w:r>
        <w:rPr>
          <w:rFonts w:hint="eastAsia" w:ascii="仿宋_GB2312" w:eastAsia="仿宋_GB2312"/>
          <w:color w:val="000000"/>
          <w:sz w:val="32"/>
          <w:szCs w:val="32"/>
          <w:lang w:val="en-US" w:eastAsia="zh-CN"/>
        </w:rPr>
        <w:t>保障一河两岸市政路灯亮化；保障一河两岸路灯的正常运行。按时支付了相关的电费以及运行维护费用。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2、改善了城市形象,提高了城市品位</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一河两岸的亮化美化，促进市容市貌有了很大的改变,提升了新晃县城区的城市形象。</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3.项目的可持续性分析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该项目主要对一河两岸进行亮化，为辖区居民创造一个环境优美、宜居的生活及工作环境，项目的可持续性较强。</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根据对我所2022年项目支出绩效评价指标体系和绩效情况的检查，2022年我局项目支出绩效自评分</w:t>
      </w:r>
      <w:r>
        <w:rPr>
          <w:rFonts w:hint="eastAsia" w:ascii="仿宋_GB2312" w:eastAsia="仿宋_GB2312"/>
          <w:color w:val="000000"/>
          <w:sz w:val="32"/>
          <w:szCs w:val="32"/>
          <w:highlight w:val="none"/>
          <w:lang w:val="en-US" w:eastAsia="zh-CN"/>
        </w:rPr>
        <w:t>89</w:t>
      </w:r>
      <w:r>
        <w:rPr>
          <w:rFonts w:hint="eastAsia" w:ascii="仿宋_GB2312" w:eastAsia="仿宋_GB2312"/>
          <w:color w:val="000000"/>
          <w:sz w:val="32"/>
          <w:szCs w:val="32"/>
          <w:lang w:val="en-US" w:eastAsia="zh-CN"/>
        </w:rPr>
        <w:t>分，为“良好”等级（附件2-1）。</w:t>
      </w:r>
    </w:p>
    <w:p>
      <w:pPr>
        <w:numPr>
          <w:ilvl w:val="0"/>
          <w:numId w:val="1"/>
        </w:numPr>
        <w:spacing w:line="560" w:lineRule="exact"/>
        <w:ind w:firstLine="602" w:firstLineChars="200"/>
        <w:jc w:val="left"/>
        <w:rPr>
          <w:rFonts w:hint="eastAsia" w:asciiTheme="minorEastAsia" w:hAnsiTheme="minorEastAsia" w:eastAsiaTheme="minorEastAsia"/>
          <w:b/>
          <w:bCs/>
          <w:sz w:val="30"/>
          <w:szCs w:val="30"/>
        </w:rPr>
      </w:pPr>
      <w:r>
        <w:rPr>
          <w:rFonts w:hint="eastAsia" w:asciiTheme="minorEastAsia" w:hAnsiTheme="minorEastAsia" w:eastAsiaTheme="minorEastAsia"/>
          <w:b/>
          <w:bCs/>
          <w:sz w:val="30"/>
          <w:szCs w:val="30"/>
        </w:rPr>
        <w:t>绩效评价指标分析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（一）项目决策情况。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本项目符合社会发展规划和部门年度工作计划，根据实际需要和工作特点制定近期实施计划，为项目的实施提供了较好的方向性指导。</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（二）项目过程情况。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通过执行县委政府的安排，财政预算500万元用于该项目的实施，最终据实结算相关费用支出。同时监督相关部门保质保量完成设施的正常运转</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（三）项目产出情况。</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1、保障一河两岸路灯的改造大于等于100盏。</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2、路灯亮灯率（一）项目决策情况。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本项目符合社会发展规划和部门年度工作计划，根据实际需要和工作特点制定近期实施计划，为项目的实施提供了较好的方向性指导。</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（二）项目过程情况。</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通过执行县委县政府的决策安排，我局安排专人对该项目进行管理和监督，保障该项目能够顺利实施。</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（三）项目产出情况。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1、一河两岸路灯的改造≧100盏。</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2、一河两岸路灯亮化率≧95%。</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3、产生的电费以及运行维护费资金拨付按时按量。</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4、整个项目成本控制在500万元以内。</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（四）项目效益情况。</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通过对该项目的运行，使城区居民有了更美好的居住环境。美化城市周边环境，方便居民夜间出行。该项目能持续运行，能发挥较大作用。通过问卷调查，社会公众满意度≧95%。</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五、主要经验及做法、存在的问题及原因分析</w:t>
      </w:r>
    </w:p>
    <w:p>
      <w:pPr>
        <w:spacing w:line="560" w:lineRule="exact"/>
        <w:ind w:firstLine="640" w:firstLineChars="200"/>
        <w:jc w:val="left"/>
        <w:rPr>
          <w:rFonts w:asciiTheme="minorEastAsia" w:hAnsiTheme="minorEastAsia" w:eastAsiaTheme="minorEastAsia"/>
          <w:b/>
          <w:bCs/>
          <w:sz w:val="30"/>
          <w:szCs w:val="30"/>
        </w:rPr>
      </w:pPr>
      <w:r>
        <w:rPr>
          <w:rFonts w:hint="eastAsia" w:ascii="仿宋_GB2312" w:eastAsia="仿宋_GB2312"/>
          <w:color w:val="000000"/>
          <w:sz w:val="32"/>
          <w:szCs w:val="32"/>
          <w:lang w:val="en-US" w:eastAsia="zh-CN"/>
        </w:rPr>
        <w:t>城市景观亮化应该以人文本，照明设计应成为解读城市、明晰城市空间结构的视觉引导；照明工程的建设定位和建设步骤都应该与政策相匹配；照明工程的运营维护要符合节能标准，在满足照明效果的前提下，合理利用每一份能源，降低能耗和成本。</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六、有关建议</w:t>
      </w:r>
    </w:p>
    <w:p>
      <w:pPr>
        <w:spacing w:line="560" w:lineRule="exact"/>
        <w:ind w:firstLine="600" w:firstLineChars="200"/>
        <w:jc w:val="left"/>
        <w:rPr>
          <w:rFonts w:asciiTheme="minorEastAsia" w:hAnsiTheme="minorEastAsia" w:eastAsiaTheme="minorEastAsia"/>
          <w:bCs/>
          <w:sz w:val="30"/>
          <w:szCs w:val="30"/>
        </w:rPr>
      </w:pPr>
      <w:r>
        <w:rPr>
          <w:rFonts w:hint="eastAsia" w:asciiTheme="minorEastAsia" w:hAnsiTheme="minorEastAsia" w:eastAsiaTheme="minorEastAsia"/>
          <w:bCs/>
          <w:sz w:val="30"/>
          <w:szCs w:val="30"/>
        </w:rPr>
        <w:t>无。</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七、其他需要说明的问题</w:t>
      </w:r>
    </w:p>
    <w:p>
      <w:pPr>
        <w:pStyle w:val="5"/>
        <w:widowControl w:val="0"/>
        <w:spacing w:before="0" w:beforeAutospacing="0" w:after="0" w:afterAutospacing="0" w:line="520" w:lineRule="exact"/>
        <w:ind w:firstLine="600" w:firstLineChars="200"/>
        <w:rPr>
          <w:rFonts w:hint="eastAsia" w:cs="Times New Roman" w:asciiTheme="minorEastAsia" w:hAnsiTheme="minorEastAsia" w:eastAsiaTheme="minorEastAsia"/>
          <w:sz w:val="30"/>
          <w:szCs w:val="30"/>
        </w:rPr>
      </w:pPr>
      <w:r>
        <w:rPr>
          <w:rFonts w:hint="eastAsia" w:cs="Times New Roman" w:asciiTheme="minorEastAsia" w:hAnsiTheme="minorEastAsia" w:eastAsiaTheme="minorEastAsia"/>
          <w:sz w:val="30"/>
          <w:szCs w:val="30"/>
        </w:rPr>
        <w:t>无。</w:t>
      </w:r>
    </w:p>
    <w:p>
      <w:pPr>
        <w:pStyle w:val="5"/>
        <w:widowControl w:val="0"/>
        <w:spacing w:before="0" w:beforeAutospacing="0" w:after="0" w:afterAutospacing="0" w:line="520" w:lineRule="exact"/>
        <w:rPr>
          <w:rFonts w:hint="eastAsia" w:cs="Times New Roman" w:asciiTheme="minorEastAsia" w:hAnsiTheme="minorEastAsia" w:eastAsiaTheme="minorEastAsia"/>
          <w:sz w:val="30"/>
          <w:szCs w:val="30"/>
        </w:rPr>
      </w:pPr>
    </w:p>
    <w:p>
      <w:pPr>
        <w:pStyle w:val="5"/>
        <w:widowControl w:val="0"/>
        <w:spacing w:before="0" w:beforeAutospacing="0" w:after="0" w:afterAutospacing="0" w:line="520" w:lineRule="exact"/>
        <w:ind w:firstLine="600" w:firstLineChars="200"/>
        <w:rPr>
          <w:rFonts w:cs="Times New Roman" w:asciiTheme="minorEastAsia" w:hAnsiTheme="minorEastAsia" w:eastAsiaTheme="minorEastAsia"/>
          <w:sz w:val="30"/>
          <w:szCs w:val="30"/>
        </w:rPr>
      </w:pPr>
    </w:p>
    <w:p>
      <w:pPr>
        <w:ind w:left="8400" w:hanging="8400" w:hangingChars="2800"/>
        <w:rPr>
          <w:rFonts w:asciiTheme="minorEastAsia" w:hAnsiTheme="minorEastAsia" w:eastAsiaTheme="minorEastAsia"/>
          <w:sz w:val="30"/>
          <w:szCs w:val="30"/>
        </w:rPr>
      </w:pPr>
      <w:r>
        <w:rPr>
          <w:rFonts w:asciiTheme="minorEastAsia" w:hAnsiTheme="minorEastAsia" w:eastAsiaTheme="minorEastAsia"/>
          <w:sz w:val="30"/>
          <w:szCs w:val="30"/>
        </w:rPr>
        <w:t xml:space="preserve">                                  </w:t>
      </w:r>
      <w:r>
        <w:rPr>
          <w:rFonts w:hint="eastAsia" w:asciiTheme="minorEastAsia" w:hAnsiTheme="minorEastAsia" w:eastAsiaTheme="minorEastAsia"/>
          <w:sz w:val="30"/>
          <w:szCs w:val="30"/>
        </w:rPr>
        <w:t xml:space="preserve"> </w:t>
      </w:r>
      <w:r>
        <w:rPr>
          <w:rFonts w:asciiTheme="minorEastAsia" w:hAnsiTheme="minorEastAsia" w:eastAsiaTheme="minorEastAsia"/>
          <w:sz w:val="30"/>
          <w:szCs w:val="30"/>
        </w:rPr>
        <w:t xml:space="preserve">   </w:t>
      </w:r>
      <w:r>
        <w:rPr>
          <w:rFonts w:hint="eastAsia" w:asciiTheme="minorEastAsia" w:hAnsiTheme="minorEastAsia" w:eastAsiaTheme="minorEastAsia"/>
          <w:sz w:val="30"/>
          <w:szCs w:val="30"/>
        </w:rPr>
        <w:t xml:space="preserve">  </w:t>
      </w:r>
      <w:r>
        <w:rPr>
          <w:rFonts w:asciiTheme="minorEastAsia" w:hAnsiTheme="minorEastAsia" w:eastAsiaTheme="minorEastAsia"/>
          <w:sz w:val="30"/>
          <w:szCs w:val="30"/>
        </w:rPr>
        <w:t xml:space="preserve">项目单位（签）                        </w:t>
      </w:r>
    </w:p>
    <w:p>
      <w:pPr>
        <w:ind w:right="600"/>
        <w:jc w:val="right"/>
        <w:rPr>
          <w:rFonts w:asciiTheme="minorEastAsia" w:hAnsiTheme="minorEastAsia" w:eastAsiaTheme="minorEastAsia"/>
          <w:sz w:val="30"/>
          <w:szCs w:val="30"/>
        </w:rPr>
      </w:pPr>
      <w:r>
        <w:rPr>
          <w:rFonts w:hint="eastAsia" w:asciiTheme="minorEastAsia" w:hAnsiTheme="minorEastAsia" w:eastAsiaTheme="minorEastAsia"/>
          <w:sz w:val="30"/>
          <w:szCs w:val="30"/>
        </w:rPr>
        <w:t xml:space="preserve"> </w:t>
      </w:r>
      <w:r>
        <w:rPr>
          <w:rFonts w:asciiTheme="minorEastAsia" w:hAnsiTheme="minorEastAsia" w:eastAsiaTheme="minorEastAsia"/>
          <w:sz w:val="30"/>
          <w:szCs w:val="30"/>
        </w:rPr>
        <w:t xml:space="preserve">  </w:t>
      </w:r>
      <w:r>
        <w:rPr>
          <w:rFonts w:hint="eastAsia" w:asciiTheme="minorEastAsia" w:hAnsiTheme="minorEastAsia" w:eastAsiaTheme="minorEastAsia"/>
          <w:sz w:val="30"/>
          <w:szCs w:val="30"/>
        </w:rPr>
        <w:t>5</w:t>
      </w:r>
      <w:r>
        <w:rPr>
          <w:rFonts w:asciiTheme="minorEastAsia" w:hAnsiTheme="minorEastAsia" w:eastAsiaTheme="minorEastAsia"/>
          <w:sz w:val="30"/>
          <w:szCs w:val="30"/>
        </w:rPr>
        <w:t xml:space="preserve"> 月 </w:t>
      </w:r>
      <w:r>
        <w:rPr>
          <w:rFonts w:hint="eastAsia" w:asciiTheme="minorEastAsia" w:hAnsiTheme="minorEastAsia" w:eastAsiaTheme="minorEastAsia"/>
          <w:sz w:val="30"/>
          <w:szCs w:val="30"/>
          <w:lang w:val="en-US" w:eastAsia="zh-CN"/>
        </w:rPr>
        <w:t>18</w:t>
      </w:r>
      <w:r>
        <w:rPr>
          <w:rFonts w:asciiTheme="minorEastAsia" w:hAnsiTheme="minorEastAsia" w:eastAsiaTheme="minorEastAsia"/>
          <w:sz w:val="30"/>
          <w:szCs w:val="30"/>
        </w:rPr>
        <w:t xml:space="preserve"> 日</w:t>
      </w:r>
    </w:p>
    <w:p>
      <w:pPr>
        <w:ind w:right="600"/>
        <w:jc w:val="right"/>
        <w:rPr>
          <w:rFonts w:asciiTheme="minorEastAsia" w:hAnsiTheme="minorEastAsia" w:eastAsiaTheme="minorEastAsia"/>
          <w:sz w:val="30"/>
          <w:szCs w:val="30"/>
        </w:rPr>
      </w:pPr>
    </w:p>
    <w:p>
      <w:pPr>
        <w:ind w:right="600"/>
        <w:jc w:val="right"/>
        <w:rPr>
          <w:rFonts w:asciiTheme="minorEastAsia" w:hAnsiTheme="minorEastAsia" w:eastAsiaTheme="minorEastAsia"/>
          <w:sz w:val="30"/>
          <w:szCs w:val="30"/>
        </w:rPr>
      </w:pPr>
    </w:p>
    <w:p>
      <w:pPr>
        <w:ind w:right="600"/>
        <w:jc w:val="right"/>
        <w:rPr>
          <w:rFonts w:asciiTheme="minorEastAsia" w:hAnsiTheme="minorEastAsia" w:eastAsiaTheme="minorEastAsia"/>
          <w:sz w:val="30"/>
          <w:szCs w:val="30"/>
        </w:rPr>
      </w:pPr>
    </w:p>
    <w:p>
      <w:pPr>
        <w:ind w:right="600"/>
        <w:jc w:val="right"/>
        <w:rPr>
          <w:rFonts w:asciiTheme="minorEastAsia" w:hAnsiTheme="minorEastAsia" w:eastAsiaTheme="minorEastAsia"/>
          <w:sz w:val="30"/>
          <w:szCs w:val="30"/>
        </w:rPr>
      </w:pPr>
    </w:p>
    <w:p>
      <w:pPr>
        <w:ind w:right="600"/>
        <w:jc w:val="right"/>
        <w:rPr>
          <w:rFonts w:asciiTheme="minorEastAsia" w:hAnsiTheme="minorEastAsia" w:eastAsiaTheme="minorEastAsia"/>
          <w:sz w:val="30"/>
          <w:szCs w:val="30"/>
        </w:rPr>
      </w:pPr>
    </w:p>
    <w:p>
      <w:pPr>
        <w:ind w:right="600"/>
        <w:jc w:val="right"/>
        <w:rPr>
          <w:rFonts w:asciiTheme="minorEastAsia" w:hAnsiTheme="minorEastAsia" w:eastAsiaTheme="minorEastAsia"/>
          <w:sz w:val="30"/>
          <w:szCs w:val="30"/>
        </w:rPr>
      </w:pPr>
    </w:p>
    <w:p>
      <w:pPr>
        <w:spacing w:before="100" w:beforeAutospacing="1" w:after="100" w:afterAutospacing="1" w:line="240" w:lineRule="exact"/>
        <w:ind w:left="0"/>
        <w:jc w:val="left"/>
        <w:rPr>
          <w:rFonts w:ascii="仿宋_GB2312" w:hAnsi="仿宋_GB2312" w:eastAsia="仿宋_GB2312" w:cs="仿宋_GB2312"/>
          <w:sz w:val="24"/>
        </w:rPr>
      </w:pPr>
      <w:r>
        <w:rPr>
          <w:rFonts w:hint="eastAsia" w:ascii="仿宋_GB2312" w:hAnsi="仿宋_GB2312" w:eastAsia="仿宋_GB2312" w:cs="仿宋_GB2312"/>
          <w:sz w:val="24"/>
        </w:rPr>
        <w:t>附件2-1</w:t>
      </w:r>
    </w:p>
    <w:p>
      <w:pPr>
        <w:spacing w:line="480" w:lineRule="exact"/>
        <w:jc w:val="center"/>
        <w:rPr>
          <w:rFonts w:eastAsia="方正粗宋简体"/>
          <w:w w:val="85"/>
          <w:sz w:val="44"/>
          <w:szCs w:val="44"/>
        </w:rPr>
      </w:pPr>
      <w:r>
        <w:rPr>
          <w:rFonts w:hint="eastAsia" w:eastAsia="方正粗宋简体"/>
          <w:w w:val="85"/>
          <w:sz w:val="44"/>
          <w:szCs w:val="44"/>
          <w:lang w:eastAsia="zh-CN"/>
        </w:rPr>
        <w:t>2022</w:t>
      </w:r>
      <w:r>
        <w:rPr>
          <w:rFonts w:hAnsi="方正粗宋简体" w:eastAsia="方正粗宋简体"/>
          <w:w w:val="85"/>
          <w:sz w:val="44"/>
          <w:szCs w:val="44"/>
        </w:rPr>
        <w:t>年度新晃县项目</w:t>
      </w:r>
      <w:r>
        <w:rPr>
          <w:rFonts w:hint="eastAsia" w:hAnsi="方正粗宋简体" w:eastAsia="方正粗宋简体"/>
          <w:w w:val="85"/>
          <w:sz w:val="44"/>
          <w:szCs w:val="44"/>
        </w:rPr>
        <w:t>支出</w:t>
      </w:r>
      <w:r>
        <w:rPr>
          <w:rFonts w:hAnsi="方正粗宋简体" w:eastAsia="方正粗宋简体"/>
          <w:w w:val="85"/>
          <w:sz w:val="44"/>
          <w:szCs w:val="44"/>
        </w:rPr>
        <w:t>绩效</w:t>
      </w:r>
      <w:r>
        <w:rPr>
          <w:rFonts w:hint="eastAsia" w:hAnsi="方正粗宋简体" w:eastAsia="方正粗宋简体"/>
          <w:w w:val="85"/>
          <w:sz w:val="44"/>
          <w:szCs w:val="44"/>
        </w:rPr>
        <w:t>自评</w:t>
      </w:r>
      <w:r>
        <w:rPr>
          <w:rFonts w:hAnsi="方正粗宋简体" w:eastAsia="方正粗宋简体"/>
          <w:w w:val="85"/>
          <w:sz w:val="44"/>
          <w:szCs w:val="44"/>
        </w:rPr>
        <w:t>表</w:t>
      </w:r>
    </w:p>
    <w:p>
      <w:pPr>
        <w:spacing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6"/>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项目单位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城市维护费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城市管理和综合执法局</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吴俊达</w:t>
            </w:r>
          </w:p>
        </w:tc>
        <w:tc>
          <w:tcPr>
            <w:tcW w:w="1206"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15115163888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项目资金</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vAlign w:val="center"/>
          </w:tcPr>
          <w:p>
            <w:pPr>
              <w:spacing w:line="320" w:lineRule="exact"/>
              <w:jc w:val="center"/>
              <w:rPr>
                <w:rFonts w:ascii="仿宋_GB2312" w:hAnsi="仿宋_GB2312" w:eastAsia="仿宋_GB2312" w:cs="仿宋_GB2312"/>
                <w:szCs w:val="21"/>
              </w:rPr>
            </w:pP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180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120</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2303" w:type="dxa"/>
            <w:gridSpan w:val="2"/>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120</w:t>
            </w:r>
          </w:p>
        </w:tc>
        <w:tc>
          <w:tcPr>
            <w:tcW w:w="1702"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100</w:t>
            </w:r>
            <w:r>
              <w:rPr>
                <w:rFonts w:hint="eastAsia" w:ascii="仿宋_GB2312" w:hAnsi="仿宋_GB2312" w:eastAsia="仿宋_GB2312" w:cs="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财政复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100</w:t>
            </w:r>
            <w:r>
              <w:rPr>
                <w:rFonts w:hint="eastAsia" w:ascii="仿宋_GB2312" w:hAnsi="仿宋_GB2312" w:eastAsia="仿宋_GB2312" w:cs="仿宋_GB2312"/>
                <w:szCs w:val="21"/>
              </w:rPr>
              <w:t>%。</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本项目建立了项目管理制度，并严格按相关制度执行。</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资金支出</w:t>
            </w:r>
          </w:p>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tcMar>
              <w:top w:w="0" w:type="dxa"/>
              <w:left w:w="105" w:type="dxa"/>
              <w:bottom w:w="0" w:type="dxa"/>
              <w:right w:w="105" w:type="dxa"/>
            </w:tcMar>
            <w:vAlign w:val="center"/>
          </w:tcPr>
          <w:p>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及时对城市里的各项设施进行维护，且项目款按时支付</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25</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tcMar>
              <w:top w:w="0" w:type="dxa"/>
              <w:left w:w="105" w:type="dxa"/>
              <w:bottom w:w="0" w:type="dxa"/>
              <w:right w:w="105" w:type="dxa"/>
            </w:tcMar>
            <w:vAlign w:val="center"/>
          </w:tcPr>
          <w:p>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美化城市，维护公共设施的安全，便利群众生产生活</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17</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服务对象满意度计分：90%</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86</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7433" w:type="dxa"/>
            <w:gridSpan w:val="6"/>
            <w:tcMar>
              <w:top w:w="0" w:type="dxa"/>
              <w:left w:w="105" w:type="dxa"/>
              <w:bottom w:w="0" w:type="dxa"/>
              <w:right w:w="105" w:type="dxa"/>
            </w:tcMar>
            <w:vAlign w:val="center"/>
          </w:tcPr>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xml:space="preserve">□ 优秀  90分≤得分≤100分；    </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pPr>
        <w:spacing w:line="320" w:lineRule="exact"/>
        <w:ind w:left="0"/>
        <w:jc w:val="left"/>
        <w:rPr>
          <w:rFonts w:ascii="华文中宋" w:hAnsi="华文中宋" w:eastAsia="华文中宋"/>
          <w:sz w:val="8"/>
          <w:szCs w:val="10"/>
        </w:rPr>
      </w:pPr>
    </w:p>
    <w:p>
      <w:pPr>
        <w:spacing w:line="320" w:lineRule="exact"/>
        <w:ind w:left="0"/>
        <w:jc w:val="left"/>
        <w:rPr>
          <w:rFonts w:ascii="华文中宋" w:hAnsi="华文中宋" w:eastAsia="华文中宋"/>
          <w:szCs w:val="21"/>
        </w:rPr>
      </w:pPr>
      <w:r>
        <w:rPr>
          <w:rFonts w:hint="eastAsia" w:ascii="宋体" w:hAnsi="宋体" w:cs="宋体"/>
          <w:szCs w:val="21"/>
        </w:rPr>
        <w:t>单</w:t>
      </w:r>
      <w:r>
        <w:rPr>
          <w:rFonts w:hint="eastAsia" w:ascii="Dotum" w:hAnsi="Dotum" w:eastAsia="Dotum" w:cs="Dotum"/>
          <w:szCs w:val="21"/>
        </w:rPr>
        <w:t>位</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ascii="华文中宋" w:hAnsi="华文中宋" w:eastAsia="华文中宋"/>
          <w:szCs w:val="21"/>
        </w:rPr>
        <w:t xml:space="preserve">  </w:t>
      </w:r>
      <w:r>
        <w:rPr>
          <w:rFonts w:hint="eastAsia" w:ascii="华文中宋" w:hAnsi="华文中宋" w:eastAsia="华文中宋"/>
          <w:szCs w:val="21"/>
        </w:rPr>
        <w:t xml:space="preserve">  </w:t>
      </w:r>
      <w:r>
        <w:rPr>
          <w:rFonts w:ascii="华文中宋" w:hAnsi="华文中宋" w:eastAsia="华文中宋"/>
          <w:szCs w:val="21"/>
        </w:rPr>
        <w:t xml:space="preserve">  </w:t>
      </w:r>
      <w:r>
        <w:rPr>
          <w:rFonts w:hint="eastAsia" w:ascii="宋体" w:hAnsi="宋体" w:cs="宋体"/>
          <w:szCs w:val="21"/>
        </w:rPr>
        <w:t>项</w:t>
      </w:r>
      <w:r>
        <w:rPr>
          <w:rFonts w:hint="eastAsia" w:ascii="Dotum" w:hAnsi="Dotum" w:eastAsia="Dotum" w:cs="Dotum"/>
          <w:szCs w:val="21"/>
        </w:rPr>
        <w:t>目</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ascii="华文中宋" w:hAnsi="华文中宋" w:eastAsia="华文中宋"/>
          <w:szCs w:val="21"/>
        </w:rPr>
        <w:t> </w:t>
      </w:r>
      <w:r>
        <w:rPr>
          <w:rFonts w:hint="eastAsia" w:ascii="华文中宋" w:hAnsi="华文中宋" w:eastAsia="华文中宋"/>
          <w:szCs w:val="21"/>
        </w:rPr>
        <w:t xml:space="preserve">      </w:t>
      </w:r>
      <w:r>
        <w:rPr>
          <w:rFonts w:ascii="华文中宋" w:hAnsi="华文中宋" w:eastAsia="华文中宋"/>
          <w:szCs w:val="21"/>
        </w:rPr>
        <w:t xml:space="preserve"> </w:t>
      </w:r>
      <w:r>
        <w:rPr>
          <w:rFonts w:hint="eastAsia" w:ascii="宋体" w:hAnsi="宋体" w:cs="宋体"/>
          <w:szCs w:val="21"/>
        </w:rPr>
        <w:t>填</w:t>
      </w:r>
      <w:r>
        <w:rPr>
          <w:rFonts w:hint="eastAsia" w:ascii="Dotum" w:hAnsi="Dotum" w:eastAsia="Dotum" w:cs="Dotum"/>
          <w:szCs w:val="21"/>
        </w:rPr>
        <w:t>表日期：</w:t>
      </w:r>
      <w:r>
        <w:rPr>
          <w:rFonts w:ascii="华文中宋" w:hAnsi="华文中宋" w:eastAsia="华文中宋"/>
          <w:szCs w:val="21"/>
        </w:rPr>
        <w:t> </w:t>
      </w:r>
      <w:r>
        <w:rPr>
          <w:rFonts w:hint="eastAsia" w:ascii="华文中宋" w:hAnsi="华文中宋" w:eastAsia="华文中宋"/>
          <w:szCs w:val="21"/>
        </w:rPr>
        <w:t>202</w:t>
      </w:r>
      <w:r>
        <w:rPr>
          <w:rFonts w:hint="eastAsia" w:ascii="华文中宋" w:hAnsi="华文中宋" w:eastAsia="华文中宋"/>
          <w:szCs w:val="21"/>
          <w:lang w:val="en-US" w:eastAsia="zh-CN"/>
        </w:rPr>
        <w:t>3</w:t>
      </w:r>
      <w:r>
        <w:rPr>
          <w:rFonts w:hint="eastAsia" w:ascii="华文中宋" w:hAnsi="华文中宋" w:eastAsia="华文中宋"/>
          <w:szCs w:val="21"/>
        </w:rPr>
        <w:t xml:space="preserve"> </w:t>
      </w:r>
      <w:r>
        <w:rPr>
          <w:rFonts w:ascii="华文中宋" w:hAnsi="华文中宋" w:eastAsia="华文中宋"/>
          <w:szCs w:val="21"/>
        </w:rPr>
        <w:t>年</w:t>
      </w:r>
      <w:r>
        <w:rPr>
          <w:rFonts w:hint="eastAsia" w:ascii="华文中宋" w:hAnsi="华文中宋" w:eastAsia="华文中宋"/>
          <w:szCs w:val="21"/>
          <w:lang w:val="en-US" w:eastAsia="zh-CN"/>
        </w:rPr>
        <w:t>5</w:t>
      </w:r>
      <w:r>
        <w:rPr>
          <w:rFonts w:ascii="华文中宋" w:hAnsi="华文中宋" w:eastAsia="华文中宋"/>
          <w:szCs w:val="21"/>
        </w:rPr>
        <w:t xml:space="preserve"> 月</w:t>
      </w:r>
      <w:r>
        <w:rPr>
          <w:rFonts w:hint="eastAsia" w:ascii="华文中宋" w:hAnsi="华文中宋" w:eastAsia="华文中宋"/>
          <w:szCs w:val="21"/>
          <w:lang w:val="en-US" w:eastAsia="zh-CN"/>
        </w:rPr>
        <w:t>18</w:t>
      </w:r>
      <w:r>
        <w:rPr>
          <w:rFonts w:ascii="华文中宋" w:hAnsi="华文中宋" w:eastAsia="华文中宋"/>
          <w:szCs w:val="21"/>
        </w:rPr>
        <w:t xml:space="preserve"> 日</w:t>
      </w:r>
    </w:p>
    <w:p>
      <w:pPr>
        <w:spacing w:before="240" w:line="340" w:lineRule="exact"/>
        <w:ind w:left="0"/>
        <w:jc w:val="left"/>
        <w:rPr>
          <w:rFonts w:asciiTheme="minorEastAsia" w:hAnsiTheme="minorEastAsia" w:eastAsiaTheme="minorEastAsia"/>
          <w:sz w:val="30"/>
          <w:szCs w:val="30"/>
        </w:rPr>
      </w:pPr>
      <w:r>
        <w:rPr>
          <w:rFonts w:hint="eastAsia" w:cs="仿宋_GB2312" w:asciiTheme="minorEastAsia" w:hAnsiTheme="minorEastAsia" w:eastAsiaTheme="minorEastAsia"/>
          <w:sz w:val="30"/>
          <w:szCs w:val="30"/>
        </w:rPr>
        <w:t>附件2-3 </w:t>
      </w:r>
    </w:p>
    <w:p>
      <w:pPr>
        <w:spacing w:line="600" w:lineRule="exact"/>
        <w:jc w:val="center"/>
        <w:rPr>
          <w:rFonts w:asciiTheme="minorEastAsia" w:hAnsiTheme="minorEastAsia" w:eastAsiaTheme="minorEastAsia"/>
          <w:w w:val="85"/>
          <w:sz w:val="30"/>
          <w:szCs w:val="30"/>
        </w:rPr>
      </w:pPr>
      <w:r>
        <w:rPr>
          <w:rFonts w:asciiTheme="minorEastAsia" w:hAnsiTheme="minorEastAsia" w:eastAsiaTheme="minorEastAsia"/>
          <w:w w:val="85"/>
          <w:sz w:val="30"/>
          <w:szCs w:val="30"/>
        </w:rPr>
        <w:t> </w:t>
      </w:r>
      <w:r>
        <w:rPr>
          <w:rFonts w:hint="eastAsia" w:asciiTheme="minorEastAsia" w:hAnsiTheme="minorEastAsia" w:eastAsiaTheme="minorEastAsia"/>
          <w:w w:val="85"/>
          <w:sz w:val="30"/>
          <w:szCs w:val="30"/>
          <w:lang w:eastAsia="zh-CN"/>
        </w:rPr>
        <w:t>2022</w:t>
      </w:r>
      <w:r>
        <w:rPr>
          <w:rFonts w:asciiTheme="minorEastAsia" w:hAnsiTheme="minorEastAsia" w:eastAsiaTheme="minorEastAsia"/>
          <w:w w:val="85"/>
          <w:sz w:val="30"/>
          <w:szCs w:val="30"/>
        </w:rPr>
        <w:t>年度新晃县</w:t>
      </w:r>
      <w:r>
        <w:rPr>
          <w:rFonts w:hint="eastAsia" w:asciiTheme="minorEastAsia" w:hAnsiTheme="minorEastAsia" w:eastAsiaTheme="minorEastAsia"/>
          <w:w w:val="85"/>
          <w:sz w:val="30"/>
          <w:szCs w:val="30"/>
        </w:rPr>
        <w:t>项目</w:t>
      </w:r>
      <w:r>
        <w:rPr>
          <w:rFonts w:asciiTheme="minorEastAsia" w:hAnsiTheme="minorEastAsia" w:eastAsiaTheme="minorEastAsia"/>
          <w:w w:val="85"/>
          <w:sz w:val="30"/>
          <w:szCs w:val="30"/>
        </w:rPr>
        <w:t>支出</w:t>
      </w:r>
      <w:r>
        <w:rPr>
          <w:rFonts w:hint="eastAsia" w:asciiTheme="minorEastAsia" w:hAnsiTheme="minorEastAsia" w:eastAsiaTheme="minorEastAsia"/>
          <w:w w:val="85"/>
          <w:sz w:val="30"/>
          <w:szCs w:val="30"/>
        </w:rPr>
        <w:t>绩效</w:t>
      </w:r>
      <w:r>
        <w:rPr>
          <w:rFonts w:asciiTheme="minorEastAsia" w:hAnsiTheme="minorEastAsia" w:eastAsiaTheme="minorEastAsia"/>
          <w:w w:val="85"/>
          <w:sz w:val="30"/>
          <w:szCs w:val="30"/>
        </w:rPr>
        <w:t>自评报告</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一、基本情况</w:t>
      </w:r>
    </w:p>
    <w:p>
      <w:pPr>
        <w:spacing w:line="560" w:lineRule="exact"/>
        <w:ind w:firstLine="600" w:firstLineChars="200"/>
        <w:jc w:val="left"/>
        <w:rPr>
          <w:rFonts w:asciiTheme="minorEastAsia" w:hAnsiTheme="minorEastAsia" w:eastAsiaTheme="minorEastAsia"/>
          <w:sz w:val="30"/>
          <w:szCs w:val="30"/>
        </w:rPr>
      </w:pPr>
      <w:r>
        <w:rPr>
          <w:rFonts w:hint="eastAsia" w:asciiTheme="minorEastAsia" w:hAnsiTheme="minorEastAsia" w:eastAsiaTheme="minorEastAsia"/>
          <w:sz w:val="30"/>
          <w:szCs w:val="30"/>
        </w:rPr>
        <w:t>（一）项目概况。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城市维护费项目主要是城区内市政维修。为保障该项目的正常实施，财政预算安排金额为120万元。</w:t>
      </w:r>
    </w:p>
    <w:p>
      <w:pPr>
        <w:spacing w:line="560" w:lineRule="exact"/>
        <w:ind w:firstLine="600" w:firstLineChars="200"/>
        <w:jc w:val="left"/>
        <w:rPr>
          <w:rFonts w:asciiTheme="minorEastAsia" w:hAnsiTheme="minorEastAsia" w:eastAsiaTheme="minorEastAsia"/>
          <w:sz w:val="30"/>
          <w:szCs w:val="30"/>
        </w:rPr>
      </w:pPr>
      <w:r>
        <w:rPr>
          <w:rFonts w:hint="eastAsia" w:asciiTheme="minorEastAsia" w:hAnsiTheme="minorEastAsia" w:eastAsiaTheme="minorEastAsia"/>
          <w:sz w:val="30"/>
          <w:szCs w:val="30"/>
        </w:rPr>
        <w:t>（二）项目绩效目标。</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1、对出现破损的市政设施进行修复，保证市政设施正常运作；2、提供市民良好的出行环境。</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二、绩效评价工作开展情况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（一）绩效评价目的、对象和范围。</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2022年度项目绩效的绩效评价,了解2022年度该项目经费的来源、使用和管理情况，项目的组织实施及事后的监督情况;评价该项目经费使用是否达到预期目标,总结经验,分析问题,强化该项目经费的管理,为以后该项目经费管理和预算安排提供参考依据。同时，及时总结经验，分析存在的问题，采取切实措施进一步改进和增强财政支出项目管理，切实提高资金使用效益。</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(二)绩效评价原则、评价指标体系（附表说明）、评价方法、评价标准等。</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1、绩效评价原则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遵循科学、规范、公正、公开和绩效相关性原则。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2、评价指标体系（附表说明）</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2022年度新晃县项目绩效自评计分标准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3、评价方法</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4、评价标准</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（三）绩效评价过程</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晃财绩[2023]24号《关于开展2022年度部门预算支出绩效自评工作的通知》，本次绩效评价重点评价城市维护费项目资金的绩效情况，填报绩效项目自评申报表，在对所有取得的资料进行分析整理的基础上按照规定格式编写绩效评价工作报告，然后按照绩效评价资料清单上报县财政局。</w:t>
      </w:r>
    </w:p>
    <w:p>
      <w:pPr>
        <w:spacing w:line="560" w:lineRule="exact"/>
        <w:ind w:firstLine="643" w:firstLineChars="200"/>
        <w:jc w:val="left"/>
        <w:rPr>
          <w:rFonts w:hint="eastAsia" w:eastAsia="仿宋_GB2312"/>
          <w:b/>
          <w:bCs/>
          <w:sz w:val="32"/>
          <w:szCs w:val="32"/>
        </w:rPr>
      </w:pPr>
      <w:r>
        <w:rPr>
          <w:rFonts w:hint="eastAsia" w:eastAsia="仿宋_GB2312"/>
          <w:b/>
          <w:bCs/>
          <w:sz w:val="32"/>
          <w:szCs w:val="32"/>
        </w:rPr>
        <w:t>三、综合评价情况及评价结论（附相关评分表）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1、完成了预期绩效目标任务</w:t>
      </w:r>
    </w:p>
    <w:p>
      <w:pPr>
        <w:spacing w:line="560" w:lineRule="exact"/>
        <w:ind w:firstLine="640" w:firstLineChars="200"/>
        <w:jc w:val="left"/>
        <w:rPr>
          <w:rFonts w:hint="default" w:asciiTheme="minorEastAsia" w:hAnsiTheme="minorEastAsia" w:eastAsiaTheme="minorEastAsia"/>
          <w:sz w:val="30"/>
          <w:szCs w:val="30"/>
          <w:lang w:val="en-US" w:eastAsia="zh-CN"/>
        </w:rPr>
      </w:pPr>
      <w:r>
        <w:rPr>
          <w:rFonts w:hint="eastAsia" w:ascii="仿宋_GB2312" w:eastAsia="仿宋_GB2312"/>
          <w:color w:val="000000"/>
          <w:sz w:val="32"/>
          <w:szCs w:val="32"/>
          <w:lang w:val="en-US" w:eastAsia="zh-CN"/>
        </w:rPr>
        <w:t>1、对出现破损的市政设施进行修复，保证市政设施正常运作；2、提供市民良好的出行环境。</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2、改善了城市形象,提高了城市品位</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促进市容市貌有了很大的改变,提升了新晃县城区的城市形象，给市民出行提供了良好环境。</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3.项目的可持续性分析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该项目为辖区居民创造一个良好的出行环境和生活环境，项目的可持续性较强。</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根据对我所2022年该项目支出绩效评价指标体系和绩效情况的检查，2022年我该局项目支出绩效自评分</w:t>
      </w:r>
      <w:r>
        <w:rPr>
          <w:rFonts w:hint="eastAsia" w:ascii="仿宋_GB2312" w:eastAsia="仿宋_GB2312"/>
          <w:color w:val="000000"/>
          <w:sz w:val="32"/>
          <w:szCs w:val="32"/>
          <w:highlight w:val="none"/>
          <w:lang w:val="en-US" w:eastAsia="zh-CN"/>
        </w:rPr>
        <w:t>86</w:t>
      </w:r>
      <w:r>
        <w:rPr>
          <w:rFonts w:hint="eastAsia" w:ascii="仿宋_GB2312" w:eastAsia="仿宋_GB2312"/>
          <w:color w:val="000000"/>
          <w:sz w:val="32"/>
          <w:szCs w:val="32"/>
          <w:lang w:val="en-US" w:eastAsia="zh-CN"/>
        </w:rPr>
        <w:t>分，为“良好”等级（附件2-1）。</w:t>
      </w:r>
    </w:p>
    <w:p>
      <w:pPr>
        <w:numPr>
          <w:numId w:val="0"/>
        </w:numPr>
        <w:spacing w:line="560" w:lineRule="exact"/>
        <w:ind w:leftChars="200"/>
        <w:jc w:val="left"/>
        <w:rPr>
          <w:rFonts w:hint="eastAsia" w:asciiTheme="minorEastAsia" w:hAnsiTheme="minorEastAsia" w:eastAsiaTheme="minorEastAsia"/>
          <w:b/>
          <w:bCs/>
          <w:sz w:val="30"/>
          <w:szCs w:val="30"/>
        </w:rPr>
      </w:pPr>
      <w:r>
        <w:rPr>
          <w:rFonts w:hint="eastAsia" w:asciiTheme="minorEastAsia" w:hAnsiTheme="minorEastAsia" w:eastAsiaTheme="minorEastAsia"/>
          <w:b/>
          <w:bCs/>
          <w:sz w:val="30"/>
          <w:szCs w:val="30"/>
          <w:lang w:val="en-US" w:eastAsia="zh-CN"/>
        </w:rPr>
        <w:t>四、</w:t>
      </w:r>
      <w:r>
        <w:rPr>
          <w:rFonts w:hint="eastAsia" w:asciiTheme="minorEastAsia" w:hAnsiTheme="minorEastAsia" w:eastAsiaTheme="minorEastAsia"/>
          <w:b/>
          <w:bCs/>
          <w:sz w:val="30"/>
          <w:szCs w:val="30"/>
        </w:rPr>
        <w:t>绩效评价指标分析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（一）项目决策情况。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本项目符合社会发展规划和部门年度工作计划，根据实际需要和工作特点制定近期实施计划，为项目的实施提供了较好的方向性指导。</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（二）项目过程情况。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通过执行县委政府的安排，财政预算120万元用于该项目的实施，最终据实结算相关费用支出。同时监督相关部门保质保量完成设施的正常运转。</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（三）项目产出情况。</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1、对全城区的各项市政设施进行维护。</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2、路灯亮灯率；</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3、各项设施维修合格率以及及时率达100%；</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4、全年的资金控制在120万元以内。</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（四）项目效益情况。</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通过对该项目的运行，使城区居民有了更美好的居住环境。美化城市周边环境，市政设施对市民产生的投诉率明显降低。该项目能持续运行，能发挥较大作用。通过问卷调查，社会公众满意度≧95%。</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五、主要经验及做法、存在的问题及原因分析</w:t>
      </w:r>
    </w:p>
    <w:p>
      <w:pPr>
        <w:spacing w:line="560" w:lineRule="exact"/>
        <w:ind w:firstLine="600" w:firstLineChars="200"/>
        <w:jc w:val="left"/>
        <w:rPr>
          <w:rFonts w:asciiTheme="minorEastAsia" w:hAnsiTheme="minorEastAsia" w:eastAsiaTheme="minorEastAsia"/>
          <w:b/>
          <w:bCs/>
          <w:sz w:val="30"/>
          <w:szCs w:val="30"/>
        </w:rPr>
      </w:pPr>
      <w:r>
        <w:rPr>
          <w:rFonts w:hint="eastAsia" w:cs="Arial" w:asciiTheme="minorEastAsia" w:hAnsiTheme="minorEastAsia" w:eastAsiaTheme="minorEastAsia"/>
          <w:color w:val="191919"/>
          <w:sz w:val="30"/>
          <w:szCs w:val="30"/>
          <w:shd w:val="clear" w:color="auto" w:fill="FFFFFF"/>
        </w:rPr>
        <w:t>城市的维护在人们的出行中起着举足轻重的作用，加强对市政监督，对人行道无破损、桥梁设施无安全隐患等全面精细化管理。</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六、有关建议</w:t>
      </w:r>
    </w:p>
    <w:p>
      <w:pPr>
        <w:spacing w:line="560" w:lineRule="exact"/>
        <w:ind w:firstLine="600" w:firstLineChars="200"/>
        <w:jc w:val="left"/>
        <w:rPr>
          <w:rFonts w:asciiTheme="minorEastAsia" w:hAnsiTheme="minorEastAsia" w:eastAsiaTheme="minorEastAsia"/>
          <w:bCs/>
          <w:sz w:val="30"/>
          <w:szCs w:val="30"/>
        </w:rPr>
      </w:pPr>
      <w:r>
        <w:rPr>
          <w:rFonts w:hint="eastAsia" w:asciiTheme="minorEastAsia" w:hAnsiTheme="minorEastAsia" w:eastAsiaTheme="minorEastAsia"/>
          <w:bCs/>
          <w:sz w:val="30"/>
          <w:szCs w:val="30"/>
        </w:rPr>
        <w:t>无。</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七、其他需要说明的问题</w:t>
      </w:r>
    </w:p>
    <w:p>
      <w:pPr>
        <w:pStyle w:val="5"/>
        <w:widowControl w:val="0"/>
        <w:spacing w:before="0" w:beforeAutospacing="0" w:after="0" w:afterAutospacing="0" w:line="520" w:lineRule="exact"/>
        <w:ind w:firstLine="600" w:firstLineChars="200"/>
        <w:rPr>
          <w:rFonts w:cs="Times New Roman" w:asciiTheme="minorEastAsia" w:hAnsiTheme="minorEastAsia" w:eastAsiaTheme="minorEastAsia"/>
          <w:sz w:val="30"/>
          <w:szCs w:val="30"/>
        </w:rPr>
      </w:pPr>
      <w:r>
        <w:rPr>
          <w:rFonts w:hint="eastAsia" w:cs="Times New Roman" w:asciiTheme="minorEastAsia" w:hAnsiTheme="minorEastAsia" w:eastAsiaTheme="minorEastAsia"/>
          <w:sz w:val="30"/>
          <w:szCs w:val="30"/>
        </w:rPr>
        <w:t>无。</w:t>
      </w:r>
    </w:p>
    <w:p>
      <w:pPr>
        <w:ind w:left="8400" w:hanging="8400" w:hangingChars="2800"/>
        <w:rPr>
          <w:rFonts w:asciiTheme="minorEastAsia" w:hAnsiTheme="minorEastAsia" w:eastAsiaTheme="minorEastAsia"/>
          <w:sz w:val="30"/>
          <w:szCs w:val="30"/>
        </w:rPr>
      </w:pPr>
      <w:r>
        <w:rPr>
          <w:rFonts w:asciiTheme="minorEastAsia" w:hAnsiTheme="minorEastAsia" w:eastAsiaTheme="minorEastAsia"/>
          <w:sz w:val="30"/>
          <w:szCs w:val="30"/>
        </w:rPr>
        <w:t xml:space="preserve">                                  </w:t>
      </w:r>
      <w:r>
        <w:rPr>
          <w:rFonts w:hint="eastAsia" w:asciiTheme="minorEastAsia" w:hAnsiTheme="minorEastAsia" w:eastAsiaTheme="minorEastAsia"/>
          <w:sz w:val="30"/>
          <w:szCs w:val="30"/>
        </w:rPr>
        <w:t xml:space="preserve"> </w:t>
      </w:r>
      <w:r>
        <w:rPr>
          <w:rFonts w:asciiTheme="minorEastAsia" w:hAnsiTheme="minorEastAsia" w:eastAsiaTheme="minorEastAsia"/>
          <w:sz w:val="30"/>
          <w:szCs w:val="30"/>
        </w:rPr>
        <w:t xml:space="preserve">   </w:t>
      </w:r>
      <w:r>
        <w:rPr>
          <w:rFonts w:hint="eastAsia" w:asciiTheme="minorEastAsia" w:hAnsiTheme="minorEastAsia" w:eastAsiaTheme="minorEastAsia"/>
          <w:sz w:val="30"/>
          <w:szCs w:val="30"/>
        </w:rPr>
        <w:t xml:space="preserve">  </w:t>
      </w:r>
      <w:r>
        <w:rPr>
          <w:rFonts w:asciiTheme="minorEastAsia" w:hAnsiTheme="minorEastAsia" w:eastAsiaTheme="minorEastAsia"/>
          <w:sz w:val="30"/>
          <w:szCs w:val="30"/>
        </w:rPr>
        <w:t xml:space="preserve">项目单位（签）                        </w:t>
      </w:r>
    </w:p>
    <w:p>
      <w:pPr>
        <w:jc w:val="right"/>
        <w:rPr>
          <w:rFonts w:asciiTheme="minorEastAsia" w:hAnsiTheme="minorEastAsia" w:eastAsiaTheme="minorEastAsia"/>
          <w:sz w:val="30"/>
          <w:szCs w:val="30"/>
        </w:rPr>
      </w:pPr>
      <w:r>
        <w:rPr>
          <w:rFonts w:hint="eastAsia" w:asciiTheme="minorEastAsia" w:hAnsiTheme="minorEastAsia" w:eastAsiaTheme="minorEastAsia"/>
          <w:sz w:val="30"/>
          <w:szCs w:val="30"/>
        </w:rPr>
        <w:t>202</w:t>
      </w:r>
      <w:r>
        <w:rPr>
          <w:rFonts w:hint="eastAsia" w:asciiTheme="minorEastAsia" w:hAnsiTheme="minorEastAsia" w:eastAsiaTheme="minorEastAsia"/>
          <w:sz w:val="30"/>
          <w:szCs w:val="30"/>
          <w:lang w:val="en-US" w:eastAsia="zh-CN"/>
        </w:rPr>
        <w:t>3</w:t>
      </w:r>
      <w:r>
        <w:rPr>
          <w:rFonts w:asciiTheme="minorEastAsia" w:hAnsiTheme="minorEastAsia" w:eastAsiaTheme="minorEastAsia"/>
          <w:sz w:val="30"/>
          <w:szCs w:val="30"/>
        </w:rPr>
        <w:t xml:space="preserve">年  </w:t>
      </w:r>
      <w:r>
        <w:rPr>
          <w:rFonts w:hint="eastAsia" w:asciiTheme="minorEastAsia" w:hAnsiTheme="minorEastAsia" w:eastAsiaTheme="minorEastAsia"/>
          <w:sz w:val="30"/>
          <w:szCs w:val="30"/>
        </w:rPr>
        <w:t>5</w:t>
      </w:r>
      <w:r>
        <w:rPr>
          <w:rFonts w:asciiTheme="minorEastAsia" w:hAnsiTheme="minorEastAsia" w:eastAsiaTheme="minorEastAsia"/>
          <w:sz w:val="30"/>
          <w:szCs w:val="30"/>
        </w:rPr>
        <w:t xml:space="preserve"> 月 </w:t>
      </w:r>
      <w:r>
        <w:rPr>
          <w:rFonts w:hint="eastAsia" w:asciiTheme="minorEastAsia" w:hAnsiTheme="minorEastAsia" w:eastAsiaTheme="minorEastAsia"/>
          <w:sz w:val="30"/>
          <w:szCs w:val="30"/>
          <w:lang w:val="en-US" w:eastAsia="zh-CN"/>
        </w:rPr>
        <w:t>18</w:t>
      </w:r>
      <w:r>
        <w:rPr>
          <w:rFonts w:asciiTheme="minorEastAsia" w:hAnsiTheme="minorEastAsia" w:eastAsiaTheme="minorEastAsia"/>
          <w:sz w:val="30"/>
          <w:szCs w:val="30"/>
        </w:rPr>
        <w:t xml:space="preserve"> 日</w:t>
      </w: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ascii="仿宋_GB2312" w:hAnsi="仿宋_GB2312" w:eastAsia="仿宋_GB2312" w:cs="仿宋_GB2312"/>
          <w:sz w:val="24"/>
        </w:rPr>
      </w:pPr>
    </w:p>
    <w:p>
      <w:pPr>
        <w:spacing w:before="100" w:beforeAutospacing="1" w:after="100" w:afterAutospacing="1" w:line="240" w:lineRule="exact"/>
        <w:jc w:val="left"/>
        <w:rPr>
          <w:rFonts w:ascii="仿宋_GB2312" w:hAnsi="仿宋_GB2312" w:eastAsia="仿宋_GB2312" w:cs="仿宋_GB2312"/>
          <w:sz w:val="24"/>
        </w:rPr>
      </w:pPr>
      <w:r>
        <w:rPr>
          <w:rFonts w:hint="eastAsia" w:ascii="仿宋_GB2312" w:hAnsi="仿宋_GB2312" w:eastAsia="仿宋_GB2312" w:cs="仿宋_GB2312"/>
          <w:sz w:val="24"/>
        </w:rPr>
        <w:t>附件2-1</w:t>
      </w:r>
    </w:p>
    <w:p>
      <w:pPr>
        <w:spacing w:line="480" w:lineRule="exact"/>
        <w:jc w:val="center"/>
        <w:rPr>
          <w:rFonts w:eastAsia="方正粗宋简体"/>
          <w:w w:val="85"/>
          <w:sz w:val="44"/>
          <w:szCs w:val="44"/>
        </w:rPr>
      </w:pPr>
      <w:r>
        <w:rPr>
          <w:rFonts w:hint="eastAsia" w:eastAsia="方正粗宋简体"/>
          <w:w w:val="85"/>
          <w:sz w:val="44"/>
          <w:szCs w:val="44"/>
          <w:lang w:eastAsia="zh-CN"/>
        </w:rPr>
        <w:t>2022</w:t>
      </w:r>
      <w:r>
        <w:rPr>
          <w:rFonts w:hAnsi="方正粗宋简体" w:eastAsia="方正粗宋简体"/>
          <w:w w:val="85"/>
          <w:sz w:val="44"/>
          <w:szCs w:val="44"/>
        </w:rPr>
        <w:t>年度新晃县项目</w:t>
      </w:r>
      <w:r>
        <w:rPr>
          <w:rFonts w:hint="eastAsia" w:hAnsi="方正粗宋简体" w:eastAsia="方正粗宋简体"/>
          <w:w w:val="85"/>
          <w:sz w:val="44"/>
          <w:szCs w:val="44"/>
        </w:rPr>
        <w:t>支出</w:t>
      </w:r>
      <w:r>
        <w:rPr>
          <w:rFonts w:hAnsi="方正粗宋简体" w:eastAsia="方正粗宋简体"/>
          <w:w w:val="85"/>
          <w:sz w:val="44"/>
          <w:szCs w:val="44"/>
        </w:rPr>
        <w:t>绩效</w:t>
      </w:r>
      <w:r>
        <w:rPr>
          <w:rFonts w:hint="eastAsia" w:hAnsi="方正粗宋简体" w:eastAsia="方正粗宋简体"/>
          <w:w w:val="85"/>
          <w:sz w:val="44"/>
          <w:szCs w:val="44"/>
        </w:rPr>
        <w:t>自评</w:t>
      </w:r>
      <w:r>
        <w:rPr>
          <w:rFonts w:hAnsi="方正粗宋简体" w:eastAsia="方正粗宋简体"/>
          <w:w w:val="85"/>
          <w:sz w:val="44"/>
          <w:szCs w:val="44"/>
        </w:rPr>
        <w:t>表</w:t>
      </w:r>
    </w:p>
    <w:p>
      <w:pPr>
        <w:spacing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6"/>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项目单位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餐厨垃圾收集处理服务费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城市管理和综合执法局</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吴俊达</w:t>
            </w:r>
          </w:p>
        </w:tc>
        <w:tc>
          <w:tcPr>
            <w:tcW w:w="1206"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15115163888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项目资金</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vAlign w:val="center"/>
          </w:tcPr>
          <w:p>
            <w:pPr>
              <w:spacing w:line="320" w:lineRule="exact"/>
              <w:jc w:val="center"/>
              <w:rPr>
                <w:rFonts w:ascii="仿宋_GB2312" w:hAnsi="仿宋_GB2312" w:eastAsia="仿宋_GB2312" w:cs="仿宋_GB2312"/>
                <w:szCs w:val="21"/>
              </w:rPr>
            </w:pP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180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230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1702"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财政复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100</w:t>
            </w:r>
            <w:r>
              <w:rPr>
                <w:rFonts w:hint="eastAsia" w:ascii="仿宋_GB2312" w:hAnsi="仿宋_GB2312" w:eastAsia="仿宋_GB2312" w:cs="仿宋_GB2312"/>
                <w:szCs w:val="21"/>
              </w:rPr>
              <w:t>%。</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本项目建立项目管理制度，并严格按相关制度执行。</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资金支出</w:t>
            </w:r>
          </w:p>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tcMar>
              <w:top w:w="0" w:type="dxa"/>
              <w:left w:w="105" w:type="dxa"/>
              <w:bottom w:w="0" w:type="dxa"/>
              <w:right w:w="105" w:type="dxa"/>
            </w:tcMar>
            <w:vAlign w:val="center"/>
          </w:tcPr>
          <w:p>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rPr>
              <w:t>按产出数量、产出质量、产出时效以及成本控制</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及时对产生的餐厨拦击进行收集和处理</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23</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tcMar>
              <w:top w:w="0" w:type="dxa"/>
              <w:left w:w="105" w:type="dxa"/>
              <w:bottom w:w="0" w:type="dxa"/>
              <w:right w:w="105" w:type="dxa"/>
            </w:tcMar>
            <w:vAlign w:val="center"/>
          </w:tcPr>
          <w:p>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优化城区环境，便利群众生产生活</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17</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服务对象满意度计分：90%</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88</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7433" w:type="dxa"/>
            <w:gridSpan w:val="6"/>
            <w:tcMar>
              <w:top w:w="0" w:type="dxa"/>
              <w:left w:w="105" w:type="dxa"/>
              <w:bottom w:w="0" w:type="dxa"/>
              <w:right w:w="105" w:type="dxa"/>
            </w:tcMar>
            <w:vAlign w:val="center"/>
          </w:tcPr>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xml:space="preserve">□ 优秀  90分≤得分≤100分；    </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pPr>
        <w:spacing w:line="320" w:lineRule="exact"/>
        <w:ind w:left="0"/>
        <w:jc w:val="left"/>
        <w:rPr>
          <w:rFonts w:ascii="华文中宋" w:hAnsi="华文中宋" w:eastAsia="华文中宋"/>
          <w:szCs w:val="21"/>
        </w:rPr>
      </w:pPr>
      <w:r>
        <w:rPr>
          <w:rFonts w:hint="eastAsia" w:ascii="宋体" w:hAnsi="宋体" w:cs="宋体"/>
          <w:szCs w:val="21"/>
        </w:rPr>
        <w:t>单</w:t>
      </w:r>
      <w:r>
        <w:rPr>
          <w:rFonts w:hint="eastAsia" w:ascii="Dotum" w:hAnsi="Dotum" w:eastAsia="Dotum" w:cs="Dotum"/>
          <w:szCs w:val="21"/>
        </w:rPr>
        <w:t>位</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ascii="华文中宋" w:hAnsi="华文中宋" w:eastAsia="华文中宋"/>
          <w:szCs w:val="21"/>
        </w:rPr>
        <w:t xml:space="preserve">  </w:t>
      </w:r>
      <w:r>
        <w:rPr>
          <w:rFonts w:hint="eastAsia" w:ascii="华文中宋" w:hAnsi="华文中宋" w:eastAsia="华文中宋"/>
          <w:szCs w:val="21"/>
        </w:rPr>
        <w:t xml:space="preserve">   </w:t>
      </w:r>
      <w:r>
        <w:rPr>
          <w:rFonts w:ascii="华文中宋" w:hAnsi="华文中宋" w:eastAsia="华文中宋"/>
          <w:szCs w:val="21"/>
        </w:rPr>
        <w:t xml:space="preserve">    </w:t>
      </w:r>
      <w:r>
        <w:rPr>
          <w:rFonts w:hint="eastAsia" w:ascii="宋体" w:hAnsi="宋体" w:cs="宋体"/>
          <w:szCs w:val="21"/>
        </w:rPr>
        <w:t>项</w:t>
      </w:r>
      <w:r>
        <w:rPr>
          <w:rFonts w:hint="eastAsia" w:ascii="Dotum" w:hAnsi="Dotum" w:eastAsia="Dotum" w:cs="Dotum"/>
          <w:szCs w:val="21"/>
        </w:rPr>
        <w:t>目</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ascii="华文中宋" w:hAnsi="华文中宋" w:eastAsia="华文中宋"/>
          <w:szCs w:val="21"/>
        </w:rPr>
        <w:t> </w:t>
      </w:r>
      <w:r>
        <w:rPr>
          <w:rFonts w:hint="eastAsia" w:ascii="华文中宋" w:hAnsi="华文中宋" w:eastAsia="华文中宋"/>
          <w:szCs w:val="21"/>
        </w:rPr>
        <w:t xml:space="preserve">  </w:t>
      </w:r>
      <w:r>
        <w:rPr>
          <w:rFonts w:ascii="华文中宋" w:hAnsi="华文中宋" w:eastAsia="华文中宋"/>
          <w:szCs w:val="21"/>
        </w:rPr>
        <w:t xml:space="preserve"> </w:t>
      </w:r>
      <w:r>
        <w:rPr>
          <w:rFonts w:hint="eastAsia" w:ascii="宋体" w:hAnsi="宋体" w:cs="宋体"/>
          <w:szCs w:val="21"/>
        </w:rPr>
        <w:t>填</w:t>
      </w:r>
      <w:r>
        <w:rPr>
          <w:rFonts w:hint="eastAsia" w:ascii="Dotum" w:hAnsi="Dotum" w:eastAsia="Dotum" w:cs="Dotum"/>
          <w:szCs w:val="21"/>
        </w:rPr>
        <w:t>表日期：</w:t>
      </w:r>
      <w:r>
        <w:rPr>
          <w:rFonts w:ascii="华文中宋" w:hAnsi="华文中宋" w:eastAsia="华文中宋"/>
          <w:szCs w:val="21"/>
        </w:rPr>
        <w:t> </w:t>
      </w:r>
      <w:r>
        <w:rPr>
          <w:rFonts w:hint="eastAsia" w:ascii="华文中宋" w:hAnsi="华文中宋" w:eastAsia="华文中宋"/>
          <w:szCs w:val="21"/>
        </w:rPr>
        <w:t>202</w:t>
      </w:r>
      <w:r>
        <w:rPr>
          <w:rFonts w:hint="eastAsia" w:ascii="华文中宋" w:hAnsi="华文中宋" w:eastAsia="华文中宋"/>
          <w:szCs w:val="21"/>
          <w:lang w:val="en-US" w:eastAsia="zh-CN"/>
        </w:rPr>
        <w:t>3</w:t>
      </w:r>
      <w:r>
        <w:rPr>
          <w:rFonts w:hint="eastAsia" w:ascii="华文中宋" w:hAnsi="华文中宋" w:eastAsia="华文中宋"/>
          <w:szCs w:val="21"/>
        </w:rPr>
        <w:t xml:space="preserve"> </w:t>
      </w:r>
      <w:r>
        <w:rPr>
          <w:rFonts w:ascii="华文中宋" w:hAnsi="华文中宋" w:eastAsia="华文中宋"/>
          <w:szCs w:val="21"/>
        </w:rPr>
        <w:t>年 </w:t>
      </w:r>
      <w:r>
        <w:rPr>
          <w:rFonts w:hint="eastAsia" w:ascii="华文中宋" w:hAnsi="华文中宋" w:eastAsia="华文中宋"/>
          <w:szCs w:val="21"/>
        </w:rPr>
        <w:t>5</w:t>
      </w:r>
      <w:r>
        <w:rPr>
          <w:rFonts w:ascii="华文中宋" w:hAnsi="华文中宋" w:eastAsia="华文中宋"/>
          <w:szCs w:val="21"/>
        </w:rPr>
        <w:t xml:space="preserve"> </w:t>
      </w:r>
      <w:r>
        <w:rPr>
          <w:rFonts w:hint="eastAsia" w:ascii="华文中宋" w:hAnsi="华文中宋" w:eastAsia="华文中宋"/>
          <w:szCs w:val="21"/>
          <w:lang w:val="en-US" w:eastAsia="zh-CN"/>
        </w:rPr>
        <w:t>月18</w:t>
      </w:r>
      <w:r>
        <w:rPr>
          <w:rFonts w:ascii="华文中宋" w:hAnsi="华文中宋" w:eastAsia="华文中宋"/>
          <w:szCs w:val="21"/>
        </w:rPr>
        <w:t> 日</w:t>
      </w:r>
    </w:p>
    <w:p>
      <w:pPr>
        <w:spacing w:before="240" w:line="340" w:lineRule="exact"/>
        <w:ind w:left="0"/>
        <w:jc w:val="left"/>
        <w:rPr>
          <w:sz w:val="24"/>
        </w:rPr>
      </w:pPr>
      <w:r>
        <w:rPr>
          <w:rFonts w:hint="eastAsia" w:ascii="仿宋_GB2312" w:hAnsi="仿宋_GB2312" w:eastAsia="仿宋_GB2312" w:cs="仿宋_GB2312"/>
          <w:sz w:val="24"/>
        </w:rPr>
        <w:t>附件2-3 </w:t>
      </w:r>
    </w:p>
    <w:p>
      <w:pPr>
        <w:spacing w:line="600" w:lineRule="exact"/>
        <w:jc w:val="center"/>
        <w:rPr>
          <w:rFonts w:hAnsi="方正粗宋简体" w:eastAsia="方正粗宋简体"/>
          <w:w w:val="85"/>
          <w:sz w:val="44"/>
          <w:szCs w:val="44"/>
        </w:rPr>
      </w:pPr>
      <w:r>
        <w:rPr>
          <w:rFonts w:eastAsia="方正粗宋简体"/>
          <w:w w:val="85"/>
          <w:sz w:val="44"/>
          <w:szCs w:val="44"/>
        </w:rPr>
        <w:t> </w:t>
      </w:r>
      <w:r>
        <w:rPr>
          <w:rFonts w:hint="eastAsia" w:eastAsia="方正粗宋简体"/>
          <w:w w:val="85"/>
          <w:sz w:val="44"/>
          <w:szCs w:val="44"/>
          <w:lang w:eastAsia="zh-CN"/>
        </w:rPr>
        <w:t>2022</w:t>
      </w:r>
      <w:r>
        <w:rPr>
          <w:rFonts w:hAnsi="方正粗宋简体" w:eastAsia="方正粗宋简体"/>
          <w:w w:val="85"/>
          <w:sz w:val="44"/>
          <w:szCs w:val="44"/>
        </w:rPr>
        <w:t>年度新晃县</w:t>
      </w:r>
      <w:r>
        <w:rPr>
          <w:rFonts w:hint="eastAsia" w:hAnsi="方正粗宋简体" w:eastAsia="方正粗宋简体"/>
          <w:w w:val="85"/>
          <w:sz w:val="44"/>
          <w:szCs w:val="44"/>
        </w:rPr>
        <w:t>项目</w:t>
      </w:r>
      <w:r>
        <w:rPr>
          <w:rFonts w:hAnsi="方正粗宋简体" w:eastAsia="方正粗宋简体"/>
          <w:w w:val="85"/>
          <w:sz w:val="44"/>
          <w:szCs w:val="44"/>
        </w:rPr>
        <w:t>支出</w:t>
      </w:r>
      <w:r>
        <w:rPr>
          <w:rFonts w:hint="eastAsia" w:hAnsi="方正粗宋简体" w:eastAsia="方正粗宋简体"/>
          <w:w w:val="85"/>
          <w:sz w:val="44"/>
          <w:szCs w:val="44"/>
        </w:rPr>
        <w:t>绩效</w:t>
      </w:r>
      <w:r>
        <w:rPr>
          <w:rFonts w:hAnsi="方正粗宋简体" w:eastAsia="方正粗宋简体"/>
          <w:w w:val="85"/>
          <w:sz w:val="44"/>
          <w:szCs w:val="44"/>
        </w:rPr>
        <w:t>自评报告</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一、基本情况</w:t>
      </w:r>
    </w:p>
    <w:p>
      <w:pPr>
        <w:spacing w:line="600" w:lineRule="exact"/>
        <w:ind w:left="0" w:firstLine="600" w:firstLineChars="200"/>
        <w:textAlignment w:val="auto"/>
        <w:rPr>
          <w:rFonts w:hint="eastAsia" w:ascii="仿宋_GB2312" w:eastAsia="仿宋_GB2312"/>
          <w:color w:val="000000"/>
          <w:sz w:val="32"/>
          <w:szCs w:val="32"/>
          <w:lang w:val="en-US" w:eastAsia="zh-CN"/>
        </w:rPr>
      </w:pPr>
      <w:r>
        <w:rPr>
          <w:rFonts w:hint="eastAsia" w:asciiTheme="minorEastAsia" w:hAnsiTheme="minorEastAsia" w:eastAsiaTheme="minorEastAsia"/>
          <w:sz w:val="30"/>
          <w:szCs w:val="30"/>
        </w:rPr>
        <w:t>（</w:t>
      </w:r>
      <w:r>
        <w:rPr>
          <w:rFonts w:hint="eastAsia" w:ascii="仿宋_GB2312" w:eastAsia="仿宋_GB2312"/>
          <w:color w:val="000000"/>
          <w:sz w:val="32"/>
          <w:szCs w:val="32"/>
          <w:lang w:val="en-US" w:eastAsia="zh-CN"/>
        </w:rPr>
        <w:t>一）项目概况。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餐厨垃圾收集处理服务费项目主要对县城区范围内所有从事餐饮的企业、门店、学校、单位、医院、厂矿工地及乡镇学校等产生的餐厨垃圾进行收集、密闭运输及终端无害化处理。为保障该项目的正常运行，财政预算资金100万元。</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（二）项目绩效目标。</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1、为城区餐厨垃圾提供保洁服务；2、完成餐厨垃圾的清运处理。</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二、绩效评价工作开展情况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（一）绩效评价目的、对象和范围。</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2022年度项目绩效的绩效评价,了解2022年度该项目经费的来源、使用和管理情况，项目的组织实施及事后的监督情况;评价该项目经费使用是否达到预期目标,总结经验,分析问题,强化该项目经费的管理,为以后该项目经费管理和预算安排提供参考依据。同时，及时总结经验，分析存在的问题，采取切实措施进一步改进和增强财政支出项目管理，切实提高资金使用效益。</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(二)绩效评价原则、评价指标体系（附表说明）、评价方法、评价标准等。</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1、绩效评价原则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遵循科学、规范、公正、公开和绩效相关性原则。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2、评价指标体系（附表说明）</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2022年度新晃县项目绩效自评计分标准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3、评价方法</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4、评价标准</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（三）绩效评价过程</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晃财绩[2023]24号《关于开展2022年度部门预算支出绩效自评工作的通知》，本次绩效评价重点评价城市维护费项目资金的绩效情况，填报绩效项目自评申报表，在对所有取得的资料进行分析整理的基础上按照规定格式编写绩效评价工作报告，然后按照绩效评价资料清单上报县财政局。</w:t>
      </w:r>
    </w:p>
    <w:p>
      <w:pPr>
        <w:spacing w:line="560" w:lineRule="exact"/>
        <w:ind w:firstLine="643" w:firstLineChars="200"/>
        <w:jc w:val="left"/>
        <w:rPr>
          <w:rFonts w:hint="eastAsia" w:eastAsia="仿宋_GB2312"/>
          <w:b/>
          <w:bCs/>
          <w:sz w:val="32"/>
          <w:szCs w:val="32"/>
        </w:rPr>
      </w:pPr>
      <w:r>
        <w:rPr>
          <w:rFonts w:hint="eastAsia" w:eastAsia="仿宋_GB2312"/>
          <w:b/>
          <w:bCs/>
          <w:sz w:val="32"/>
          <w:szCs w:val="32"/>
        </w:rPr>
        <w:t>三、综合评价情况及评价结论（附相关评分表）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1、完成了预期绩效目标任务</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1.为城区餐厨垃圾提供保洁服务；2.完成餐厨垃圾的清运处理.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2、改善了城市形象,提高了城市品位</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环境卫生水平提升，促进市容市貌有了很大的改变,提升了新晃县城区的城市形象。</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3.项目的可持续性分析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该项目为辖区居民创造一个良好的卫生环境和生活环境，项目的可持续性较强。</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根据对我所2022年该项目支出绩效评价指标体系和绩效情况的检查，2022年我该局项目支出绩效自评分</w:t>
      </w:r>
      <w:r>
        <w:rPr>
          <w:rFonts w:hint="eastAsia" w:ascii="仿宋_GB2312" w:eastAsia="仿宋_GB2312"/>
          <w:color w:val="000000"/>
          <w:sz w:val="32"/>
          <w:szCs w:val="32"/>
          <w:highlight w:val="none"/>
          <w:lang w:val="en-US" w:eastAsia="zh-CN"/>
        </w:rPr>
        <w:t>88</w:t>
      </w:r>
      <w:r>
        <w:rPr>
          <w:rFonts w:hint="eastAsia" w:ascii="仿宋_GB2312" w:eastAsia="仿宋_GB2312"/>
          <w:color w:val="000000"/>
          <w:sz w:val="32"/>
          <w:szCs w:val="32"/>
          <w:lang w:val="en-US" w:eastAsia="zh-CN"/>
        </w:rPr>
        <w:t>分，为“良好”等级（附件2-1）。</w:t>
      </w:r>
    </w:p>
    <w:p>
      <w:pPr>
        <w:numPr>
          <w:ilvl w:val="0"/>
          <w:numId w:val="0"/>
        </w:numPr>
        <w:spacing w:line="560" w:lineRule="exact"/>
        <w:ind w:leftChars="200"/>
        <w:jc w:val="left"/>
        <w:rPr>
          <w:rFonts w:hint="eastAsia" w:asciiTheme="minorEastAsia" w:hAnsiTheme="minorEastAsia" w:eastAsiaTheme="minorEastAsia"/>
          <w:b/>
          <w:bCs/>
          <w:sz w:val="30"/>
          <w:szCs w:val="30"/>
        </w:rPr>
      </w:pPr>
      <w:r>
        <w:rPr>
          <w:rFonts w:hint="eastAsia" w:asciiTheme="minorEastAsia" w:hAnsiTheme="minorEastAsia" w:eastAsiaTheme="minorEastAsia"/>
          <w:b/>
          <w:bCs/>
          <w:sz w:val="30"/>
          <w:szCs w:val="30"/>
          <w:lang w:val="en-US" w:eastAsia="zh-CN"/>
        </w:rPr>
        <w:t>四、</w:t>
      </w:r>
      <w:r>
        <w:rPr>
          <w:rFonts w:hint="eastAsia" w:asciiTheme="minorEastAsia" w:hAnsiTheme="minorEastAsia" w:eastAsiaTheme="minorEastAsia"/>
          <w:b/>
          <w:bCs/>
          <w:sz w:val="30"/>
          <w:szCs w:val="30"/>
        </w:rPr>
        <w:t>绩效评价指标分析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（一）项目决策情况。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本项目符合社会发展规划和部门年度工作计划，根据实际需要和工作特点制定近期实施计划，为项目的实施提供了较好的方向性指导。</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（二）项目过程情况。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通过执行县委政府的安排，财政预算100万元用于该项目的实施，最终据实结算相关费用支出。同时我局安排专人监督相关部门保质保量完成该项目的正常运转。</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（三）项目产出情况。</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1、对全城区的餐厨垃圾转运量达10吨每天。</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2、全年每天都正常的及时转运并处理；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3、餐厨垃圾处置质量达标；</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4、全年的资金控制在100万元以内。</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（四）项目效益情况。</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对该项目的运行，促进了社会就业和增收，使城区居民有了更美好的居住环境。美化城市周边环境，空气质量、水的质量率提升。市政设施对市民产生的投诉率明显降低。该项目能持续运行，对生态环境能发挥较大作用。通过问卷调查，社会公众满意度≧90%。</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五、主要经验及做法、存在的问题及原因分析</w:t>
      </w:r>
    </w:p>
    <w:p>
      <w:pPr>
        <w:spacing w:line="560" w:lineRule="exact"/>
        <w:ind w:firstLine="640" w:firstLineChars="200"/>
        <w:jc w:val="left"/>
        <w:rPr>
          <w:rFonts w:hint="default" w:asciiTheme="minorEastAsia" w:hAnsiTheme="minorEastAsia" w:eastAsiaTheme="minorEastAsia"/>
          <w:b/>
          <w:bCs/>
          <w:sz w:val="30"/>
          <w:szCs w:val="30"/>
          <w:lang w:val="en-US"/>
        </w:rPr>
      </w:pPr>
      <w:r>
        <w:rPr>
          <w:rFonts w:hint="eastAsia" w:ascii="仿宋_GB2312" w:eastAsia="仿宋_GB2312"/>
          <w:color w:val="000000"/>
          <w:sz w:val="32"/>
          <w:szCs w:val="32"/>
          <w:lang w:val="en-US" w:eastAsia="zh-CN"/>
        </w:rPr>
        <w:t>餐厨垃圾收集处理服务的管理只是城市环境卫生管理工作的一个方面，不完善的餐厨垃圾管理机制对城市环境卫生管理的问题存在着不利的影响。</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六、有关建议</w:t>
      </w:r>
    </w:p>
    <w:p>
      <w:pPr>
        <w:spacing w:line="560" w:lineRule="exact"/>
        <w:ind w:firstLine="600" w:firstLineChars="200"/>
        <w:jc w:val="left"/>
        <w:rPr>
          <w:rFonts w:asciiTheme="minorEastAsia" w:hAnsiTheme="minorEastAsia" w:eastAsiaTheme="minorEastAsia"/>
          <w:bCs/>
          <w:sz w:val="30"/>
          <w:szCs w:val="30"/>
        </w:rPr>
      </w:pPr>
      <w:r>
        <w:rPr>
          <w:rFonts w:hint="eastAsia" w:asciiTheme="minorEastAsia" w:hAnsiTheme="minorEastAsia" w:eastAsiaTheme="minorEastAsia"/>
          <w:bCs/>
          <w:sz w:val="30"/>
          <w:szCs w:val="30"/>
        </w:rPr>
        <w:t>无。</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七、其他需要说明的问题</w:t>
      </w:r>
    </w:p>
    <w:p>
      <w:pPr>
        <w:pStyle w:val="5"/>
        <w:widowControl w:val="0"/>
        <w:spacing w:before="0" w:beforeAutospacing="0" w:after="0" w:afterAutospacing="0" w:line="520" w:lineRule="exact"/>
        <w:ind w:firstLine="600" w:firstLineChars="200"/>
        <w:rPr>
          <w:rFonts w:cs="Times New Roman" w:asciiTheme="minorEastAsia" w:hAnsiTheme="minorEastAsia" w:eastAsiaTheme="minorEastAsia"/>
          <w:sz w:val="30"/>
          <w:szCs w:val="30"/>
        </w:rPr>
      </w:pPr>
      <w:r>
        <w:rPr>
          <w:rFonts w:hint="eastAsia" w:cs="Times New Roman" w:asciiTheme="minorEastAsia" w:hAnsiTheme="minorEastAsia" w:eastAsiaTheme="minorEastAsia"/>
          <w:sz w:val="30"/>
          <w:szCs w:val="30"/>
        </w:rPr>
        <w:t>无。</w:t>
      </w:r>
    </w:p>
    <w:p>
      <w:pPr>
        <w:ind w:left="7840" w:hanging="7840" w:hangingChars="2800"/>
        <w:rPr>
          <w:rFonts w:eastAsia="仿宋_GB2312"/>
          <w:sz w:val="28"/>
          <w:szCs w:val="28"/>
        </w:rPr>
      </w:pP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项目单位（签）                        </w:t>
      </w:r>
    </w:p>
    <w:p>
      <w:pPr>
        <w:ind w:firstLine="5600" w:firstLineChars="2000"/>
        <w:rPr>
          <w:rFonts w:eastAsia="仿宋_GB2312"/>
          <w:sz w:val="28"/>
          <w:szCs w:val="28"/>
        </w:rPr>
      </w:pPr>
      <w:r>
        <w:rPr>
          <w:rFonts w:hint="eastAsia" w:eastAsia="仿宋_GB2312"/>
          <w:sz w:val="28"/>
          <w:szCs w:val="28"/>
        </w:rPr>
        <w:t>202</w:t>
      </w:r>
      <w:r>
        <w:rPr>
          <w:rFonts w:hint="eastAsia" w:eastAsia="仿宋_GB2312"/>
          <w:sz w:val="28"/>
          <w:szCs w:val="28"/>
          <w:lang w:val="en-US" w:eastAsia="zh-CN"/>
        </w:rPr>
        <w:t>3</w:t>
      </w:r>
      <w:r>
        <w:rPr>
          <w:rFonts w:eastAsia="仿宋_GB2312"/>
          <w:sz w:val="28"/>
          <w:szCs w:val="28"/>
        </w:rPr>
        <w:t xml:space="preserve">年  </w:t>
      </w:r>
      <w:r>
        <w:rPr>
          <w:rFonts w:hint="eastAsia" w:eastAsia="仿宋_GB2312"/>
          <w:sz w:val="28"/>
          <w:szCs w:val="28"/>
        </w:rPr>
        <w:t>5</w:t>
      </w:r>
      <w:r>
        <w:rPr>
          <w:rFonts w:eastAsia="仿宋_GB2312"/>
          <w:sz w:val="28"/>
          <w:szCs w:val="28"/>
        </w:rPr>
        <w:t xml:space="preserve"> 月 </w:t>
      </w:r>
      <w:r>
        <w:rPr>
          <w:rFonts w:hint="eastAsia" w:eastAsia="仿宋_GB2312"/>
          <w:sz w:val="28"/>
          <w:szCs w:val="28"/>
          <w:lang w:val="en-US" w:eastAsia="zh-CN"/>
        </w:rPr>
        <w:t>18</w:t>
      </w:r>
      <w:r>
        <w:rPr>
          <w:rFonts w:eastAsia="仿宋_GB2312"/>
          <w:sz w:val="28"/>
          <w:szCs w:val="28"/>
        </w:rPr>
        <w:t xml:space="preserve"> 日</w:t>
      </w:r>
    </w:p>
    <w:p>
      <w:pPr>
        <w:ind w:firstLine="5600" w:firstLineChars="2000"/>
        <w:rPr>
          <w:rFonts w:eastAsia="仿宋_GB2312"/>
          <w:sz w:val="28"/>
          <w:szCs w:val="28"/>
        </w:rPr>
      </w:pPr>
    </w:p>
    <w:p>
      <w:pPr>
        <w:ind w:firstLine="5600" w:firstLineChars="2000"/>
        <w:rPr>
          <w:rFonts w:eastAsia="仿宋_GB2312"/>
          <w:sz w:val="28"/>
          <w:szCs w:val="28"/>
        </w:rPr>
      </w:pPr>
    </w:p>
    <w:p>
      <w:pPr>
        <w:ind w:firstLine="5600" w:firstLineChars="2000"/>
        <w:rPr>
          <w:rFonts w:eastAsia="仿宋_GB2312"/>
          <w:sz w:val="28"/>
          <w:szCs w:val="28"/>
        </w:rPr>
      </w:pPr>
    </w:p>
    <w:p>
      <w:pPr>
        <w:ind w:firstLine="5600" w:firstLineChars="2000"/>
        <w:rPr>
          <w:rFonts w:eastAsia="仿宋_GB2312"/>
          <w:sz w:val="28"/>
          <w:szCs w:val="28"/>
        </w:rPr>
      </w:pPr>
    </w:p>
    <w:p>
      <w:pPr>
        <w:ind w:firstLine="5600" w:firstLineChars="2000"/>
        <w:rPr>
          <w:rFonts w:eastAsia="仿宋_GB2312"/>
          <w:sz w:val="28"/>
          <w:szCs w:val="28"/>
        </w:rPr>
      </w:pPr>
    </w:p>
    <w:p>
      <w:pPr>
        <w:ind w:firstLine="5600" w:firstLineChars="2000"/>
        <w:rPr>
          <w:rFonts w:eastAsia="仿宋_GB2312"/>
          <w:sz w:val="28"/>
          <w:szCs w:val="28"/>
        </w:rPr>
      </w:pPr>
    </w:p>
    <w:p>
      <w:pPr>
        <w:ind w:firstLine="5600" w:firstLineChars="2000"/>
        <w:rPr>
          <w:rFonts w:eastAsia="仿宋_GB2312"/>
          <w:sz w:val="28"/>
          <w:szCs w:val="28"/>
        </w:rPr>
      </w:pPr>
    </w:p>
    <w:p>
      <w:pPr>
        <w:ind w:firstLine="5600" w:firstLineChars="2000"/>
        <w:rPr>
          <w:rFonts w:eastAsia="仿宋_GB2312"/>
          <w:sz w:val="28"/>
          <w:szCs w:val="28"/>
        </w:rPr>
      </w:pPr>
    </w:p>
    <w:p>
      <w:pPr>
        <w:spacing w:before="100" w:beforeAutospacing="1" w:after="100" w:afterAutospacing="1" w:line="240" w:lineRule="exact"/>
        <w:jc w:val="left"/>
        <w:rPr>
          <w:rFonts w:ascii="仿宋_GB2312" w:hAnsi="仿宋_GB2312" w:eastAsia="仿宋_GB2312" w:cs="仿宋_GB2312"/>
          <w:sz w:val="24"/>
        </w:rPr>
      </w:pPr>
      <w:r>
        <w:rPr>
          <w:rFonts w:hint="eastAsia" w:ascii="仿宋_GB2312" w:hAnsi="仿宋_GB2312" w:eastAsia="仿宋_GB2312" w:cs="仿宋_GB2312"/>
          <w:sz w:val="24"/>
        </w:rPr>
        <w:t>附件2-1</w:t>
      </w:r>
    </w:p>
    <w:p>
      <w:pPr>
        <w:spacing w:line="480" w:lineRule="exact"/>
        <w:jc w:val="center"/>
        <w:rPr>
          <w:rFonts w:eastAsia="方正粗宋简体"/>
          <w:w w:val="85"/>
          <w:sz w:val="44"/>
          <w:szCs w:val="44"/>
        </w:rPr>
      </w:pPr>
      <w:r>
        <w:rPr>
          <w:rFonts w:hint="eastAsia" w:eastAsia="方正粗宋简体"/>
          <w:w w:val="85"/>
          <w:sz w:val="44"/>
          <w:szCs w:val="44"/>
          <w:lang w:eastAsia="zh-CN"/>
        </w:rPr>
        <w:t>2022</w:t>
      </w:r>
      <w:r>
        <w:rPr>
          <w:rFonts w:hAnsi="方正粗宋简体" w:eastAsia="方正粗宋简体"/>
          <w:w w:val="85"/>
          <w:sz w:val="44"/>
          <w:szCs w:val="44"/>
        </w:rPr>
        <w:t>年度新晃县项目</w:t>
      </w:r>
      <w:r>
        <w:rPr>
          <w:rFonts w:hint="eastAsia" w:hAnsi="方正粗宋简体" w:eastAsia="方正粗宋简体"/>
          <w:w w:val="85"/>
          <w:sz w:val="44"/>
          <w:szCs w:val="44"/>
        </w:rPr>
        <w:t>支出</w:t>
      </w:r>
      <w:r>
        <w:rPr>
          <w:rFonts w:hAnsi="方正粗宋简体" w:eastAsia="方正粗宋简体"/>
          <w:w w:val="85"/>
          <w:sz w:val="44"/>
          <w:szCs w:val="44"/>
        </w:rPr>
        <w:t>绩效</w:t>
      </w:r>
      <w:r>
        <w:rPr>
          <w:rFonts w:hint="eastAsia" w:hAnsi="方正粗宋简体" w:eastAsia="方正粗宋简体"/>
          <w:w w:val="85"/>
          <w:sz w:val="44"/>
          <w:szCs w:val="44"/>
        </w:rPr>
        <w:t>自评</w:t>
      </w:r>
      <w:r>
        <w:rPr>
          <w:rFonts w:hAnsi="方正粗宋简体" w:eastAsia="方正粗宋简体"/>
          <w:w w:val="85"/>
          <w:sz w:val="44"/>
          <w:szCs w:val="44"/>
        </w:rPr>
        <w:t>表</w:t>
      </w:r>
    </w:p>
    <w:p>
      <w:pPr>
        <w:spacing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6"/>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项目单位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公益性水电及城区路灯维护管养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城市管理和综合执法局</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吴俊达</w:t>
            </w:r>
          </w:p>
        </w:tc>
        <w:tc>
          <w:tcPr>
            <w:tcW w:w="1206"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15115163888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项目资金</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vAlign w:val="center"/>
          </w:tcPr>
          <w:p>
            <w:pPr>
              <w:spacing w:line="320" w:lineRule="exact"/>
              <w:jc w:val="center"/>
              <w:rPr>
                <w:rFonts w:ascii="仿宋_GB2312" w:hAnsi="仿宋_GB2312" w:eastAsia="仿宋_GB2312" w:cs="仿宋_GB2312"/>
                <w:szCs w:val="21"/>
              </w:rPr>
            </w:pP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180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85</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230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8</w:t>
            </w:r>
            <w:r>
              <w:rPr>
                <w:rFonts w:hint="eastAsia" w:ascii="仿宋_GB2312" w:hAnsi="仿宋_GB2312" w:eastAsia="仿宋_GB2312" w:cs="仿宋_GB2312"/>
                <w:szCs w:val="21"/>
              </w:rPr>
              <w:t>1.81</w:t>
            </w:r>
          </w:p>
        </w:tc>
        <w:tc>
          <w:tcPr>
            <w:tcW w:w="1702"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96.2</w:t>
            </w:r>
            <w:r>
              <w:rPr>
                <w:rFonts w:hint="eastAsia" w:ascii="仿宋_GB2312" w:hAnsi="仿宋_GB2312" w:eastAsia="仿宋_GB2312" w:cs="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财政复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96.2</w:t>
            </w:r>
            <w:r>
              <w:rPr>
                <w:rFonts w:hint="eastAsia" w:ascii="仿宋_GB2312" w:hAnsi="仿宋_GB2312" w:eastAsia="仿宋_GB2312" w:cs="仿宋_GB2312"/>
                <w:szCs w:val="21"/>
              </w:rPr>
              <w:t>%</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本项目建立了项目管理制度，并严格按相关制度执行。</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资金支出</w:t>
            </w:r>
          </w:p>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tcMar>
              <w:top w:w="0" w:type="dxa"/>
              <w:left w:w="105" w:type="dxa"/>
              <w:bottom w:w="0" w:type="dxa"/>
              <w:right w:w="105" w:type="dxa"/>
            </w:tcMar>
            <w:vAlign w:val="center"/>
          </w:tcPr>
          <w:p>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城区的公益水费及路灯维护很及时，项目款支付按时按量</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23</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tcMar>
              <w:top w:w="0" w:type="dxa"/>
              <w:left w:w="105" w:type="dxa"/>
              <w:bottom w:w="0" w:type="dxa"/>
              <w:right w:w="105" w:type="dxa"/>
            </w:tcMar>
            <w:vAlign w:val="center"/>
          </w:tcPr>
          <w:p>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便利群里的生产生活。</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17</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服务对象满意度计分：9</w:t>
            </w:r>
            <w:r>
              <w:rPr>
                <w:rFonts w:hint="eastAsia" w:ascii="仿宋_GB2312" w:hAnsi="仿宋_GB2312" w:eastAsia="仿宋_GB2312" w:cs="仿宋_GB2312"/>
                <w:szCs w:val="21"/>
                <w:lang w:val="en-US" w:eastAsia="zh-CN"/>
              </w:rPr>
              <w:t>5</w:t>
            </w:r>
            <w:r>
              <w:rPr>
                <w:rFonts w:hint="eastAsia" w:ascii="仿宋_GB2312" w:hAnsi="仿宋_GB2312" w:eastAsia="仿宋_GB2312" w:cs="仿宋_GB2312"/>
                <w:szCs w:val="21"/>
              </w:rPr>
              <w:t>%</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86</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7433" w:type="dxa"/>
            <w:gridSpan w:val="6"/>
            <w:tcMar>
              <w:top w:w="0" w:type="dxa"/>
              <w:left w:w="105" w:type="dxa"/>
              <w:bottom w:w="0" w:type="dxa"/>
              <w:right w:w="105" w:type="dxa"/>
            </w:tcMar>
            <w:vAlign w:val="center"/>
          </w:tcPr>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pPr>
        <w:spacing w:line="320" w:lineRule="exact"/>
        <w:ind w:left="0"/>
        <w:jc w:val="left"/>
        <w:rPr>
          <w:rFonts w:ascii="华文中宋" w:hAnsi="华文中宋" w:eastAsia="华文中宋"/>
          <w:sz w:val="8"/>
          <w:szCs w:val="10"/>
        </w:rPr>
      </w:pPr>
    </w:p>
    <w:p>
      <w:pPr>
        <w:spacing w:line="320" w:lineRule="exact"/>
        <w:ind w:left="0"/>
        <w:jc w:val="left"/>
        <w:rPr>
          <w:rFonts w:ascii="华文中宋" w:hAnsi="华文中宋" w:eastAsia="华文中宋"/>
          <w:szCs w:val="21"/>
        </w:rPr>
      </w:pPr>
      <w:r>
        <w:rPr>
          <w:rFonts w:hint="eastAsia" w:ascii="宋体" w:hAnsi="宋体" w:cs="宋体"/>
          <w:szCs w:val="21"/>
        </w:rPr>
        <w:t>单</w:t>
      </w:r>
      <w:r>
        <w:rPr>
          <w:rFonts w:hint="eastAsia" w:ascii="Dotum" w:hAnsi="Dotum" w:eastAsia="Dotum" w:cs="Dotum"/>
          <w:szCs w:val="21"/>
        </w:rPr>
        <w:t>位</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ascii="华文中宋" w:hAnsi="华文中宋" w:eastAsia="华文中宋"/>
          <w:szCs w:val="21"/>
        </w:rPr>
        <w:t xml:space="preserve">  </w:t>
      </w:r>
      <w:r>
        <w:rPr>
          <w:rFonts w:hint="eastAsia" w:ascii="华文中宋" w:hAnsi="华文中宋" w:eastAsia="华文中宋"/>
          <w:szCs w:val="21"/>
        </w:rPr>
        <w:t xml:space="preserve">   </w:t>
      </w:r>
      <w:r>
        <w:rPr>
          <w:rFonts w:ascii="华文中宋" w:hAnsi="华文中宋" w:eastAsia="华文中宋"/>
          <w:szCs w:val="21"/>
        </w:rPr>
        <w:t xml:space="preserve">       </w:t>
      </w:r>
      <w:r>
        <w:rPr>
          <w:rFonts w:hint="eastAsia" w:ascii="宋体" w:hAnsi="宋体" w:cs="宋体"/>
          <w:szCs w:val="21"/>
        </w:rPr>
        <w:t>项</w:t>
      </w:r>
      <w:r>
        <w:rPr>
          <w:rFonts w:hint="eastAsia" w:ascii="Dotum" w:hAnsi="Dotum" w:eastAsia="Dotum" w:cs="Dotum"/>
          <w:szCs w:val="21"/>
        </w:rPr>
        <w:t>目</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ascii="华文中宋" w:hAnsi="华文中宋" w:eastAsia="华文中宋"/>
          <w:szCs w:val="21"/>
        </w:rPr>
        <w:t> </w:t>
      </w:r>
      <w:r>
        <w:rPr>
          <w:rFonts w:hint="eastAsia" w:ascii="华文中宋" w:hAnsi="华文中宋" w:eastAsia="华文中宋"/>
          <w:szCs w:val="21"/>
        </w:rPr>
        <w:t xml:space="preserve">    </w:t>
      </w:r>
      <w:r>
        <w:rPr>
          <w:rFonts w:ascii="华文中宋" w:hAnsi="华文中宋" w:eastAsia="华文中宋"/>
          <w:szCs w:val="21"/>
        </w:rPr>
        <w:t xml:space="preserve"> </w:t>
      </w:r>
      <w:r>
        <w:rPr>
          <w:rFonts w:hint="eastAsia" w:ascii="宋体" w:hAnsi="宋体" w:cs="宋体"/>
          <w:szCs w:val="21"/>
        </w:rPr>
        <w:t>填</w:t>
      </w:r>
      <w:r>
        <w:rPr>
          <w:rFonts w:hint="eastAsia" w:ascii="Dotum" w:hAnsi="Dotum" w:eastAsia="Dotum" w:cs="Dotum"/>
          <w:szCs w:val="21"/>
        </w:rPr>
        <w:t>表日期：</w:t>
      </w:r>
      <w:r>
        <w:rPr>
          <w:rFonts w:hint="eastAsia" w:ascii="华文中宋" w:hAnsi="华文中宋" w:eastAsia="华文中宋"/>
          <w:szCs w:val="21"/>
        </w:rPr>
        <w:t>202</w:t>
      </w:r>
      <w:r>
        <w:rPr>
          <w:rFonts w:hint="eastAsia" w:ascii="华文中宋" w:hAnsi="华文中宋" w:eastAsia="华文中宋"/>
          <w:szCs w:val="21"/>
          <w:lang w:val="en-US" w:eastAsia="zh-CN"/>
        </w:rPr>
        <w:t>3</w:t>
      </w:r>
      <w:r>
        <w:rPr>
          <w:rFonts w:hint="eastAsia" w:ascii="华文中宋" w:hAnsi="华文中宋" w:eastAsia="华文中宋"/>
          <w:szCs w:val="21"/>
        </w:rPr>
        <w:t xml:space="preserve"> </w:t>
      </w:r>
      <w:r>
        <w:rPr>
          <w:rFonts w:ascii="华文中宋" w:hAnsi="华文中宋" w:eastAsia="华文中宋"/>
          <w:szCs w:val="21"/>
        </w:rPr>
        <w:t>年</w:t>
      </w:r>
      <w:r>
        <w:rPr>
          <w:rFonts w:hint="eastAsia" w:ascii="华文中宋" w:hAnsi="华文中宋" w:eastAsia="华文中宋"/>
          <w:szCs w:val="21"/>
        </w:rPr>
        <w:t>5</w:t>
      </w:r>
      <w:r>
        <w:rPr>
          <w:rFonts w:ascii="华文中宋" w:hAnsi="华文中宋" w:eastAsia="华文中宋"/>
          <w:szCs w:val="21"/>
        </w:rPr>
        <w:t xml:space="preserve"> 月</w:t>
      </w:r>
      <w:r>
        <w:rPr>
          <w:rFonts w:hint="eastAsia" w:ascii="华文中宋" w:hAnsi="华文中宋" w:eastAsia="华文中宋"/>
          <w:szCs w:val="21"/>
          <w:lang w:val="en-US" w:eastAsia="zh-CN"/>
        </w:rPr>
        <w:t>18</w:t>
      </w:r>
      <w:r>
        <w:rPr>
          <w:rFonts w:ascii="华文中宋" w:hAnsi="华文中宋" w:eastAsia="华文中宋"/>
          <w:szCs w:val="21"/>
        </w:rPr>
        <w:t xml:space="preserve"> 日</w:t>
      </w:r>
    </w:p>
    <w:p>
      <w:pPr>
        <w:spacing w:before="240" w:line="340" w:lineRule="exact"/>
        <w:ind w:left="0"/>
        <w:jc w:val="left"/>
        <w:rPr>
          <w:rFonts w:hint="eastAsia" w:cs="仿宋_GB2312" w:asciiTheme="minorEastAsia" w:hAnsiTheme="minorEastAsia" w:eastAsiaTheme="minorEastAsia"/>
          <w:sz w:val="30"/>
          <w:szCs w:val="30"/>
        </w:rPr>
      </w:pPr>
    </w:p>
    <w:p>
      <w:pPr>
        <w:spacing w:before="240" w:line="340" w:lineRule="exact"/>
        <w:ind w:left="0"/>
        <w:jc w:val="left"/>
        <w:rPr>
          <w:rFonts w:hint="eastAsia" w:cs="仿宋_GB2312" w:asciiTheme="minorEastAsia" w:hAnsiTheme="minorEastAsia" w:eastAsiaTheme="minorEastAsia"/>
          <w:sz w:val="30"/>
          <w:szCs w:val="30"/>
        </w:rPr>
      </w:pPr>
    </w:p>
    <w:p>
      <w:pPr>
        <w:spacing w:before="240" w:line="340" w:lineRule="exact"/>
        <w:ind w:left="0"/>
        <w:jc w:val="left"/>
        <w:rPr>
          <w:rFonts w:hint="eastAsia" w:cs="仿宋_GB2312" w:asciiTheme="minorEastAsia" w:hAnsiTheme="minorEastAsia" w:eastAsiaTheme="minorEastAsia"/>
          <w:sz w:val="30"/>
          <w:szCs w:val="30"/>
        </w:rPr>
      </w:pPr>
    </w:p>
    <w:p>
      <w:pPr>
        <w:spacing w:before="240" w:line="340" w:lineRule="exact"/>
        <w:ind w:left="0"/>
        <w:jc w:val="left"/>
        <w:rPr>
          <w:rFonts w:asciiTheme="minorEastAsia" w:hAnsiTheme="minorEastAsia" w:eastAsiaTheme="minorEastAsia"/>
          <w:sz w:val="30"/>
          <w:szCs w:val="30"/>
        </w:rPr>
      </w:pPr>
      <w:r>
        <w:rPr>
          <w:rFonts w:hint="eastAsia" w:cs="仿宋_GB2312" w:asciiTheme="minorEastAsia" w:hAnsiTheme="minorEastAsia" w:eastAsiaTheme="minorEastAsia"/>
          <w:sz w:val="30"/>
          <w:szCs w:val="30"/>
        </w:rPr>
        <w:t>附件2-3 </w:t>
      </w:r>
    </w:p>
    <w:p>
      <w:pPr>
        <w:spacing w:line="600" w:lineRule="exact"/>
        <w:jc w:val="center"/>
        <w:rPr>
          <w:rFonts w:asciiTheme="minorEastAsia" w:hAnsiTheme="minorEastAsia" w:eastAsiaTheme="minorEastAsia"/>
          <w:w w:val="85"/>
          <w:sz w:val="30"/>
          <w:szCs w:val="30"/>
        </w:rPr>
      </w:pPr>
      <w:r>
        <w:rPr>
          <w:rFonts w:asciiTheme="minorEastAsia" w:hAnsiTheme="minorEastAsia" w:eastAsiaTheme="minorEastAsia"/>
          <w:w w:val="85"/>
          <w:sz w:val="30"/>
          <w:szCs w:val="30"/>
        </w:rPr>
        <w:t> </w:t>
      </w:r>
      <w:r>
        <w:rPr>
          <w:rFonts w:hint="eastAsia" w:asciiTheme="minorEastAsia" w:hAnsiTheme="minorEastAsia" w:eastAsiaTheme="minorEastAsia"/>
          <w:w w:val="85"/>
          <w:sz w:val="30"/>
          <w:szCs w:val="30"/>
          <w:lang w:eastAsia="zh-CN"/>
        </w:rPr>
        <w:t>2022</w:t>
      </w:r>
      <w:r>
        <w:rPr>
          <w:rFonts w:asciiTheme="minorEastAsia" w:hAnsiTheme="minorEastAsia" w:eastAsiaTheme="minorEastAsia"/>
          <w:w w:val="85"/>
          <w:sz w:val="30"/>
          <w:szCs w:val="30"/>
        </w:rPr>
        <w:t>年度新晃县</w:t>
      </w:r>
      <w:r>
        <w:rPr>
          <w:rFonts w:hint="eastAsia" w:asciiTheme="minorEastAsia" w:hAnsiTheme="minorEastAsia" w:eastAsiaTheme="minorEastAsia"/>
          <w:w w:val="85"/>
          <w:sz w:val="30"/>
          <w:szCs w:val="30"/>
        </w:rPr>
        <w:t>项目</w:t>
      </w:r>
      <w:r>
        <w:rPr>
          <w:rFonts w:asciiTheme="minorEastAsia" w:hAnsiTheme="minorEastAsia" w:eastAsiaTheme="minorEastAsia"/>
          <w:w w:val="85"/>
          <w:sz w:val="30"/>
          <w:szCs w:val="30"/>
        </w:rPr>
        <w:t>支出</w:t>
      </w:r>
      <w:r>
        <w:rPr>
          <w:rFonts w:hint="eastAsia" w:asciiTheme="minorEastAsia" w:hAnsiTheme="minorEastAsia" w:eastAsiaTheme="minorEastAsia"/>
          <w:w w:val="85"/>
          <w:sz w:val="30"/>
          <w:szCs w:val="30"/>
        </w:rPr>
        <w:t>绩效</w:t>
      </w:r>
      <w:r>
        <w:rPr>
          <w:rFonts w:asciiTheme="minorEastAsia" w:hAnsiTheme="minorEastAsia" w:eastAsiaTheme="minorEastAsia"/>
          <w:w w:val="85"/>
          <w:sz w:val="30"/>
          <w:szCs w:val="30"/>
        </w:rPr>
        <w:t>自评报告</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一、基本情况</w:t>
      </w:r>
    </w:p>
    <w:p>
      <w:pPr>
        <w:spacing w:line="600" w:lineRule="exact"/>
        <w:ind w:left="0" w:firstLine="600" w:firstLineChars="200"/>
        <w:textAlignment w:val="auto"/>
        <w:rPr>
          <w:rFonts w:hint="eastAsia" w:ascii="仿宋_GB2312" w:eastAsia="仿宋_GB2312"/>
          <w:color w:val="000000"/>
          <w:sz w:val="32"/>
          <w:szCs w:val="32"/>
          <w:lang w:val="en-US" w:eastAsia="zh-CN"/>
        </w:rPr>
      </w:pPr>
      <w:r>
        <w:rPr>
          <w:rFonts w:hint="eastAsia" w:asciiTheme="minorEastAsia" w:hAnsiTheme="minorEastAsia" w:eastAsiaTheme="minorEastAsia"/>
          <w:sz w:val="30"/>
          <w:szCs w:val="30"/>
        </w:rPr>
        <w:t>（</w:t>
      </w:r>
      <w:r>
        <w:rPr>
          <w:rFonts w:hint="eastAsia" w:ascii="仿宋_GB2312" w:eastAsia="仿宋_GB2312"/>
          <w:color w:val="000000"/>
          <w:sz w:val="32"/>
          <w:szCs w:val="32"/>
          <w:lang w:val="en-US" w:eastAsia="zh-CN"/>
        </w:rPr>
        <w:t>一）项目概况。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公益性水电及城区路灯维护管养项目主要用于保障城市公益水电和城区路灯维护正常运行。</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（二）项目绩效目标。</w:t>
      </w:r>
    </w:p>
    <w:p>
      <w:pPr>
        <w:spacing w:line="600" w:lineRule="exact"/>
        <w:ind w:left="0" w:firstLine="640" w:firstLineChars="200"/>
        <w:textAlignment w:val="auto"/>
        <w:rPr>
          <w:rFonts w:cs="仿宋_GB2312" w:asciiTheme="minorEastAsia" w:hAnsiTheme="minorEastAsia" w:eastAsiaTheme="minorEastAsia"/>
          <w:sz w:val="30"/>
          <w:szCs w:val="30"/>
        </w:rPr>
      </w:pPr>
      <w:r>
        <w:rPr>
          <w:rFonts w:hint="eastAsia" w:ascii="仿宋_GB2312" w:eastAsia="仿宋_GB2312"/>
          <w:color w:val="000000"/>
          <w:sz w:val="32"/>
          <w:szCs w:val="32"/>
          <w:lang w:val="en-US" w:eastAsia="zh-CN"/>
        </w:rPr>
        <w:t>主要用于保障城市公益水电和城区路灯维护正常运行。</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二、绩效评价工作开展情况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（一）绩效评价目的、对象和范围。</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2022年度项目绩效的绩效评价,了解2022年度该项目经费的来源、使用和管理情况，项目的组织实施及事后的监督情况;评价该项目经费使用是否达到预期目标,总结经验,分析问题,强化该项目经费的管理,为以后该项目经费管理和预算安排提供参考依据。同时，及时总结经验，分析存在的问题，采取切实措施进一步改进和增强财政支出项目管理，切实提高资金使用效益。</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(二)绩效评价原则、评价指标体系（附表说明）、评价方法、评价标准等。</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1、绩效评价原则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遵循科学、规范、公正、公开和绩效相关性原则。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2、评价指标体系（附表说明）</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2022年度新晃县项目绩效自评计分标准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3、评价方法</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4、评价标准</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（三）绩效评价过程</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晃财绩[2023]24号《关于开展2022年度部门预算支出绩效自评工作的通知》，本次绩效评价重点评价公益性水电及城区路灯维护管养项目资金的绩效情况，填报绩效项目自评申报表，在对所有取得的资料进行分析整理的基础上按照规定格式编写绩效评价工作报告，然后按照绩效评价资料清单上报县财政局。</w:t>
      </w:r>
    </w:p>
    <w:p>
      <w:pPr>
        <w:spacing w:line="560" w:lineRule="exact"/>
        <w:ind w:firstLine="643" w:firstLineChars="200"/>
        <w:jc w:val="left"/>
        <w:rPr>
          <w:rFonts w:hint="eastAsia" w:eastAsia="仿宋_GB2312"/>
          <w:b/>
          <w:bCs/>
          <w:sz w:val="32"/>
          <w:szCs w:val="32"/>
        </w:rPr>
      </w:pPr>
      <w:r>
        <w:rPr>
          <w:rFonts w:hint="eastAsia" w:eastAsia="仿宋_GB2312"/>
          <w:b/>
          <w:bCs/>
          <w:sz w:val="32"/>
          <w:szCs w:val="32"/>
        </w:rPr>
        <w:t>三、综合评价情况及评价结论（附相关评分表）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1、完成了预期绩效目标任务</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保障城市公益水电和城区路灯正常运行。</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2、改善了城市形象,提高了城市品位</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保障了城市公益水电和城区路灯正常运行，促进市容市貌有了很大的改变,提升了新晃县城区的城市形象。</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3.项目的可持续性分析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该项目为辖区居民创造一个良好社会生活环境，项目的可持续性较强。</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根据对我所2022年该项目支出绩效评价指标体系和绩效情况的检查，2022年我该局项目支出绩效自评分</w:t>
      </w:r>
      <w:r>
        <w:rPr>
          <w:rFonts w:hint="eastAsia" w:ascii="仿宋_GB2312" w:eastAsia="仿宋_GB2312"/>
          <w:color w:val="000000"/>
          <w:sz w:val="32"/>
          <w:szCs w:val="32"/>
          <w:highlight w:val="none"/>
          <w:lang w:val="en-US" w:eastAsia="zh-CN"/>
        </w:rPr>
        <w:t>86</w:t>
      </w:r>
      <w:r>
        <w:rPr>
          <w:rFonts w:hint="eastAsia" w:ascii="仿宋_GB2312" w:eastAsia="仿宋_GB2312"/>
          <w:color w:val="000000"/>
          <w:sz w:val="32"/>
          <w:szCs w:val="32"/>
          <w:lang w:val="en-US" w:eastAsia="zh-CN"/>
        </w:rPr>
        <w:t>分，为“良好”等级（附件2-1）。</w:t>
      </w:r>
    </w:p>
    <w:p>
      <w:pPr>
        <w:numPr>
          <w:ilvl w:val="0"/>
          <w:numId w:val="0"/>
        </w:numPr>
        <w:spacing w:line="560" w:lineRule="exact"/>
        <w:ind w:leftChars="200"/>
        <w:jc w:val="left"/>
        <w:rPr>
          <w:rFonts w:hint="eastAsia" w:asciiTheme="minorEastAsia" w:hAnsiTheme="minorEastAsia" w:eastAsiaTheme="minorEastAsia"/>
          <w:b/>
          <w:bCs/>
          <w:sz w:val="30"/>
          <w:szCs w:val="30"/>
        </w:rPr>
      </w:pPr>
      <w:r>
        <w:rPr>
          <w:rFonts w:hint="eastAsia" w:asciiTheme="minorEastAsia" w:hAnsiTheme="minorEastAsia" w:eastAsiaTheme="minorEastAsia"/>
          <w:b/>
          <w:bCs/>
          <w:sz w:val="30"/>
          <w:szCs w:val="30"/>
          <w:lang w:val="en-US" w:eastAsia="zh-CN"/>
        </w:rPr>
        <w:t>四、</w:t>
      </w:r>
      <w:r>
        <w:rPr>
          <w:rFonts w:hint="eastAsia" w:asciiTheme="minorEastAsia" w:hAnsiTheme="minorEastAsia" w:eastAsiaTheme="minorEastAsia"/>
          <w:b/>
          <w:bCs/>
          <w:sz w:val="30"/>
          <w:szCs w:val="30"/>
        </w:rPr>
        <w:t>绩效评价指标分析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（一）项目决策情况。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本项目符合社会发展规划和部门年度工作计划，根据实际需要和工作特点制定近期实施计划，为项目的实施提供了较好的方向性指导。</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（二）项目过程情况。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通过执行县委政府的安排，财政预算85万元用于该项目的实施，最终据实结算相关费用支出。同时我局安排专人监督相关部门保质保量完成该项目的正常运转。</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（三）项目产出情况。</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1、路灯电费和用水量使用率≧98%。</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2、保障路灯亮灯率≧95%；</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3、全年的资金控制在85万元以内且及时拨付到位。</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（四）项目效益情况。</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通过对该项目的运行，保障城市水电正常运行率≧98%，使城区居民有了更美好的居住环境。该项目能持续运行，对市民的生产生活能发挥较大作用。通过问卷调查，社会公众满意度≧95%。</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五、主要经验及做法、存在的问题及原因分析</w:t>
      </w:r>
    </w:p>
    <w:p>
      <w:pPr>
        <w:spacing w:line="560" w:lineRule="exact"/>
        <w:ind w:firstLine="600" w:firstLineChars="200"/>
        <w:jc w:val="left"/>
        <w:rPr>
          <w:rFonts w:asciiTheme="minorEastAsia" w:hAnsiTheme="minorEastAsia" w:eastAsiaTheme="minorEastAsia"/>
          <w:b/>
          <w:bCs/>
          <w:sz w:val="30"/>
          <w:szCs w:val="30"/>
        </w:rPr>
      </w:pPr>
      <w:r>
        <w:rPr>
          <w:rFonts w:hint="eastAsia" w:cs="仿宋_GB2312" w:asciiTheme="minorEastAsia" w:hAnsiTheme="minorEastAsia" w:eastAsiaTheme="minorEastAsia"/>
          <w:sz w:val="30"/>
          <w:szCs w:val="30"/>
        </w:rPr>
        <w:t>无。</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六、有关建议</w:t>
      </w:r>
    </w:p>
    <w:p>
      <w:pPr>
        <w:spacing w:line="560" w:lineRule="exact"/>
        <w:ind w:firstLine="600" w:firstLineChars="200"/>
        <w:jc w:val="left"/>
        <w:rPr>
          <w:rFonts w:asciiTheme="minorEastAsia" w:hAnsiTheme="minorEastAsia" w:eastAsiaTheme="minorEastAsia"/>
          <w:bCs/>
          <w:sz w:val="30"/>
          <w:szCs w:val="30"/>
        </w:rPr>
      </w:pPr>
      <w:r>
        <w:rPr>
          <w:rFonts w:hint="eastAsia" w:asciiTheme="minorEastAsia" w:hAnsiTheme="minorEastAsia" w:eastAsiaTheme="minorEastAsia"/>
          <w:bCs/>
          <w:sz w:val="30"/>
          <w:szCs w:val="30"/>
        </w:rPr>
        <w:t>无。</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七、其他需要说明的问题</w:t>
      </w:r>
    </w:p>
    <w:p>
      <w:pPr>
        <w:pStyle w:val="5"/>
        <w:widowControl w:val="0"/>
        <w:spacing w:before="0" w:beforeAutospacing="0" w:after="0" w:afterAutospacing="0" w:line="520" w:lineRule="exact"/>
        <w:ind w:firstLine="600" w:firstLineChars="200"/>
        <w:rPr>
          <w:rFonts w:hint="eastAsia" w:cs="Times New Roman" w:asciiTheme="minorEastAsia" w:hAnsiTheme="minorEastAsia" w:eastAsiaTheme="minorEastAsia"/>
          <w:sz w:val="30"/>
          <w:szCs w:val="30"/>
        </w:rPr>
      </w:pPr>
      <w:r>
        <w:rPr>
          <w:rFonts w:hint="eastAsia" w:cs="Times New Roman" w:asciiTheme="minorEastAsia" w:hAnsiTheme="minorEastAsia" w:eastAsiaTheme="minorEastAsia"/>
          <w:sz w:val="30"/>
          <w:szCs w:val="30"/>
        </w:rPr>
        <w:t>无。</w:t>
      </w:r>
    </w:p>
    <w:p>
      <w:pPr>
        <w:pStyle w:val="5"/>
        <w:widowControl w:val="0"/>
        <w:spacing w:before="0" w:beforeAutospacing="0" w:after="0" w:afterAutospacing="0" w:line="520" w:lineRule="exact"/>
        <w:ind w:firstLine="600" w:firstLineChars="200"/>
        <w:rPr>
          <w:rFonts w:hint="eastAsia" w:cs="Times New Roman" w:asciiTheme="minorEastAsia" w:hAnsiTheme="minorEastAsia" w:eastAsiaTheme="minorEastAsia"/>
          <w:sz w:val="30"/>
          <w:szCs w:val="30"/>
        </w:rPr>
      </w:pPr>
    </w:p>
    <w:p>
      <w:pPr>
        <w:pStyle w:val="5"/>
        <w:widowControl w:val="0"/>
        <w:spacing w:before="0" w:beforeAutospacing="0" w:after="0" w:afterAutospacing="0" w:line="520" w:lineRule="exact"/>
        <w:ind w:firstLine="600" w:firstLineChars="200"/>
        <w:rPr>
          <w:rFonts w:cs="Times New Roman" w:asciiTheme="minorEastAsia" w:hAnsiTheme="minorEastAsia" w:eastAsiaTheme="minorEastAsia"/>
          <w:sz w:val="30"/>
          <w:szCs w:val="30"/>
        </w:rPr>
      </w:pPr>
    </w:p>
    <w:p>
      <w:pPr>
        <w:ind w:left="8400" w:hanging="8400" w:hangingChars="2800"/>
        <w:rPr>
          <w:rFonts w:asciiTheme="minorEastAsia" w:hAnsiTheme="minorEastAsia" w:eastAsiaTheme="minorEastAsia"/>
          <w:sz w:val="30"/>
          <w:szCs w:val="30"/>
        </w:rPr>
      </w:pPr>
      <w:r>
        <w:rPr>
          <w:rFonts w:asciiTheme="minorEastAsia" w:hAnsiTheme="minorEastAsia" w:eastAsiaTheme="minorEastAsia"/>
          <w:sz w:val="30"/>
          <w:szCs w:val="30"/>
        </w:rPr>
        <w:t xml:space="preserve">                                  </w:t>
      </w:r>
      <w:r>
        <w:rPr>
          <w:rFonts w:hint="eastAsia" w:asciiTheme="minorEastAsia" w:hAnsiTheme="minorEastAsia" w:eastAsiaTheme="minorEastAsia"/>
          <w:sz w:val="30"/>
          <w:szCs w:val="30"/>
        </w:rPr>
        <w:t xml:space="preserve"> </w:t>
      </w:r>
      <w:r>
        <w:rPr>
          <w:rFonts w:asciiTheme="minorEastAsia" w:hAnsiTheme="minorEastAsia" w:eastAsiaTheme="minorEastAsia"/>
          <w:sz w:val="30"/>
          <w:szCs w:val="30"/>
        </w:rPr>
        <w:t xml:space="preserve">   </w:t>
      </w:r>
      <w:r>
        <w:rPr>
          <w:rFonts w:hint="eastAsia" w:asciiTheme="minorEastAsia" w:hAnsiTheme="minorEastAsia" w:eastAsiaTheme="minorEastAsia"/>
          <w:sz w:val="30"/>
          <w:szCs w:val="30"/>
        </w:rPr>
        <w:t xml:space="preserve">  </w:t>
      </w:r>
      <w:r>
        <w:rPr>
          <w:rFonts w:asciiTheme="minorEastAsia" w:hAnsiTheme="minorEastAsia" w:eastAsiaTheme="minorEastAsia"/>
          <w:sz w:val="30"/>
          <w:szCs w:val="30"/>
        </w:rPr>
        <w:t xml:space="preserve">项目单位（签）                        </w:t>
      </w:r>
    </w:p>
    <w:p>
      <w:pPr>
        <w:jc w:val="right"/>
        <w:rPr>
          <w:rFonts w:asciiTheme="minorEastAsia" w:hAnsiTheme="minorEastAsia" w:eastAsiaTheme="minorEastAsia"/>
          <w:sz w:val="30"/>
          <w:szCs w:val="30"/>
        </w:rPr>
      </w:pPr>
      <w:r>
        <w:rPr>
          <w:rFonts w:hint="eastAsia" w:asciiTheme="minorEastAsia" w:hAnsiTheme="minorEastAsia" w:eastAsiaTheme="minorEastAsia"/>
          <w:sz w:val="30"/>
          <w:szCs w:val="30"/>
        </w:rPr>
        <w:t>202</w:t>
      </w:r>
      <w:r>
        <w:rPr>
          <w:rFonts w:hint="eastAsia" w:asciiTheme="minorEastAsia" w:hAnsiTheme="minorEastAsia" w:eastAsiaTheme="minorEastAsia"/>
          <w:sz w:val="30"/>
          <w:szCs w:val="30"/>
          <w:lang w:val="en-US" w:eastAsia="zh-CN"/>
        </w:rPr>
        <w:t>3</w:t>
      </w:r>
      <w:r>
        <w:rPr>
          <w:rFonts w:asciiTheme="minorEastAsia" w:hAnsiTheme="minorEastAsia" w:eastAsiaTheme="minorEastAsia"/>
          <w:sz w:val="30"/>
          <w:szCs w:val="30"/>
        </w:rPr>
        <w:t>年</w:t>
      </w:r>
      <w:r>
        <w:rPr>
          <w:rFonts w:hint="eastAsia" w:asciiTheme="minorEastAsia" w:hAnsiTheme="minorEastAsia" w:eastAsiaTheme="minorEastAsia"/>
          <w:sz w:val="30"/>
          <w:szCs w:val="30"/>
          <w:lang w:val="en-US" w:eastAsia="zh-CN"/>
        </w:rPr>
        <w:t>5</w:t>
      </w:r>
      <w:r>
        <w:rPr>
          <w:rFonts w:asciiTheme="minorEastAsia" w:hAnsiTheme="minorEastAsia" w:eastAsiaTheme="minorEastAsia"/>
          <w:sz w:val="30"/>
          <w:szCs w:val="30"/>
        </w:rPr>
        <w:t>月</w:t>
      </w:r>
      <w:r>
        <w:rPr>
          <w:rFonts w:hint="eastAsia" w:asciiTheme="minorEastAsia" w:hAnsiTheme="minorEastAsia" w:eastAsiaTheme="minorEastAsia"/>
          <w:sz w:val="30"/>
          <w:szCs w:val="30"/>
          <w:lang w:val="en-US" w:eastAsia="zh-CN"/>
        </w:rPr>
        <w:t>18</w:t>
      </w:r>
      <w:r>
        <w:rPr>
          <w:rFonts w:asciiTheme="minorEastAsia" w:hAnsiTheme="minorEastAsia" w:eastAsiaTheme="minorEastAsia"/>
          <w:sz w:val="30"/>
          <w:szCs w:val="30"/>
        </w:rPr>
        <w:t>日</w:t>
      </w:r>
    </w:p>
    <w:p>
      <w:pPr>
        <w:spacing w:before="100" w:beforeAutospacing="1" w:after="100" w:afterAutospacing="1" w:line="240" w:lineRule="exact"/>
        <w:ind w:left="0" w:leftChars="0" w:firstLine="0" w:firstLineChars="0"/>
        <w:jc w:val="left"/>
        <w:rPr>
          <w:rFonts w:hint="eastAsia" w:ascii="仿宋_GB2312" w:hAnsi="仿宋_GB2312" w:eastAsia="仿宋_GB2312" w:cs="仿宋_GB2312"/>
          <w:sz w:val="24"/>
        </w:rPr>
      </w:pPr>
    </w:p>
    <w:p>
      <w:pPr>
        <w:spacing w:before="100" w:beforeAutospacing="1" w:after="100" w:afterAutospacing="1" w:line="240" w:lineRule="exact"/>
        <w:ind w:left="0" w:leftChars="0" w:firstLine="0" w:firstLineChars="0"/>
        <w:jc w:val="left"/>
        <w:rPr>
          <w:rFonts w:ascii="仿宋_GB2312" w:hAnsi="仿宋_GB2312" w:eastAsia="仿宋_GB2312" w:cs="仿宋_GB2312"/>
          <w:sz w:val="24"/>
        </w:rPr>
      </w:pPr>
      <w:r>
        <w:rPr>
          <w:rFonts w:hint="eastAsia" w:ascii="仿宋_GB2312" w:hAnsi="仿宋_GB2312" w:eastAsia="仿宋_GB2312" w:cs="仿宋_GB2312"/>
          <w:sz w:val="24"/>
        </w:rPr>
        <w:t>附件2-1</w:t>
      </w:r>
    </w:p>
    <w:p>
      <w:pPr>
        <w:spacing w:line="480" w:lineRule="exact"/>
        <w:jc w:val="center"/>
        <w:rPr>
          <w:rFonts w:eastAsia="方正粗宋简体"/>
          <w:w w:val="85"/>
          <w:sz w:val="44"/>
          <w:szCs w:val="44"/>
        </w:rPr>
      </w:pPr>
      <w:r>
        <w:rPr>
          <w:rFonts w:hint="eastAsia" w:eastAsia="方正粗宋简体"/>
          <w:w w:val="85"/>
          <w:sz w:val="44"/>
          <w:szCs w:val="44"/>
          <w:lang w:eastAsia="zh-CN"/>
        </w:rPr>
        <w:t>2022</w:t>
      </w:r>
      <w:r>
        <w:rPr>
          <w:rFonts w:hAnsi="方正粗宋简体" w:eastAsia="方正粗宋简体"/>
          <w:w w:val="85"/>
          <w:sz w:val="44"/>
          <w:szCs w:val="44"/>
        </w:rPr>
        <w:t>年度新晃县项目</w:t>
      </w:r>
      <w:r>
        <w:rPr>
          <w:rFonts w:hint="eastAsia" w:hAnsi="方正粗宋简体" w:eastAsia="方正粗宋简体"/>
          <w:w w:val="85"/>
          <w:sz w:val="44"/>
          <w:szCs w:val="44"/>
        </w:rPr>
        <w:t>支出</w:t>
      </w:r>
      <w:r>
        <w:rPr>
          <w:rFonts w:hAnsi="方正粗宋简体" w:eastAsia="方正粗宋简体"/>
          <w:w w:val="85"/>
          <w:sz w:val="44"/>
          <w:szCs w:val="44"/>
        </w:rPr>
        <w:t>绩效</w:t>
      </w:r>
      <w:r>
        <w:rPr>
          <w:rFonts w:hint="eastAsia" w:hAnsi="方正粗宋简体" w:eastAsia="方正粗宋简体"/>
          <w:w w:val="85"/>
          <w:sz w:val="44"/>
          <w:szCs w:val="44"/>
        </w:rPr>
        <w:t>自评</w:t>
      </w:r>
      <w:r>
        <w:rPr>
          <w:rFonts w:hAnsi="方正粗宋简体" w:eastAsia="方正粗宋简体"/>
          <w:w w:val="85"/>
          <w:sz w:val="44"/>
          <w:szCs w:val="44"/>
        </w:rPr>
        <w:t>表</w:t>
      </w:r>
    </w:p>
    <w:p>
      <w:pPr>
        <w:spacing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6"/>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项目单位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春节城区喜庆美化、亮化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城市管理和综合执法局</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吴俊达</w:t>
            </w:r>
          </w:p>
        </w:tc>
        <w:tc>
          <w:tcPr>
            <w:tcW w:w="1206"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15115163888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项目资金</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vAlign w:val="center"/>
          </w:tcPr>
          <w:p>
            <w:pPr>
              <w:spacing w:line="320" w:lineRule="exact"/>
              <w:jc w:val="center"/>
              <w:rPr>
                <w:rFonts w:ascii="仿宋_GB2312" w:hAnsi="仿宋_GB2312" w:eastAsia="仿宋_GB2312" w:cs="仿宋_GB2312"/>
                <w:szCs w:val="21"/>
              </w:rPr>
            </w:pP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180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230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1702"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财政复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100</w:t>
            </w:r>
            <w:r>
              <w:rPr>
                <w:rFonts w:hint="eastAsia" w:ascii="仿宋_GB2312" w:hAnsi="仿宋_GB2312" w:eastAsia="仿宋_GB2312" w:cs="仿宋_GB2312"/>
                <w:szCs w:val="21"/>
              </w:rPr>
              <w:t>%。</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本项目建立了项目管理制度，并严格按相关制度执行。</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资金支出</w:t>
            </w:r>
          </w:p>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tcMar>
              <w:top w:w="0" w:type="dxa"/>
              <w:left w:w="105" w:type="dxa"/>
              <w:bottom w:w="0" w:type="dxa"/>
              <w:right w:w="105" w:type="dxa"/>
            </w:tcMar>
            <w:vAlign w:val="center"/>
          </w:tcPr>
          <w:p>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对城区各个地方进行美化亮化，打造一个靓丽的城市</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23</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lang w:val="en-US" w:eastAsia="zh-CN"/>
              </w:rPr>
              <w:t>烘托“祥和、喜庆、欢快”的节日氛围</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17</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服务对象满意度计分：9</w:t>
            </w:r>
            <w:r>
              <w:rPr>
                <w:rFonts w:hint="eastAsia" w:ascii="仿宋_GB2312" w:hAnsi="仿宋_GB2312" w:eastAsia="仿宋_GB2312" w:cs="仿宋_GB2312"/>
                <w:szCs w:val="21"/>
                <w:lang w:val="en-US" w:eastAsia="zh-CN"/>
              </w:rPr>
              <w:t>8</w:t>
            </w:r>
            <w:r>
              <w:rPr>
                <w:rFonts w:hint="eastAsia" w:ascii="仿宋_GB2312" w:hAnsi="仿宋_GB2312" w:eastAsia="仿宋_GB2312" w:cs="仿宋_GB2312"/>
                <w:szCs w:val="21"/>
              </w:rPr>
              <w:t>%</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88</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7433" w:type="dxa"/>
            <w:gridSpan w:val="6"/>
            <w:tcMar>
              <w:top w:w="0" w:type="dxa"/>
              <w:left w:w="105" w:type="dxa"/>
              <w:bottom w:w="0" w:type="dxa"/>
              <w:right w:w="105" w:type="dxa"/>
            </w:tcMar>
            <w:vAlign w:val="center"/>
          </w:tcPr>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xml:space="preserve">□ 优秀  90分≤得分≤100分；    </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pPr>
        <w:spacing w:line="320" w:lineRule="exact"/>
        <w:ind w:left="0"/>
        <w:jc w:val="left"/>
        <w:rPr>
          <w:rFonts w:hint="eastAsia" w:ascii="宋体" w:hAnsi="宋体" w:cs="宋体"/>
          <w:szCs w:val="21"/>
        </w:rPr>
      </w:pPr>
    </w:p>
    <w:p>
      <w:pPr>
        <w:spacing w:line="320" w:lineRule="exact"/>
        <w:ind w:left="0"/>
        <w:jc w:val="left"/>
        <w:rPr>
          <w:rFonts w:ascii="华文中宋" w:hAnsi="华文中宋" w:eastAsia="华文中宋"/>
          <w:szCs w:val="21"/>
        </w:rPr>
      </w:pPr>
      <w:r>
        <w:rPr>
          <w:rFonts w:hint="eastAsia" w:ascii="宋体" w:hAnsi="宋体" w:cs="宋体"/>
          <w:szCs w:val="21"/>
        </w:rPr>
        <w:t>单</w:t>
      </w:r>
      <w:r>
        <w:rPr>
          <w:rFonts w:hint="eastAsia" w:ascii="Dotum" w:hAnsi="Dotum" w:eastAsia="Dotum" w:cs="Dotum"/>
          <w:szCs w:val="21"/>
        </w:rPr>
        <w:t>位</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ascii="华文中宋" w:hAnsi="华文中宋" w:eastAsia="华文中宋"/>
          <w:szCs w:val="21"/>
        </w:rPr>
        <w:t xml:space="preserve">  </w:t>
      </w:r>
      <w:r>
        <w:rPr>
          <w:rFonts w:hint="eastAsia" w:ascii="华文中宋" w:hAnsi="华文中宋" w:eastAsia="华文中宋"/>
          <w:szCs w:val="21"/>
        </w:rPr>
        <w:t xml:space="preserve">   </w:t>
      </w:r>
      <w:r>
        <w:rPr>
          <w:rFonts w:ascii="华文中宋" w:hAnsi="华文中宋" w:eastAsia="华文中宋"/>
          <w:szCs w:val="21"/>
        </w:rPr>
        <w:t xml:space="preserve">    </w:t>
      </w:r>
      <w:r>
        <w:rPr>
          <w:rFonts w:hint="eastAsia" w:ascii="宋体" w:hAnsi="宋体" w:cs="宋体"/>
          <w:szCs w:val="21"/>
        </w:rPr>
        <w:t>项</w:t>
      </w:r>
      <w:r>
        <w:rPr>
          <w:rFonts w:hint="eastAsia" w:ascii="Dotum" w:hAnsi="Dotum" w:eastAsia="Dotum" w:cs="Dotum"/>
          <w:szCs w:val="21"/>
        </w:rPr>
        <w:t>目</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ascii="华文中宋" w:hAnsi="华文中宋" w:eastAsia="华文中宋"/>
          <w:szCs w:val="21"/>
        </w:rPr>
        <w:t> </w:t>
      </w:r>
      <w:r>
        <w:rPr>
          <w:rFonts w:hint="eastAsia" w:ascii="华文中宋" w:hAnsi="华文中宋" w:eastAsia="华文中宋"/>
          <w:szCs w:val="21"/>
        </w:rPr>
        <w:t xml:space="preserve">    </w:t>
      </w:r>
      <w:r>
        <w:rPr>
          <w:rFonts w:ascii="华文中宋" w:hAnsi="华文中宋" w:eastAsia="华文中宋"/>
          <w:szCs w:val="21"/>
        </w:rPr>
        <w:t xml:space="preserve"> </w:t>
      </w:r>
      <w:r>
        <w:rPr>
          <w:rFonts w:hint="eastAsia" w:ascii="宋体" w:hAnsi="宋体" w:cs="宋体"/>
          <w:szCs w:val="21"/>
        </w:rPr>
        <w:t>填</w:t>
      </w:r>
      <w:r>
        <w:rPr>
          <w:rFonts w:hint="eastAsia" w:ascii="Dotum" w:hAnsi="Dotum" w:eastAsia="Dotum" w:cs="Dotum"/>
          <w:szCs w:val="21"/>
        </w:rPr>
        <w:t>表日期：</w:t>
      </w:r>
      <w:r>
        <w:rPr>
          <w:rFonts w:ascii="华文中宋" w:hAnsi="华文中宋" w:eastAsia="华文中宋"/>
          <w:szCs w:val="21"/>
        </w:rPr>
        <w:t> </w:t>
      </w:r>
      <w:r>
        <w:rPr>
          <w:rFonts w:hint="eastAsia" w:ascii="华文中宋" w:hAnsi="华文中宋" w:eastAsia="华文中宋"/>
          <w:szCs w:val="21"/>
        </w:rPr>
        <w:t xml:space="preserve">2022 </w:t>
      </w:r>
      <w:r>
        <w:rPr>
          <w:rFonts w:ascii="华文中宋" w:hAnsi="华文中宋" w:eastAsia="华文中宋"/>
          <w:szCs w:val="21"/>
        </w:rPr>
        <w:t>年 </w:t>
      </w:r>
      <w:r>
        <w:rPr>
          <w:rFonts w:hint="eastAsia" w:ascii="华文中宋" w:hAnsi="华文中宋" w:eastAsia="华文中宋"/>
          <w:szCs w:val="21"/>
        </w:rPr>
        <w:t>5</w:t>
      </w:r>
      <w:r>
        <w:rPr>
          <w:rFonts w:ascii="华文中宋" w:hAnsi="华文中宋" w:eastAsia="华文中宋"/>
          <w:szCs w:val="21"/>
        </w:rPr>
        <w:t xml:space="preserve"> 月</w:t>
      </w:r>
      <w:r>
        <w:rPr>
          <w:rFonts w:hint="eastAsia" w:ascii="华文中宋" w:hAnsi="华文中宋" w:eastAsia="华文中宋"/>
          <w:szCs w:val="21"/>
        </w:rPr>
        <w:t>24</w:t>
      </w:r>
      <w:r>
        <w:rPr>
          <w:rFonts w:ascii="华文中宋" w:hAnsi="华文中宋" w:eastAsia="华文中宋"/>
          <w:szCs w:val="21"/>
        </w:rPr>
        <w:t>日</w:t>
      </w:r>
    </w:p>
    <w:p>
      <w:pPr>
        <w:spacing w:before="240" w:line="340" w:lineRule="exact"/>
        <w:ind w:left="0"/>
        <w:jc w:val="left"/>
        <w:rPr>
          <w:sz w:val="24"/>
        </w:rPr>
      </w:pPr>
      <w:r>
        <w:rPr>
          <w:rFonts w:hint="eastAsia" w:ascii="仿宋_GB2312" w:hAnsi="仿宋_GB2312" w:eastAsia="仿宋_GB2312" w:cs="仿宋_GB2312"/>
          <w:sz w:val="24"/>
        </w:rPr>
        <w:t>附件2-3 </w:t>
      </w:r>
    </w:p>
    <w:p>
      <w:pPr>
        <w:spacing w:line="600" w:lineRule="exact"/>
        <w:jc w:val="center"/>
        <w:rPr>
          <w:rFonts w:hAnsi="方正粗宋简体" w:eastAsia="方正粗宋简体"/>
          <w:w w:val="85"/>
          <w:sz w:val="44"/>
          <w:szCs w:val="44"/>
        </w:rPr>
      </w:pPr>
      <w:r>
        <w:rPr>
          <w:rFonts w:eastAsia="方正粗宋简体"/>
          <w:w w:val="85"/>
          <w:sz w:val="44"/>
          <w:szCs w:val="44"/>
        </w:rPr>
        <w:t> </w:t>
      </w:r>
      <w:r>
        <w:rPr>
          <w:rFonts w:hint="eastAsia" w:eastAsia="方正粗宋简体"/>
          <w:w w:val="85"/>
          <w:sz w:val="44"/>
          <w:szCs w:val="44"/>
          <w:lang w:eastAsia="zh-CN"/>
        </w:rPr>
        <w:t>2022</w:t>
      </w:r>
      <w:r>
        <w:rPr>
          <w:rFonts w:hAnsi="方正粗宋简体" w:eastAsia="方正粗宋简体"/>
          <w:w w:val="85"/>
          <w:sz w:val="44"/>
          <w:szCs w:val="44"/>
        </w:rPr>
        <w:t>年度新晃县</w:t>
      </w:r>
      <w:r>
        <w:rPr>
          <w:rFonts w:hint="eastAsia" w:hAnsi="方正粗宋简体" w:eastAsia="方正粗宋简体"/>
          <w:w w:val="85"/>
          <w:sz w:val="44"/>
          <w:szCs w:val="44"/>
        </w:rPr>
        <w:t>项目</w:t>
      </w:r>
      <w:r>
        <w:rPr>
          <w:rFonts w:hAnsi="方正粗宋简体" w:eastAsia="方正粗宋简体"/>
          <w:w w:val="85"/>
          <w:sz w:val="44"/>
          <w:szCs w:val="44"/>
        </w:rPr>
        <w:t>支出</w:t>
      </w:r>
      <w:r>
        <w:rPr>
          <w:rFonts w:hint="eastAsia" w:hAnsi="方正粗宋简体" w:eastAsia="方正粗宋简体"/>
          <w:w w:val="85"/>
          <w:sz w:val="44"/>
          <w:szCs w:val="44"/>
        </w:rPr>
        <w:t>绩效</w:t>
      </w:r>
      <w:r>
        <w:rPr>
          <w:rFonts w:hAnsi="方正粗宋简体" w:eastAsia="方正粗宋简体"/>
          <w:w w:val="85"/>
          <w:sz w:val="44"/>
          <w:szCs w:val="44"/>
        </w:rPr>
        <w:t>自评报告</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一、基本情况</w:t>
      </w:r>
    </w:p>
    <w:p>
      <w:pPr>
        <w:spacing w:line="560" w:lineRule="exact"/>
        <w:ind w:firstLine="600" w:firstLineChars="200"/>
        <w:jc w:val="left"/>
        <w:rPr>
          <w:rFonts w:asciiTheme="minorEastAsia" w:hAnsiTheme="minorEastAsia" w:eastAsiaTheme="minorEastAsia"/>
          <w:sz w:val="30"/>
          <w:szCs w:val="30"/>
        </w:rPr>
      </w:pPr>
      <w:r>
        <w:rPr>
          <w:rFonts w:hint="eastAsia" w:asciiTheme="minorEastAsia" w:hAnsiTheme="minorEastAsia" w:eastAsiaTheme="minorEastAsia"/>
          <w:sz w:val="30"/>
          <w:szCs w:val="30"/>
        </w:rPr>
        <w:t>（一）项目概况。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春节城区喜庆美化、亮化项目主要是春节氛围营造主题将围绕“大气、雅致、热烈、节俭”四项原则，以大红或金黄色为主色调，突出“传统、文化、时代、区域”四大元素，充分体现新晃地域文化，烘托“祥和、喜庆、欢快”的节日氛围。</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（二）项目绩效目标。</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为弘扬传统春节文化，给广大群众营造一个喜庆、祥和的节日气氛，我局将通过美化亮化环境，打造喜庆城市形象。</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二、绩效评价工作开展情况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（一）绩效评价目的、对象和范围。</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为弘扬传统春节文化，给广大群众营造一个喜庆、祥和的节日气氛，我局将通过美化亮化环境，打造喜庆城市形象。2022年春节城区喜庆美化、亮化项目支出30万元，春节城区喜庆美化、亮化项目预算经费30万元，完成预算的100%。</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(二)绩效评价原则、评价指标体系（附表说明）、评价方法、评价标准等。</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1、绩效评价原则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遵循科学、规范、公正、公开和绩效相关性原则。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2、评价指标体系（附表说明）</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2022年度新晃县项目绩效自评计分标准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3、评价方法</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4、评价标准</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（三）绩效评价过程</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晃财绩[2023]24号《关于开展2022年度部门预算支出绩效自评工作的通知》，本次绩效评价重点评价春节城区喜庆美化、亮化项目资金的绩效情况，填报绩效项目自评申报表，在对所有取得的资料进行分析整理的基础上按照规定格式编写绩效评价工作报告，然后按照绩效评价资料清单上报县财政局。</w:t>
      </w:r>
    </w:p>
    <w:p>
      <w:pPr>
        <w:spacing w:line="560" w:lineRule="exact"/>
        <w:ind w:firstLine="643" w:firstLineChars="200"/>
        <w:jc w:val="left"/>
        <w:rPr>
          <w:rFonts w:hint="eastAsia" w:eastAsia="仿宋_GB2312"/>
          <w:b/>
          <w:bCs/>
          <w:sz w:val="32"/>
          <w:szCs w:val="32"/>
        </w:rPr>
      </w:pPr>
      <w:r>
        <w:rPr>
          <w:rFonts w:hint="eastAsia" w:eastAsia="仿宋_GB2312"/>
          <w:b/>
          <w:bCs/>
          <w:sz w:val="32"/>
          <w:szCs w:val="32"/>
        </w:rPr>
        <w:t>三、综合评价情况及评价结论（附相关评分表）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1、完成了预期绩效目标任务</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春节氛围营造主题将围绕“大气、雅致、热烈、节俭”四项原则，以大红或金黄色为主色调，突出“传统、文化、时代、区域”四大元素，充分体现新晃地域文化，烘托“祥和、喜庆、欢快”的节日氛围。</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2、改善了城市形象,提高了城市品位</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促进市容市貌有了很大的改变,提升了新晃县城区的城市形象。</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3.项目的可持续性分析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该项目为辖区居民创造一个美丽的社会生活环境，项目的可持续性较强。</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根据对我所2022年该项目支出绩效评价指标体系和绩效情况的检查，2022年我该局项目支出绩效自评分</w:t>
      </w:r>
      <w:r>
        <w:rPr>
          <w:rFonts w:hint="eastAsia" w:ascii="仿宋_GB2312" w:eastAsia="仿宋_GB2312"/>
          <w:color w:val="000000"/>
          <w:sz w:val="32"/>
          <w:szCs w:val="32"/>
          <w:highlight w:val="none"/>
          <w:lang w:val="en-US" w:eastAsia="zh-CN"/>
        </w:rPr>
        <w:t>88</w:t>
      </w:r>
      <w:r>
        <w:rPr>
          <w:rFonts w:hint="eastAsia" w:ascii="仿宋_GB2312" w:eastAsia="仿宋_GB2312"/>
          <w:color w:val="000000"/>
          <w:sz w:val="32"/>
          <w:szCs w:val="32"/>
          <w:lang w:val="en-US" w:eastAsia="zh-CN"/>
        </w:rPr>
        <w:t>分，为“良好”等级（附件2-1）。</w:t>
      </w:r>
    </w:p>
    <w:p>
      <w:pPr>
        <w:numPr>
          <w:ilvl w:val="0"/>
          <w:numId w:val="0"/>
        </w:numPr>
        <w:spacing w:line="560" w:lineRule="exact"/>
        <w:ind w:leftChars="200"/>
        <w:jc w:val="left"/>
        <w:rPr>
          <w:rFonts w:hint="eastAsia" w:asciiTheme="minorEastAsia" w:hAnsiTheme="minorEastAsia" w:eastAsiaTheme="minorEastAsia"/>
          <w:b/>
          <w:bCs/>
          <w:sz w:val="30"/>
          <w:szCs w:val="30"/>
        </w:rPr>
      </w:pPr>
      <w:r>
        <w:rPr>
          <w:rFonts w:hint="eastAsia" w:asciiTheme="minorEastAsia" w:hAnsiTheme="minorEastAsia" w:eastAsiaTheme="minorEastAsia"/>
          <w:b/>
          <w:bCs/>
          <w:sz w:val="30"/>
          <w:szCs w:val="30"/>
          <w:lang w:val="en-US" w:eastAsia="zh-CN"/>
        </w:rPr>
        <w:t>四、</w:t>
      </w:r>
      <w:r>
        <w:rPr>
          <w:rFonts w:hint="eastAsia" w:asciiTheme="minorEastAsia" w:hAnsiTheme="minorEastAsia" w:eastAsiaTheme="minorEastAsia"/>
          <w:b/>
          <w:bCs/>
          <w:sz w:val="30"/>
          <w:szCs w:val="30"/>
        </w:rPr>
        <w:t>绩效评价指标分析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（一）项目决策情况。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本项目符合社会发展规划和部门年度工作计划，根据实际需要和工作特点制定近期实施计划，为项目的实施提供了较好的方向性指导。</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（二）项目过程情况。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通过执行县委政府的安排，财政预算30万元用于该项目的实施，最终据实结算相关费用支出。同时我局安排专人监督相关部门保质保量完成该项目的正常运转。</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（三）项目产出情况。</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1、按要求完成城市氛围营造任务≧95%；</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2、各个子项目达到验收要求标准≧95%；</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3、项目已经保质保量的在春节前完成；</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3、项目的资金控制在30万元以内且及时拨付到位。</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（四）项目效益情况。</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对该项目的运行，弘扬传统春节文化，给广大群众营造一个喜庆、祥和的节日气氛，我局将通过美化亮化环境，打造喜庆城市形象。该项目能持续运行，对市民的生产生活能发挥较大作用。通过问卷调查，社会公众满意度≧95%。</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五、主要经验及做法、存在的问题及原因分析</w:t>
      </w:r>
    </w:p>
    <w:p>
      <w:pPr>
        <w:spacing w:line="560" w:lineRule="exact"/>
        <w:ind w:firstLine="600" w:firstLineChars="200"/>
        <w:jc w:val="left"/>
        <w:rPr>
          <w:rFonts w:asciiTheme="minorEastAsia" w:hAnsiTheme="minorEastAsia" w:eastAsiaTheme="minorEastAsia"/>
          <w:b/>
          <w:bCs/>
          <w:sz w:val="30"/>
          <w:szCs w:val="30"/>
        </w:rPr>
      </w:pPr>
      <w:r>
        <w:rPr>
          <w:rFonts w:hint="eastAsia" w:cs="仿宋_GB2312" w:asciiTheme="minorEastAsia" w:hAnsiTheme="minorEastAsia" w:eastAsiaTheme="minorEastAsia"/>
          <w:sz w:val="30"/>
          <w:szCs w:val="30"/>
        </w:rPr>
        <w:t>无。</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六、有关建议</w:t>
      </w:r>
    </w:p>
    <w:p>
      <w:pPr>
        <w:spacing w:line="560" w:lineRule="exact"/>
        <w:ind w:firstLine="600" w:firstLineChars="200"/>
        <w:jc w:val="left"/>
        <w:rPr>
          <w:rFonts w:asciiTheme="minorEastAsia" w:hAnsiTheme="minorEastAsia" w:eastAsiaTheme="minorEastAsia"/>
          <w:bCs/>
          <w:sz w:val="30"/>
          <w:szCs w:val="30"/>
        </w:rPr>
      </w:pPr>
      <w:r>
        <w:rPr>
          <w:rFonts w:hint="eastAsia" w:asciiTheme="minorEastAsia" w:hAnsiTheme="minorEastAsia" w:eastAsiaTheme="minorEastAsia"/>
          <w:bCs/>
          <w:sz w:val="30"/>
          <w:szCs w:val="30"/>
        </w:rPr>
        <w:t>无。</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七、其他需要说明的问题</w:t>
      </w:r>
    </w:p>
    <w:p>
      <w:pPr>
        <w:pStyle w:val="5"/>
        <w:widowControl w:val="0"/>
        <w:spacing w:before="0" w:beforeAutospacing="0" w:after="0" w:afterAutospacing="0" w:line="520" w:lineRule="exact"/>
        <w:ind w:firstLine="600" w:firstLineChars="200"/>
        <w:rPr>
          <w:rFonts w:cs="Times New Roman" w:asciiTheme="minorEastAsia" w:hAnsiTheme="minorEastAsia" w:eastAsiaTheme="minorEastAsia"/>
          <w:sz w:val="30"/>
          <w:szCs w:val="30"/>
        </w:rPr>
      </w:pPr>
      <w:r>
        <w:rPr>
          <w:rFonts w:hint="eastAsia" w:cs="Times New Roman" w:asciiTheme="minorEastAsia" w:hAnsiTheme="minorEastAsia" w:eastAsiaTheme="minorEastAsia"/>
          <w:sz w:val="30"/>
          <w:szCs w:val="30"/>
        </w:rPr>
        <w:t>无。</w:t>
      </w:r>
    </w:p>
    <w:p>
      <w:pPr>
        <w:ind w:left="7840" w:hanging="7840" w:hangingChars="2800"/>
        <w:rPr>
          <w:rFonts w:eastAsia="仿宋_GB2312"/>
          <w:sz w:val="28"/>
          <w:szCs w:val="28"/>
        </w:rPr>
      </w:pP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项目单位（签）                        </w:t>
      </w:r>
    </w:p>
    <w:p>
      <w:pPr>
        <w:ind w:firstLine="5600" w:firstLineChars="2000"/>
        <w:rPr>
          <w:rFonts w:eastAsia="仿宋_GB2312"/>
          <w:sz w:val="28"/>
          <w:szCs w:val="28"/>
        </w:rPr>
      </w:pPr>
      <w:r>
        <w:rPr>
          <w:rFonts w:hint="eastAsia" w:eastAsia="仿宋_GB2312"/>
          <w:sz w:val="28"/>
          <w:szCs w:val="28"/>
        </w:rPr>
        <w:t>202</w:t>
      </w:r>
      <w:r>
        <w:rPr>
          <w:rFonts w:hint="eastAsia" w:eastAsia="仿宋_GB2312"/>
          <w:sz w:val="28"/>
          <w:szCs w:val="28"/>
          <w:lang w:val="en-US" w:eastAsia="zh-CN"/>
        </w:rPr>
        <w:t>3</w:t>
      </w:r>
      <w:r>
        <w:rPr>
          <w:rFonts w:eastAsia="仿宋_GB2312"/>
          <w:sz w:val="28"/>
          <w:szCs w:val="28"/>
        </w:rPr>
        <w:t>年</w:t>
      </w:r>
      <w:r>
        <w:rPr>
          <w:rFonts w:hint="eastAsia" w:eastAsia="仿宋_GB2312"/>
          <w:sz w:val="28"/>
          <w:szCs w:val="28"/>
          <w:lang w:val="en-US" w:eastAsia="zh-CN"/>
        </w:rPr>
        <w:t>5</w:t>
      </w:r>
      <w:r>
        <w:rPr>
          <w:rFonts w:eastAsia="仿宋_GB2312"/>
          <w:sz w:val="28"/>
          <w:szCs w:val="28"/>
        </w:rPr>
        <w:t>月</w:t>
      </w:r>
      <w:r>
        <w:rPr>
          <w:rFonts w:hint="eastAsia" w:eastAsia="仿宋_GB2312"/>
          <w:sz w:val="28"/>
          <w:szCs w:val="28"/>
          <w:lang w:val="en-US" w:eastAsia="zh-CN"/>
        </w:rPr>
        <w:t>18</w:t>
      </w:r>
      <w:r>
        <w:rPr>
          <w:rFonts w:eastAsia="仿宋_GB2312"/>
          <w:sz w:val="28"/>
          <w:szCs w:val="28"/>
        </w:rPr>
        <w:t>日</w:t>
      </w: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line="480" w:lineRule="exact"/>
        <w:jc w:val="center"/>
        <w:rPr>
          <w:rFonts w:eastAsia="方正粗宋简体"/>
          <w:w w:val="85"/>
          <w:sz w:val="44"/>
          <w:szCs w:val="44"/>
        </w:rPr>
      </w:pPr>
      <w:r>
        <w:rPr>
          <w:rFonts w:eastAsia="方正粗宋简体"/>
          <w:w w:val="85"/>
          <w:sz w:val="44"/>
          <w:szCs w:val="44"/>
        </w:rPr>
        <w:t>202</w:t>
      </w:r>
      <w:r>
        <w:rPr>
          <w:rFonts w:hint="eastAsia" w:eastAsia="方正粗宋简体"/>
          <w:w w:val="85"/>
          <w:sz w:val="44"/>
          <w:szCs w:val="44"/>
          <w:lang w:val="en-US" w:eastAsia="zh-CN"/>
        </w:rPr>
        <w:t>2</w:t>
      </w:r>
      <w:r>
        <w:rPr>
          <w:rFonts w:hAnsi="方正粗宋简体" w:eastAsia="方正粗宋简体"/>
          <w:w w:val="85"/>
          <w:sz w:val="44"/>
          <w:szCs w:val="44"/>
        </w:rPr>
        <w:t>年度新晃县项目</w:t>
      </w:r>
      <w:r>
        <w:rPr>
          <w:rFonts w:hint="eastAsia" w:hAnsi="方正粗宋简体" w:eastAsia="方正粗宋简体"/>
          <w:w w:val="85"/>
          <w:sz w:val="44"/>
          <w:szCs w:val="44"/>
        </w:rPr>
        <w:t>支出</w:t>
      </w:r>
      <w:r>
        <w:rPr>
          <w:rFonts w:hAnsi="方正粗宋简体" w:eastAsia="方正粗宋简体"/>
          <w:w w:val="85"/>
          <w:sz w:val="44"/>
          <w:szCs w:val="44"/>
        </w:rPr>
        <w:t>绩效</w:t>
      </w:r>
      <w:r>
        <w:rPr>
          <w:rFonts w:hint="eastAsia" w:hAnsi="方正粗宋简体" w:eastAsia="方正粗宋简体"/>
          <w:w w:val="85"/>
          <w:sz w:val="44"/>
          <w:szCs w:val="44"/>
        </w:rPr>
        <w:t>自评</w:t>
      </w:r>
      <w:r>
        <w:rPr>
          <w:rFonts w:hAnsi="方正粗宋简体" w:eastAsia="方正粗宋简体"/>
          <w:w w:val="85"/>
          <w:sz w:val="44"/>
          <w:szCs w:val="44"/>
        </w:rPr>
        <w:t>表</w:t>
      </w:r>
    </w:p>
    <w:p>
      <w:pPr>
        <w:spacing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6"/>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项目单位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老垃圾场稻田污染赔偿及治理费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rPr>
              <w:t>城市</w:t>
            </w:r>
            <w:r>
              <w:rPr>
                <w:rFonts w:hint="eastAsia" w:ascii="仿宋_GB2312" w:hAnsi="仿宋_GB2312" w:eastAsia="仿宋_GB2312" w:cs="仿宋_GB2312"/>
                <w:szCs w:val="21"/>
                <w:lang w:val="en-US" w:eastAsia="zh-CN"/>
              </w:rPr>
              <w:t>管理和综合执法局</w:t>
            </w:r>
          </w:p>
        </w:tc>
        <w:tc>
          <w:tcPr>
            <w:tcW w:w="1628"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吴俊达</w:t>
            </w:r>
          </w:p>
        </w:tc>
        <w:tc>
          <w:tcPr>
            <w:tcW w:w="1206"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eastAsia="zh-CN"/>
              </w:rPr>
              <w:t>15115163888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项目资金</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pPr>
              <w:spacing w:line="320" w:lineRule="exact"/>
              <w:jc w:val="center"/>
              <w:rPr>
                <w:rFonts w:ascii="仿宋_GB2312" w:hAnsi="仿宋_GB2312" w:eastAsia="仿宋_GB2312" w:cs="仿宋_GB2312"/>
                <w:szCs w:val="21"/>
              </w:rPr>
            </w:pPr>
          </w:p>
        </w:tc>
        <w:tc>
          <w:tcPr>
            <w:tcW w:w="1143"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1800"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5</w:t>
            </w:r>
          </w:p>
        </w:tc>
        <w:tc>
          <w:tcPr>
            <w:tcW w:w="1628"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2303"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5</w:t>
            </w:r>
          </w:p>
        </w:tc>
        <w:tc>
          <w:tcPr>
            <w:tcW w:w="1702" w:type="dxa"/>
            <w:gridSpan w:val="2"/>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100</w:t>
            </w:r>
            <w:r>
              <w:rPr>
                <w:rFonts w:hint="eastAsia" w:ascii="仿宋_GB2312" w:hAnsi="仿宋_GB2312" w:eastAsia="仿宋_GB2312" w:cs="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财政复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100</w:t>
            </w:r>
            <w:r>
              <w:rPr>
                <w:rFonts w:hint="eastAsia" w:ascii="仿宋_GB2312" w:hAnsi="仿宋_GB2312" w:eastAsia="仿宋_GB2312" w:cs="仿宋_GB2312"/>
                <w:szCs w:val="21"/>
              </w:rPr>
              <w:t>%。</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本项目建立了项目管理</w:t>
            </w:r>
            <w:r>
              <w:rPr>
                <w:rFonts w:hint="eastAsia" w:ascii="仿宋_GB2312" w:hAnsi="仿宋_GB2312" w:eastAsia="仿宋_GB2312" w:cs="仿宋_GB2312"/>
                <w:szCs w:val="21"/>
                <w:lang w:val="en-US" w:eastAsia="zh-CN"/>
              </w:rPr>
              <w:t>及补偿</w:t>
            </w:r>
            <w:r>
              <w:rPr>
                <w:rFonts w:hint="eastAsia" w:ascii="仿宋_GB2312" w:hAnsi="仿宋_GB2312" w:eastAsia="仿宋_GB2312" w:cs="仿宋_GB2312"/>
                <w:szCs w:val="21"/>
              </w:rPr>
              <w:t>制度，并严格按相关制度执行。</w:t>
            </w:r>
          </w:p>
        </w:tc>
        <w:tc>
          <w:tcPr>
            <w:tcW w:w="83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资金支出</w:t>
            </w:r>
          </w:p>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noWrap w:val="0"/>
            <w:tcMar>
              <w:top w:w="0" w:type="dxa"/>
              <w:left w:w="105" w:type="dxa"/>
              <w:bottom w:w="0" w:type="dxa"/>
              <w:right w:w="105" w:type="dxa"/>
            </w:tcMar>
            <w:vAlign w:val="center"/>
          </w:tcPr>
          <w:p>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严格安装预算的补偿数据执行，没有拖欠和拖延支付。</w:t>
            </w:r>
          </w:p>
        </w:tc>
        <w:tc>
          <w:tcPr>
            <w:tcW w:w="83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rPr>
              <w:t>2</w:t>
            </w:r>
            <w:r>
              <w:rPr>
                <w:rFonts w:hint="eastAsia" w:ascii="仿宋_GB2312" w:hAnsi="仿宋_GB2312" w:eastAsia="仿宋_GB2312" w:cs="仿宋_GB2312"/>
                <w:szCs w:val="21"/>
                <w:lang w:val="en-US" w:eastAsia="zh-CN"/>
              </w:rPr>
              <w:t>5</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noWrap w:val="0"/>
            <w:tcMar>
              <w:top w:w="0" w:type="dxa"/>
              <w:left w:w="105" w:type="dxa"/>
              <w:bottom w:w="0" w:type="dxa"/>
              <w:right w:w="105" w:type="dxa"/>
            </w:tcMar>
            <w:vAlign w:val="center"/>
          </w:tcPr>
          <w:p>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按时按量补偿到位，杜绝了群众上诉信访等情况发生。</w:t>
            </w:r>
          </w:p>
        </w:tc>
        <w:tc>
          <w:tcPr>
            <w:tcW w:w="83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17</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lang w:val="en-US" w:eastAsia="zh-CN"/>
              </w:rPr>
              <w:t>通过调查，受补偿群众满意度</w:t>
            </w:r>
            <w:r>
              <w:rPr>
                <w:rFonts w:hint="eastAsia" w:ascii="仿宋_GB2312" w:hAnsi="仿宋_GB2312" w:eastAsia="仿宋_GB2312" w:cs="仿宋_GB2312"/>
                <w:szCs w:val="21"/>
              </w:rPr>
              <w:t>90%。</w:t>
            </w:r>
          </w:p>
        </w:tc>
        <w:tc>
          <w:tcPr>
            <w:tcW w:w="83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92</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92</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7433" w:type="dxa"/>
            <w:gridSpan w:val="6"/>
            <w:noWrap w:val="0"/>
            <w:tcMar>
              <w:top w:w="0" w:type="dxa"/>
              <w:left w:w="105" w:type="dxa"/>
              <w:bottom w:w="0" w:type="dxa"/>
              <w:right w:w="105" w:type="dxa"/>
            </w:tcMar>
            <w:vAlign w:val="center"/>
          </w:tcPr>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优秀  90分≤得分≤100分；    </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pPr>
        <w:spacing w:line="320" w:lineRule="exact"/>
        <w:ind w:left="0"/>
        <w:jc w:val="left"/>
        <w:rPr>
          <w:rFonts w:ascii="华文中宋" w:hAnsi="华文中宋" w:eastAsia="华文中宋"/>
          <w:sz w:val="8"/>
          <w:szCs w:val="10"/>
        </w:rPr>
      </w:pPr>
    </w:p>
    <w:p>
      <w:pPr>
        <w:spacing w:line="320" w:lineRule="exact"/>
        <w:ind w:left="0"/>
        <w:jc w:val="left"/>
        <w:rPr>
          <w:rFonts w:ascii="华文中宋" w:hAnsi="华文中宋" w:eastAsia="华文中宋"/>
          <w:szCs w:val="21"/>
        </w:rPr>
      </w:pPr>
      <w:r>
        <w:rPr>
          <w:rFonts w:ascii="华文中宋" w:hAnsi="华文中宋" w:eastAsia="华文中宋"/>
          <w:szCs w:val="21"/>
        </w:rPr>
        <w:t xml:space="preserve">单位负责人（签字）： </w:t>
      </w:r>
      <w:r>
        <w:rPr>
          <w:rFonts w:hint="eastAsia" w:ascii="华文中宋" w:hAnsi="华文中宋" w:eastAsia="华文中宋"/>
          <w:szCs w:val="21"/>
          <w:lang w:val="en-US" w:eastAsia="zh-CN"/>
        </w:rPr>
        <w:t xml:space="preserve">   </w:t>
      </w:r>
      <w:r>
        <w:rPr>
          <w:rFonts w:ascii="华文中宋" w:hAnsi="华文中宋" w:eastAsia="华文中宋"/>
          <w:szCs w:val="21"/>
        </w:rPr>
        <w:t xml:space="preserve"> 项目负责人（签字）：</w:t>
      </w:r>
      <w:r>
        <w:rPr>
          <w:rFonts w:hint="eastAsia" w:ascii="华文中宋" w:hAnsi="华文中宋" w:eastAsia="华文中宋"/>
          <w:szCs w:val="21"/>
          <w:lang w:val="en-US" w:eastAsia="zh-CN"/>
        </w:rPr>
        <w:t xml:space="preserve">    </w:t>
      </w:r>
      <w:r>
        <w:rPr>
          <w:rFonts w:hint="eastAsia" w:ascii="华文中宋" w:hAnsi="华文中宋" w:eastAsia="华文中宋"/>
          <w:szCs w:val="21"/>
        </w:rPr>
        <w:t xml:space="preserve"> </w:t>
      </w:r>
      <w:r>
        <w:rPr>
          <w:rFonts w:ascii="华文中宋" w:hAnsi="华文中宋" w:eastAsia="华文中宋"/>
          <w:szCs w:val="21"/>
        </w:rPr>
        <w:t xml:space="preserve"> 填表日期： </w:t>
      </w:r>
      <w:r>
        <w:rPr>
          <w:rFonts w:hint="eastAsia" w:ascii="华文中宋" w:hAnsi="华文中宋" w:eastAsia="华文中宋"/>
          <w:szCs w:val="21"/>
        </w:rPr>
        <w:t>202</w:t>
      </w:r>
      <w:r>
        <w:rPr>
          <w:rFonts w:hint="eastAsia" w:ascii="华文中宋" w:hAnsi="华文中宋" w:eastAsia="华文中宋"/>
          <w:szCs w:val="21"/>
          <w:lang w:val="en-US" w:eastAsia="zh-CN"/>
        </w:rPr>
        <w:t>3</w:t>
      </w:r>
      <w:r>
        <w:rPr>
          <w:rFonts w:hint="eastAsia" w:ascii="华文中宋" w:hAnsi="华文中宋" w:eastAsia="华文中宋"/>
          <w:szCs w:val="21"/>
        </w:rPr>
        <w:t xml:space="preserve"> </w:t>
      </w:r>
      <w:r>
        <w:rPr>
          <w:rFonts w:ascii="华文中宋" w:hAnsi="华文中宋" w:eastAsia="华文中宋"/>
          <w:szCs w:val="21"/>
        </w:rPr>
        <w:t>年</w:t>
      </w:r>
      <w:r>
        <w:rPr>
          <w:rFonts w:hint="eastAsia" w:ascii="华文中宋" w:hAnsi="华文中宋" w:eastAsia="华文中宋"/>
          <w:szCs w:val="21"/>
          <w:lang w:val="en-US" w:eastAsia="zh-CN"/>
        </w:rPr>
        <w:t>5</w:t>
      </w:r>
      <w:r>
        <w:rPr>
          <w:rFonts w:ascii="华文中宋" w:hAnsi="华文中宋" w:eastAsia="华文中宋"/>
          <w:szCs w:val="21"/>
        </w:rPr>
        <w:t xml:space="preserve"> 月</w:t>
      </w:r>
      <w:r>
        <w:rPr>
          <w:rFonts w:hint="eastAsia" w:ascii="华文中宋" w:hAnsi="华文中宋" w:eastAsia="华文中宋"/>
          <w:szCs w:val="21"/>
          <w:lang w:val="en-US" w:eastAsia="zh-CN"/>
        </w:rPr>
        <w:t>18</w:t>
      </w:r>
      <w:r>
        <w:rPr>
          <w:rFonts w:ascii="华文中宋" w:hAnsi="华文中宋" w:eastAsia="华文中宋"/>
          <w:szCs w:val="21"/>
        </w:rPr>
        <w:t xml:space="preserve"> 日</w:t>
      </w:r>
    </w:p>
    <w:p>
      <w:pPr>
        <w:spacing w:before="240" w:line="340" w:lineRule="exact"/>
        <w:jc w:val="left"/>
        <w:rPr>
          <w:rFonts w:hint="eastAsia" w:ascii="宋体" w:hAnsi="宋体" w:eastAsia="宋体" w:cs="仿宋_GB2312"/>
          <w:sz w:val="30"/>
          <w:szCs w:val="30"/>
        </w:rPr>
      </w:pPr>
    </w:p>
    <w:p>
      <w:pPr>
        <w:spacing w:before="240" w:line="340" w:lineRule="exact"/>
        <w:jc w:val="left"/>
        <w:rPr>
          <w:rFonts w:ascii="宋体" w:hAnsi="宋体" w:eastAsia="宋体"/>
          <w:sz w:val="30"/>
          <w:szCs w:val="30"/>
        </w:rPr>
      </w:pPr>
      <w:r>
        <w:rPr>
          <w:rFonts w:hint="eastAsia" w:ascii="宋体" w:hAnsi="宋体" w:eastAsia="宋体" w:cs="仿宋_GB2312"/>
          <w:sz w:val="30"/>
          <w:szCs w:val="30"/>
        </w:rPr>
        <w:t>附件2-3 </w:t>
      </w:r>
    </w:p>
    <w:p>
      <w:pPr>
        <w:spacing w:line="600" w:lineRule="exact"/>
        <w:jc w:val="center"/>
        <w:rPr>
          <w:rFonts w:ascii="宋体" w:hAnsi="宋体" w:eastAsia="宋体"/>
          <w:w w:val="85"/>
          <w:sz w:val="30"/>
          <w:szCs w:val="30"/>
        </w:rPr>
      </w:pPr>
      <w:r>
        <w:rPr>
          <w:rFonts w:ascii="宋体" w:hAnsi="宋体" w:eastAsia="宋体"/>
          <w:w w:val="85"/>
          <w:sz w:val="30"/>
          <w:szCs w:val="30"/>
        </w:rPr>
        <w:t> 202</w:t>
      </w:r>
      <w:r>
        <w:rPr>
          <w:rFonts w:hint="eastAsia" w:ascii="宋体" w:hAnsi="宋体" w:eastAsia="宋体"/>
          <w:w w:val="85"/>
          <w:sz w:val="30"/>
          <w:szCs w:val="30"/>
        </w:rPr>
        <w:t>1</w:t>
      </w:r>
      <w:r>
        <w:rPr>
          <w:rFonts w:ascii="宋体" w:hAnsi="宋体" w:eastAsia="宋体"/>
          <w:w w:val="85"/>
          <w:sz w:val="30"/>
          <w:szCs w:val="30"/>
        </w:rPr>
        <w:t>年度新晃县</w:t>
      </w:r>
      <w:r>
        <w:rPr>
          <w:rFonts w:hint="eastAsia" w:ascii="宋体" w:hAnsi="宋体" w:eastAsia="宋体"/>
          <w:w w:val="85"/>
          <w:sz w:val="30"/>
          <w:szCs w:val="30"/>
        </w:rPr>
        <w:t>项目</w:t>
      </w:r>
      <w:r>
        <w:rPr>
          <w:rFonts w:ascii="宋体" w:hAnsi="宋体" w:eastAsia="宋体"/>
          <w:w w:val="85"/>
          <w:sz w:val="30"/>
          <w:szCs w:val="30"/>
        </w:rPr>
        <w:t>支出</w:t>
      </w:r>
      <w:r>
        <w:rPr>
          <w:rFonts w:hint="eastAsia" w:ascii="宋体" w:hAnsi="宋体" w:eastAsia="宋体"/>
          <w:w w:val="85"/>
          <w:sz w:val="30"/>
          <w:szCs w:val="30"/>
        </w:rPr>
        <w:t>绩效</w:t>
      </w:r>
      <w:r>
        <w:rPr>
          <w:rFonts w:ascii="宋体" w:hAnsi="宋体" w:eastAsia="宋体"/>
          <w:w w:val="85"/>
          <w:sz w:val="30"/>
          <w:szCs w:val="30"/>
        </w:rPr>
        <w:t>自评报告</w:t>
      </w:r>
    </w:p>
    <w:p>
      <w:pPr>
        <w:spacing w:line="560" w:lineRule="exact"/>
        <w:ind w:firstLine="602" w:firstLineChars="200"/>
        <w:jc w:val="left"/>
        <w:rPr>
          <w:rFonts w:ascii="宋体" w:hAnsi="宋体" w:eastAsia="宋体"/>
          <w:b/>
          <w:bCs/>
          <w:sz w:val="30"/>
          <w:szCs w:val="30"/>
        </w:rPr>
      </w:pPr>
      <w:r>
        <w:rPr>
          <w:rFonts w:hint="eastAsia" w:ascii="宋体" w:hAnsi="宋体" w:eastAsia="宋体"/>
          <w:b/>
          <w:bCs/>
          <w:sz w:val="30"/>
          <w:szCs w:val="30"/>
        </w:rPr>
        <w:t>一、基本情况</w:t>
      </w:r>
    </w:p>
    <w:p>
      <w:pPr>
        <w:spacing w:line="600" w:lineRule="exact"/>
        <w:ind w:left="0" w:firstLine="600" w:firstLineChars="200"/>
        <w:textAlignment w:val="auto"/>
        <w:rPr>
          <w:rFonts w:hint="eastAsia" w:ascii="仿宋_GB2312" w:eastAsia="仿宋_GB2312"/>
          <w:color w:val="000000"/>
          <w:sz w:val="32"/>
          <w:szCs w:val="32"/>
          <w:lang w:val="en-US" w:eastAsia="zh-CN"/>
        </w:rPr>
      </w:pPr>
      <w:r>
        <w:rPr>
          <w:rFonts w:hint="eastAsia" w:ascii="宋体" w:hAnsi="宋体" w:eastAsia="宋体"/>
          <w:sz w:val="30"/>
          <w:szCs w:val="30"/>
        </w:rPr>
        <w:t>（</w:t>
      </w:r>
      <w:r>
        <w:rPr>
          <w:rFonts w:hint="eastAsia" w:ascii="仿宋_GB2312" w:eastAsia="仿宋_GB2312"/>
          <w:color w:val="000000"/>
          <w:sz w:val="32"/>
          <w:szCs w:val="32"/>
          <w:lang w:val="en-US" w:eastAsia="zh-CN"/>
        </w:rPr>
        <w:t>一）项目概况。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完成2022年度的老垃圾场治理和稻田污染补偿。</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（二）项目绩效目标。</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受污染稻田补偿完成率100%以及周边治理情况良好。</w:t>
      </w:r>
    </w:p>
    <w:p>
      <w:pPr>
        <w:spacing w:line="560" w:lineRule="exact"/>
        <w:ind w:firstLine="602" w:firstLineChars="200"/>
        <w:jc w:val="left"/>
        <w:rPr>
          <w:rFonts w:ascii="宋体" w:hAnsi="宋体" w:eastAsia="宋体"/>
          <w:b/>
          <w:bCs/>
          <w:sz w:val="30"/>
          <w:szCs w:val="30"/>
        </w:rPr>
      </w:pPr>
      <w:r>
        <w:rPr>
          <w:rFonts w:hint="eastAsia" w:ascii="宋体" w:hAnsi="宋体" w:eastAsia="宋体"/>
          <w:b/>
          <w:bCs/>
          <w:sz w:val="30"/>
          <w:szCs w:val="30"/>
        </w:rPr>
        <w:t>二、绩效评价工作开展情况</w:t>
      </w:r>
    </w:p>
    <w:p>
      <w:pPr>
        <w:spacing w:line="600" w:lineRule="exact"/>
        <w:ind w:left="0" w:firstLine="600" w:firstLineChars="200"/>
        <w:textAlignment w:val="auto"/>
        <w:rPr>
          <w:rFonts w:hint="eastAsia" w:ascii="仿宋_GB2312" w:eastAsia="仿宋_GB2312"/>
          <w:color w:val="000000"/>
          <w:sz w:val="32"/>
          <w:szCs w:val="32"/>
          <w:lang w:val="en-US" w:eastAsia="zh-CN"/>
        </w:rPr>
      </w:pPr>
      <w:r>
        <w:rPr>
          <w:rFonts w:hint="eastAsia" w:ascii="宋体" w:hAnsi="宋体" w:eastAsia="宋体"/>
          <w:sz w:val="30"/>
          <w:szCs w:val="30"/>
        </w:rPr>
        <w:t>（</w:t>
      </w:r>
      <w:r>
        <w:rPr>
          <w:rFonts w:hint="eastAsia" w:ascii="仿宋_GB2312" w:eastAsia="仿宋_GB2312"/>
          <w:color w:val="000000"/>
          <w:sz w:val="32"/>
          <w:szCs w:val="32"/>
          <w:lang w:val="en-US" w:eastAsia="zh-CN"/>
        </w:rPr>
        <w:t>一）绩效评价目的、对象和范围。</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为保障老垃圾场附近受污染稻田所属的农户不发生信访情况，积极对垃圾场周边环境进行治理，防止污染范围扩张，2022年预算安排5万元，实际支出5万元。</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(二)绩效评价原则、评价指标体系（附表说明）、评价方法、评价标准等。</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1、绩效评价原则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遵循科学、规范、公正、公开和绩效相关性原则。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2、评价指标体系（附表说明）</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2022年度新晃县项目绩效自评计分标准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3、评价方法</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4、评价标准</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（三）绩效评价过程</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晃财绩[2023]24号《关于开展2022年度部门预算支出绩效自评工作的通知》，本次绩效评价重点评价老垃圾场稻田污染赔偿及治理项目资金的绩效情况，填报绩效项目自评申报表，在对所有取得的资料进行分析整理的基础上按照规定格式编写绩效评价工作报告，然后按照绩效评价资料清单上报县财政局。</w:t>
      </w:r>
    </w:p>
    <w:p>
      <w:pPr>
        <w:spacing w:line="560" w:lineRule="exact"/>
        <w:ind w:firstLine="643" w:firstLineChars="200"/>
        <w:jc w:val="left"/>
        <w:rPr>
          <w:rFonts w:hint="eastAsia" w:eastAsia="仿宋_GB2312"/>
          <w:b/>
          <w:bCs/>
          <w:sz w:val="32"/>
          <w:szCs w:val="32"/>
        </w:rPr>
      </w:pPr>
      <w:r>
        <w:rPr>
          <w:rFonts w:hint="eastAsia" w:eastAsia="仿宋_GB2312"/>
          <w:b/>
          <w:bCs/>
          <w:sz w:val="32"/>
          <w:szCs w:val="32"/>
        </w:rPr>
        <w:t>三、综合评价情况及评价结论（附相关评分表）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1、完成了预期绩效目标任务</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1.保障老垃圾稻田污染赔偿到位；2.保障老垃圾场治理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2、改善了城市形象,提高了城市品位</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老垃圾场得到有效的治理，促进城市环境有了很大的改变,提升了新晃县城区的城市形象。</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3.项目的可持续性分析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该项目为辖区居民创造一个美丽的社会生活环境，项目的可持续性较强。</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根据对我所2022年该项目支出绩效评价指标体系和绩效情况的检查，2022年我该局项目支出绩效自评分</w:t>
      </w:r>
      <w:r>
        <w:rPr>
          <w:rFonts w:hint="eastAsia" w:ascii="仿宋_GB2312" w:eastAsia="仿宋_GB2312"/>
          <w:color w:val="000000"/>
          <w:sz w:val="32"/>
          <w:szCs w:val="32"/>
          <w:highlight w:val="none"/>
          <w:lang w:val="en-US" w:eastAsia="zh-CN"/>
        </w:rPr>
        <w:t>92</w:t>
      </w:r>
      <w:r>
        <w:rPr>
          <w:rFonts w:hint="eastAsia" w:ascii="仿宋_GB2312" w:eastAsia="仿宋_GB2312"/>
          <w:color w:val="000000"/>
          <w:sz w:val="32"/>
          <w:szCs w:val="32"/>
          <w:lang w:val="en-US" w:eastAsia="zh-CN"/>
        </w:rPr>
        <w:t>分，为“优秀”等级（附件2-1）。</w:t>
      </w:r>
    </w:p>
    <w:p>
      <w:pPr>
        <w:numPr>
          <w:ilvl w:val="0"/>
          <w:numId w:val="0"/>
        </w:numPr>
        <w:spacing w:line="560" w:lineRule="exact"/>
        <w:ind w:leftChars="200"/>
        <w:jc w:val="left"/>
        <w:rPr>
          <w:rFonts w:hint="eastAsia" w:asciiTheme="minorEastAsia" w:hAnsiTheme="minorEastAsia" w:eastAsiaTheme="minorEastAsia"/>
          <w:b/>
          <w:bCs/>
          <w:sz w:val="30"/>
          <w:szCs w:val="30"/>
        </w:rPr>
      </w:pPr>
      <w:r>
        <w:rPr>
          <w:rFonts w:hint="eastAsia" w:asciiTheme="minorEastAsia" w:hAnsiTheme="minorEastAsia" w:eastAsiaTheme="minorEastAsia"/>
          <w:b/>
          <w:bCs/>
          <w:sz w:val="30"/>
          <w:szCs w:val="30"/>
          <w:lang w:val="en-US" w:eastAsia="zh-CN"/>
        </w:rPr>
        <w:t>四、</w:t>
      </w:r>
      <w:r>
        <w:rPr>
          <w:rFonts w:hint="eastAsia" w:asciiTheme="minorEastAsia" w:hAnsiTheme="minorEastAsia" w:eastAsiaTheme="minorEastAsia"/>
          <w:b/>
          <w:bCs/>
          <w:sz w:val="30"/>
          <w:szCs w:val="30"/>
        </w:rPr>
        <w:t>绩效评价指标分析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（一）项目决策情况。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本项目符合社会发展规划和部门年度工作计划，根据实际需要和工作特点制定近期实施计划，为项目的实施提供了较好的方向性指导。</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（二）项目过程情况。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通过执行县委政府的安排，财政预算5万元用于该项目的实施，最终据实结算相关费用支出。同时我局安排专人监督相关部门保质保量完成该项目的正常运转。</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（三）项目产出情况。</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1、稻田污染赔偿率完成100%；</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2、保质保量对垃圾的收集处理大于95%；</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3、项目产生的各项费用的支付及时；</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3、项目的资金控制在了5万元。</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（四）项目效益情况。</w:t>
      </w:r>
    </w:p>
    <w:p>
      <w:pPr>
        <w:spacing w:line="560" w:lineRule="exact"/>
        <w:ind w:firstLine="640" w:firstLineChars="200"/>
        <w:jc w:val="left"/>
        <w:rPr>
          <w:rFonts w:hint="eastAsia" w:ascii="宋体" w:hAnsi="宋体" w:eastAsia="宋体"/>
          <w:sz w:val="30"/>
          <w:szCs w:val="30"/>
          <w:lang w:val="en-US" w:eastAsia="zh-CN"/>
        </w:rPr>
      </w:pPr>
      <w:r>
        <w:rPr>
          <w:rFonts w:hint="eastAsia" w:ascii="仿宋_GB2312" w:eastAsia="仿宋_GB2312"/>
          <w:color w:val="000000"/>
          <w:sz w:val="32"/>
          <w:szCs w:val="32"/>
          <w:lang w:val="en-US" w:eastAsia="zh-CN"/>
        </w:rPr>
        <w:t>通过对该项目的运行，减少垃圾对环境的影响，提升环境美丽度。该项目能持续运行，对市民的生产生活能发挥较大作用。通过问卷调查，社会公众满意度≧95%。</w:t>
      </w:r>
    </w:p>
    <w:p>
      <w:pPr>
        <w:spacing w:line="560" w:lineRule="exact"/>
        <w:ind w:firstLine="602" w:firstLineChars="200"/>
        <w:jc w:val="left"/>
        <w:rPr>
          <w:rFonts w:ascii="宋体" w:hAnsi="宋体" w:eastAsia="宋体"/>
          <w:b/>
          <w:bCs/>
          <w:sz w:val="30"/>
          <w:szCs w:val="30"/>
        </w:rPr>
      </w:pPr>
      <w:r>
        <w:rPr>
          <w:rFonts w:hint="eastAsia" w:ascii="宋体" w:hAnsi="宋体" w:eastAsia="宋体"/>
          <w:b/>
          <w:bCs/>
          <w:sz w:val="30"/>
          <w:szCs w:val="30"/>
        </w:rPr>
        <w:t>五、主要经验及做法、存在的问题及原因分析</w:t>
      </w:r>
    </w:p>
    <w:p>
      <w:pPr>
        <w:spacing w:line="560" w:lineRule="exact"/>
        <w:ind w:firstLine="640" w:firstLineChars="200"/>
        <w:jc w:val="left"/>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按时按量的补偿到位，杜绝发生群众集体信访事件发生；存在的问题：由于财政资金紧张，导致支付的时候有点延迟，已经立行整改完成。</w:t>
      </w:r>
    </w:p>
    <w:p>
      <w:pPr>
        <w:spacing w:line="560" w:lineRule="exact"/>
        <w:ind w:firstLine="602" w:firstLineChars="200"/>
        <w:jc w:val="left"/>
        <w:rPr>
          <w:rFonts w:ascii="宋体" w:hAnsi="宋体" w:eastAsia="宋体"/>
          <w:b/>
          <w:bCs/>
          <w:sz w:val="30"/>
          <w:szCs w:val="30"/>
        </w:rPr>
      </w:pPr>
      <w:r>
        <w:rPr>
          <w:rFonts w:hint="eastAsia" w:ascii="宋体" w:hAnsi="宋体" w:eastAsia="宋体"/>
          <w:b/>
          <w:bCs/>
          <w:sz w:val="30"/>
          <w:szCs w:val="30"/>
        </w:rPr>
        <w:t>六、有关建议</w:t>
      </w:r>
    </w:p>
    <w:p>
      <w:pPr>
        <w:spacing w:line="560" w:lineRule="exact"/>
        <w:ind w:firstLine="600" w:firstLineChars="200"/>
        <w:jc w:val="left"/>
        <w:rPr>
          <w:rFonts w:ascii="宋体" w:hAnsi="宋体" w:eastAsia="宋体"/>
          <w:bCs/>
          <w:sz w:val="30"/>
          <w:szCs w:val="30"/>
        </w:rPr>
      </w:pPr>
      <w:r>
        <w:rPr>
          <w:rFonts w:hint="eastAsia" w:ascii="宋体" w:hAnsi="宋体" w:eastAsia="宋体"/>
          <w:bCs/>
          <w:sz w:val="30"/>
          <w:szCs w:val="30"/>
        </w:rPr>
        <w:t>无。</w:t>
      </w:r>
    </w:p>
    <w:p>
      <w:pPr>
        <w:spacing w:line="560" w:lineRule="exact"/>
        <w:ind w:firstLine="602" w:firstLineChars="200"/>
        <w:jc w:val="left"/>
        <w:rPr>
          <w:rFonts w:ascii="宋体" w:hAnsi="宋体" w:eastAsia="宋体"/>
          <w:b/>
          <w:bCs/>
          <w:sz w:val="30"/>
          <w:szCs w:val="30"/>
        </w:rPr>
      </w:pPr>
      <w:r>
        <w:rPr>
          <w:rFonts w:hint="eastAsia" w:ascii="宋体" w:hAnsi="宋体" w:eastAsia="宋体"/>
          <w:b/>
          <w:bCs/>
          <w:sz w:val="30"/>
          <w:szCs w:val="30"/>
        </w:rPr>
        <w:t>七、其他需要说明的问题</w:t>
      </w:r>
    </w:p>
    <w:p>
      <w:pPr>
        <w:pStyle w:val="5"/>
        <w:widowControl w:val="0"/>
        <w:spacing w:before="0" w:beforeAutospacing="0" w:after="0" w:afterAutospacing="0" w:line="52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rPr>
        <w:t>无。</w:t>
      </w:r>
    </w:p>
    <w:p>
      <w:pPr>
        <w:pStyle w:val="5"/>
        <w:widowControl w:val="0"/>
        <w:spacing w:before="0" w:beforeAutospacing="0" w:after="0" w:afterAutospacing="0" w:line="520" w:lineRule="exact"/>
        <w:rPr>
          <w:rFonts w:hint="eastAsia" w:ascii="宋体" w:hAnsi="宋体" w:eastAsia="宋体" w:cs="Times New Roman"/>
          <w:sz w:val="30"/>
          <w:szCs w:val="30"/>
        </w:rPr>
      </w:pPr>
    </w:p>
    <w:p>
      <w:pPr>
        <w:pStyle w:val="5"/>
        <w:widowControl w:val="0"/>
        <w:spacing w:before="0" w:beforeAutospacing="0" w:after="0" w:afterAutospacing="0" w:line="520" w:lineRule="exact"/>
        <w:ind w:firstLine="600" w:firstLineChars="200"/>
        <w:rPr>
          <w:rFonts w:ascii="宋体" w:hAnsi="宋体" w:eastAsia="宋体" w:cs="Times New Roman"/>
          <w:sz w:val="30"/>
          <w:szCs w:val="30"/>
        </w:rPr>
      </w:pPr>
    </w:p>
    <w:p>
      <w:pPr>
        <w:ind w:left="8400" w:hanging="8400" w:hangingChars="2800"/>
        <w:rPr>
          <w:rFonts w:ascii="宋体" w:hAnsi="宋体" w:eastAsia="宋体"/>
          <w:sz w:val="30"/>
          <w:szCs w:val="30"/>
        </w:rPr>
      </w:pPr>
      <w:r>
        <w:rPr>
          <w:rFonts w:ascii="宋体" w:hAnsi="宋体" w:eastAsia="宋体"/>
          <w:sz w:val="30"/>
          <w:szCs w:val="30"/>
        </w:rPr>
        <w:t xml:space="preserve">                                  </w:t>
      </w:r>
      <w:r>
        <w:rPr>
          <w:rFonts w:hint="eastAsia" w:ascii="宋体" w:hAnsi="宋体" w:eastAsia="宋体"/>
          <w:sz w:val="30"/>
          <w:szCs w:val="30"/>
        </w:rPr>
        <w:t xml:space="preserve"> </w:t>
      </w:r>
      <w:r>
        <w:rPr>
          <w:rFonts w:ascii="宋体" w:hAnsi="宋体" w:eastAsia="宋体"/>
          <w:sz w:val="30"/>
          <w:szCs w:val="30"/>
        </w:rPr>
        <w:t xml:space="preserve">   </w:t>
      </w:r>
      <w:r>
        <w:rPr>
          <w:rFonts w:hint="eastAsia" w:ascii="宋体" w:hAnsi="宋体" w:eastAsia="宋体"/>
          <w:sz w:val="30"/>
          <w:szCs w:val="30"/>
        </w:rPr>
        <w:t xml:space="preserve">  </w:t>
      </w:r>
      <w:r>
        <w:rPr>
          <w:rFonts w:ascii="宋体" w:hAnsi="宋体" w:eastAsia="宋体"/>
          <w:sz w:val="30"/>
          <w:szCs w:val="30"/>
        </w:rPr>
        <w:t xml:space="preserve">项目单位（签）                        </w:t>
      </w:r>
    </w:p>
    <w:p>
      <w:pPr>
        <w:ind w:right="600"/>
        <w:jc w:val="right"/>
        <w:rPr>
          <w:rFonts w:hint="eastAsia"/>
          <w:lang w:val="en-US" w:eastAsia="zh-CN"/>
        </w:rPr>
      </w:pPr>
      <w:r>
        <w:rPr>
          <w:rFonts w:hint="eastAsia" w:ascii="宋体" w:hAnsi="宋体" w:eastAsia="宋体"/>
          <w:sz w:val="30"/>
          <w:szCs w:val="30"/>
        </w:rPr>
        <w:t xml:space="preserve"> </w:t>
      </w:r>
      <w:r>
        <w:rPr>
          <w:rFonts w:ascii="宋体" w:hAnsi="宋体" w:eastAsia="宋体"/>
          <w:sz w:val="30"/>
          <w:szCs w:val="30"/>
        </w:rPr>
        <w:t xml:space="preserve">  </w:t>
      </w:r>
      <w:r>
        <w:rPr>
          <w:rFonts w:hint="eastAsia" w:ascii="宋体" w:hAnsi="宋体" w:eastAsia="宋体"/>
          <w:sz w:val="30"/>
          <w:szCs w:val="30"/>
        </w:rPr>
        <w:t>5</w:t>
      </w:r>
      <w:r>
        <w:rPr>
          <w:rFonts w:ascii="宋体" w:hAnsi="宋体" w:eastAsia="宋体"/>
          <w:sz w:val="30"/>
          <w:szCs w:val="30"/>
        </w:rPr>
        <w:t xml:space="preserve"> 月 </w:t>
      </w:r>
      <w:r>
        <w:rPr>
          <w:rFonts w:hint="eastAsia" w:ascii="宋体" w:hAnsi="宋体" w:eastAsia="宋体"/>
          <w:sz w:val="30"/>
          <w:szCs w:val="30"/>
          <w:lang w:val="en-US" w:eastAsia="zh-CN"/>
        </w:rPr>
        <w:t>18</w:t>
      </w:r>
      <w:r>
        <w:rPr>
          <w:rFonts w:ascii="宋体" w:hAnsi="宋体" w:eastAsia="宋体"/>
          <w:sz w:val="30"/>
          <w:szCs w:val="30"/>
        </w:rPr>
        <w:t xml:space="preserve"> 日</w:t>
      </w: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ascii="仿宋_GB2312" w:hAnsi="仿宋_GB2312" w:eastAsia="仿宋_GB2312" w:cs="仿宋_GB2312"/>
          <w:sz w:val="24"/>
        </w:rPr>
      </w:pPr>
      <w:r>
        <w:rPr>
          <w:rFonts w:hint="eastAsia" w:ascii="仿宋_GB2312" w:hAnsi="仿宋_GB2312" w:eastAsia="仿宋_GB2312" w:cs="仿宋_GB2312"/>
          <w:sz w:val="24"/>
        </w:rPr>
        <w:t>附件2-1</w:t>
      </w:r>
    </w:p>
    <w:p>
      <w:pPr>
        <w:spacing w:line="480" w:lineRule="exact"/>
        <w:jc w:val="center"/>
        <w:rPr>
          <w:rFonts w:eastAsia="方正粗宋简体"/>
          <w:w w:val="85"/>
          <w:sz w:val="44"/>
          <w:szCs w:val="44"/>
        </w:rPr>
      </w:pPr>
      <w:r>
        <w:rPr>
          <w:rFonts w:hint="eastAsia" w:eastAsia="方正粗宋简体"/>
          <w:w w:val="85"/>
          <w:sz w:val="44"/>
          <w:szCs w:val="44"/>
          <w:lang w:eastAsia="zh-CN"/>
        </w:rPr>
        <w:t>2022</w:t>
      </w:r>
      <w:r>
        <w:rPr>
          <w:rFonts w:hAnsi="方正粗宋简体" w:eastAsia="方正粗宋简体"/>
          <w:w w:val="85"/>
          <w:sz w:val="44"/>
          <w:szCs w:val="44"/>
        </w:rPr>
        <w:t>年度新晃县项目</w:t>
      </w:r>
      <w:r>
        <w:rPr>
          <w:rFonts w:hint="eastAsia" w:hAnsi="方正粗宋简体" w:eastAsia="方正粗宋简体"/>
          <w:w w:val="85"/>
          <w:sz w:val="44"/>
          <w:szCs w:val="44"/>
        </w:rPr>
        <w:t>支出</w:t>
      </w:r>
      <w:r>
        <w:rPr>
          <w:rFonts w:hAnsi="方正粗宋简体" w:eastAsia="方正粗宋简体"/>
          <w:w w:val="85"/>
          <w:sz w:val="44"/>
          <w:szCs w:val="44"/>
        </w:rPr>
        <w:t>绩效</w:t>
      </w:r>
      <w:r>
        <w:rPr>
          <w:rFonts w:hint="eastAsia" w:hAnsi="方正粗宋简体" w:eastAsia="方正粗宋简体"/>
          <w:w w:val="85"/>
          <w:sz w:val="44"/>
          <w:szCs w:val="44"/>
        </w:rPr>
        <w:t>自评</w:t>
      </w:r>
      <w:r>
        <w:rPr>
          <w:rFonts w:hAnsi="方正粗宋简体" w:eastAsia="方正粗宋简体"/>
          <w:w w:val="85"/>
          <w:sz w:val="44"/>
          <w:szCs w:val="44"/>
        </w:rPr>
        <w:t>表</w:t>
      </w:r>
    </w:p>
    <w:p>
      <w:pPr>
        <w:spacing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6"/>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项目单位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垃圾无害化处理场运行补差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城市管理和综合执法局</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吴俊达</w:t>
            </w:r>
          </w:p>
        </w:tc>
        <w:tc>
          <w:tcPr>
            <w:tcW w:w="1206"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15115163888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项目资金</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vAlign w:val="center"/>
          </w:tcPr>
          <w:p>
            <w:pPr>
              <w:spacing w:line="320" w:lineRule="exact"/>
              <w:jc w:val="center"/>
              <w:rPr>
                <w:rFonts w:ascii="仿宋_GB2312" w:hAnsi="仿宋_GB2312" w:eastAsia="仿宋_GB2312" w:cs="仿宋_GB2312"/>
                <w:szCs w:val="21"/>
              </w:rPr>
            </w:pP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180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147.15</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230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147.15</w:t>
            </w:r>
          </w:p>
        </w:tc>
        <w:tc>
          <w:tcPr>
            <w:tcW w:w="1702"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财政复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9</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100</w:t>
            </w:r>
            <w:r>
              <w:rPr>
                <w:rFonts w:hint="eastAsia" w:ascii="仿宋_GB2312" w:hAnsi="仿宋_GB2312" w:eastAsia="仿宋_GB2312" w:cs="仿宋_GB2312"/>
                <w:szCs w:val="21"/>
              </w:rPr>
              <w:t>%。</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本项目建立了项目管理制度，并严格按相关制度执行。</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资金支出</w:t>
            </w:r>
          </w:p>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lang w:val="en-US" w:eastAsia="zh-CN"/>
              </w:rPr>
              <w:t>1.城区垃圾及餐厨垃圾及时填埋</w:t>
            </w:r>
            <w:r>
              <w:rPr>
                <w:rFonts w:hint="eastAsia" w:ascii="仿宋_GB2312" w:hAnsi="仿宋_GB2312" w:eastAsia="仿宋_GB2312" w:cs="仿宋_GB2312"/>
                <w:szCs w:val="21"/>
              </w:rPr>
              <w:t>；2、</w:t>
            </w:r>
            <w:r>
              <w:rPr>
                <w:rFonts w:hint="eastAsia" w:ascii="仿宋_GB2312" w:hAnsi="仿宋_GB2312" w:eastAsia="仿宋_GB2312" w:cs="仿宋_GB2312"/>
                <w:szCs w:val="21"/>
                <w:lang w:val="en-US" w:eastAsia="zh-CN"/>
              </w:rPr>
              <w:t>渗屡液及时处理；3、控制周边的环境污染</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22</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tcMar>
              <w:top w:w="0" w:type="dxa"/>
              <w:left w:w="105" w:type="dxa"/>
              <w:bottom w:w="0" w:type="dxa"/>
              <w:right w:w="105" w:type="dxa"/>
            </w:tcMar>
            <w:vAlign w:val="center"/>
          </w:tcPr>
          <w:p>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优化县城环境，减少县城污染</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16</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服务对象满意度计分：90%</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87</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7433" w:type="dxa"/>
            <w:gridSpan w:val="6"/>
            <w:tcMar>
              <w:top w:w="0" w:type="dxa"/>
              <w:left w:w="105" w:type="dxa"/>
              <w:bottom w:w="0" w:type="dxa"/>
              <w:right w:w="105" w:type="dxa"/>
            </w:tcMar>
            <w:vAlign w:val="center"/>
          </w:tcPr>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xml:space="preserve">□ 优秀  90分≤得分≤100分；    </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pPr>
        <w:spacing w:line="320" w:lineRule="exact"/>
        <w:ind w:left="0"/>
        <w:jc w:val="left"/>
        <w:rPr>
          <w:rFonts w:ascii="华文中宋" w:hAnsi="华文中宋" w:eastAsia="华文中宋"/>
          <w:sz w:val="8"/>
          <w:szCs w:val="10"/>
        </w:rPr>
      </w:pPr>
    </w:p>
    <w:p>
      <w:pPr>
        <w:spacing w:line="320" w:lineRule="exact"/>
        <w:ind w:left="0"/>
        <w:jc w:val="left"/>
        <w:rPr>
          <w:rFonts w:ascii="华文中宋" w:hAnsi="华文中宋" w:eastAsia="华文中宋"/>
          <w:szCs w:val="21"/>
        </w:rPr>
      </w:pPr>
      <w:r>
        <w:rPr>
          <w:rFonts w:hint="eastAsia" w:ascii="宋体" w:hAnsi="宋体" w:cs="宋体"/>
          <w:szCs w:val="21"/>
        </w:rPr>
        <w:t>单</w:t>
      </w:r>
      <w:r>
        <w:rPr>
          <w:rFonts w:hint="eastAsia" w:ascii="Dotum" w:hAnsi="Dotum" w:eastAsia="Dotum" w:cs="Dotum"/>
          <w:szCs w:val="21"/>
        </w:rPr>
        <w:t>位</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ascii="华文中宋" w:hAnsi="华文中宋" w:eastAsia="华文中宋"/>
          <w:szCs w:val="21"/>
        </w:rPr>
        <w:t xml:space="preserve">  </w:t>
      </w:r>
      <w:r>
        <w:rPr>
          <w:rFonts w:hint="eastAsia" w:ascii="华文中宋" w:hAnsi="华文中宋" w:eastAsia="华文中宋"/>
          <w:szCs w:val="21"/>
        </w:rPr>
        <w:t xml:space="preserve">   </w:t>
      </w:r>
      <w:r>
        <w:rPr>
          <w:rFonts w:ascii="华文中宋" w:hAnsi="华文中宋" w:eastAsia="华文中宋"/>
          <w:szCs w:val="21"/>
        </w:rPr>
        <w:t xml:space="preserve">   </w:t>
      </w:r>
      <w:r>
        <w:rPr>
          <w:rFonts w:hint="eastAsia" w:ascii="宋体" w:hAnsi="宋体" w:cs="宋体"/>
          <w:szCs w:val="21"/>
        </w:rPr>
        <w:t>项</w:t>
      </w:r>
      <w:r>
        <w:rPr>
          <w:rFonts w:hint="eastAsia" w:ascii="Dotum" w:hAnsi="Dotum" w:eastAsia="Dotum" w:cs="Dotum"/>
          <w:szCs w:val="21"/>
        </w:rPr>
        <w:t>目</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ascii="华文中宋" w:hAnsi="华文中宋" w:eastAsia="华文中宋"/>
          <w:szCs w:val="21"/>
        </w:rPr>
        <w:t> </w:t>
      </w:r>
      <w:r>
        <w:rPr>
          <w:rFonts w:hint="eastAsia" w:ascii="华文中宋" w:hAnsi="华文中宋" w:eastAsia="华文中宋"/>
          <w:szCs w:val="21"/>
        </w:rPr>
        <w:t xml:space="preserve">      </w:t>
      </w:r>
      <w:r>
        <w:rPr>
          <w:rFonts w:ascii="华文中宋" w:hAnsi="华文中宋" w:eastAsia="华文中宋"/>
          <w:szCs w:val="21"/>
        </w:rPr>
        <w:t xml:space="preserve"> </w:t>
      </w:r>
      <w:r>
        <w:rPr>
          <w:rFonts w:hint="eastAsia" w:ascii="宋体" w:hAnsi="宋体" w:cs="宋体"/>
          <w:szCs w:val="21"/>
        </w:rPr>
        <w:t>填</w:t>
      </w:r>
      <w:r>
        <w:rPr>
          <w:rFonts w:hint="eastAsia" w:ascii="Dotum" w:hAnsi="Dotum" w:eastAsia="Dotum" w:cs="Dotum"/>
          <w:szCs w:val="21"/>
        </w:rPr>
        <w:t>表日期：</w:t>
      </w:r>
      <w:r>
        <w:rPr>
          <w:rFonts w:ascii="华文中宋" w:hAnsi="华文中宋" w:eastAsia="华文中宋"/>
          <w:szCs w:val="21"/>
        </w:rPr>
        <w:t> </w:t>
      </w:r>
      <w:r>
        <w:rPr>
          <w:rFonts w:hint="eastAsia" w:ascii="华文中宋" w:hAnsi="华文中宋" w:eastAsia="华文中宋"/>
          <w:szCs w:val="21"/>
        </w:rPr>
        <w:t>202</w:t>
      </w:r>
      <w:r>
        <w:rPr>
          <w:rFonts w:hint="eastAsia" w:ascii="华文中宋" w:hAnsi="华文中宋" w:eastAsia="华文中宋"/>
          <w:szCs w:val="21"/>
          <w:lang w:val="en-US" w:eastAsia="zh-CN"/>
        </w:rPr>
        <w:t>3</w:t>
      </w:r>
      <w:r>
        <w:rPr>
          <w:rFonts w:hint="eastAsia" w:ascii="华文中宋" w:hAnsi="华文中宋" w:eastAsia="华文中宋"/>
          <w:szCs w:val="21"/>
        </w:rPr>
        <w:t xml:space="preserve"> </w:t>
      </w:r>
      <w:r>
        <w:rPr>
          <w:rFonts w:ascii="华文中宋" w:hAnsi="华文中宋" w:eastAsia="华文中宋"/>
          <w:szCs w:val="21"/>
        </w:rPr>
        <w:t>年</w:t>
      </w:r>
      <w:r>
        <w:rPr>
          <w:rFonts w:hint="eastAsia" w:ascii="华文中宋" w:hAnsi="华文中宋" w:eastAsia="华文中宋"/>
          <w:szCs w:val="21"/>
          <w:lang w:val="en-US" w:eastAsia="zh-CN"/>
        </w:rPr>
        <w:t>5</w:t>
      </w:r>
      <w:r>
        <w:rPr>
          <w:rFonts w:ascii="华文中宋" w:hAnsi="华文中宋" w:eastAsia="华文中宋"/>
          <w:szCs w:val="21"/>
        </w:rPr>
        <w:t>月</w:t>
      </w:r>
      <w:r>
        <w:rPr>
          <w:rFonts w:hint="eastAsia" w:ascii="华文中宋" w:hAnsi="华文中宋" w:eastAsia="华文中宋"/>
          <w:szCs w:val="21"/>
          <w:lang w:val="en-US" w:eastAsia="zh-CN"/>
        </w:rPr>
        <w:t>18</w:t>
      </w:r>
      <w:r>
        <w:rPr>
          <w:rFonts w:ascii="华文中宋" w:hAnsi="华文中宋" w:eastAsia="华文中宋"/>
          <w:szCs w:val="21"/>
        </w:rPr>
        <w:t xml:space="preserve"> 日</w:t>
      </w:r>
    </w:p>
    <w:p>
      <w:pPr>
        <w:spacing w:before="240" w:line="340" w:lineRule="exact"/>
        <w:ind w:left="0"/>
        <w:jc w:val="left"/>
        <w:rPr>
          <w:sz w:val="24"/>
        </w:rPr>
      </w:pPr>
      <w:r>
        <w:rPr>
          <w:rFonts w:hint="eastAsia" w:ascii="仿宋_GB2312" w:hAnsi="仿宋_GB2312" w:eastAsia="仿宋_GB2312" w:cs="仿宋_GB2312"/>
          <w:sz w:val="24"/>
        </w:rPr>
        <w:t>附件2-3 </w:t>
      </w:r>
    </w:p>
    <w:p>
      <w:pPr>
        <w:spacing w:line="600" w:lineRule="exact"/>
        <w:jc w:val="center"/>
        <w:rPr>
          <w:rFonts w:hAnsi="方正粗宋简体" w:eastAsia="方正粗宋简体"/>
          <w:w w:val="85"/>
          <w:sz w:val="44"/>
          <w:szCs w:val="44"/>
        </w:rPr>
      </w:pPr>
      <w:r>
        <w:rPr>
          <w:rFonts w:eastAsia="方正粗宋简体"/>
          <w:w w:val="85"/>
          <w:sz w:val="44"/>
          <w:szCs w:val="44"/>
        </w:rPr>
        <w:t> </w:t>
      </w:r>
      <w:r>
        <w:rPr>
          <w:rFonts w:hint="eastAsia" w:eastAsia="方正粗宋简体"/>
          <w:w w:val="85"/>
          <w:sz w:val="44"/>
          <w:szCs w:val="44"/>
          <w:lang w:eastAsia="zh-CN"/>
        </w:rPr>
        <w:t>2022</w:t>
      </w:r>
      <w:r>
        <w:rPr>
          <w:rFonts w:hAnsi="方正粗宋简体" w:eastAsia="方正粗宋简体"/>
          <w:w w:val="85"/>
          <w:sz w:val="44"/>
          <w:szCs w:val="44"/>
        </w:rPr>
        <w:t>年度新晃县</w:t>
      </w:r>
      <w:r>
        <w:rPr>
          <w:rFonts w:hint="eastAsia" w:hAnsi="方正粗宋简体" w:eastAsia="方正粗宋简体"/>
          <w:w w:val="85"/>
          <w:sz w:val="44"/>
          <w:szCs w:val="44"/>
        </w:rPr>
        <w:t>项目</w:t>
      </w:r>
      <w:r>
        <w:rPr>
          <w:rFonts w:hAnsi="方正粗宋简体" w:eastAsia="方正粗宋简体"/>
          <w:w w:val="85"/>
          <w:sz w:val="44"/>
          <w:szCs w:val="44"/>
        </w:rPr>
        <w:t>支出</w:t>
      </w:r>
      <w:r>
        <w:rPr>
          <w:rFonts w:hint="eastAsia" w:hAnsi="方正粗宋简体" w:eastAsia="方正粗宋简体"/>
          <w:w w:val="85"/>
          <w:sz w:val="44"/>
          <w:szCs w:val="44"/>
        </w:rPr>
        <w:t>绩效</w:t>
      </w:r>
      <w:r>
        <w:rPr>
          <w:rFonts w:hAnsi="方正粗宋简体" w:eastAsia="方正粗宋简体"/>
          <w:w w:val="85"/>
          <w:sz w:val="44"/>
          <w:szCs w:val="44"/>
        </w:rPr>
        <w:t>自评报告</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一、基本情况</w:t>
      </w:r>
    </w:p>
    <w:p>
      <w:pPr>
        <w:spacing w:line="600" w:lineRule="exact"/>
        <w:ind w:left="0" w:firstLine="600" w:firstLineChars="200"/>
        <w:textAlignment w:val="auto"/>
        <w:rPr>
          <w:rFonts w:hint="eastAsia" w:ascii="仿宋_GB2312" w:eastAsia="仿宋_GB2312"/>
          <w:color w:val="000000"/>
          <w:sz w:val="32"/>
          <w:szCs w:val="32"/>
          <w:lang w:val="en-US" w:eastAsia="zh-CN"/>
        </w:rPr>
      </w:pPr>
      <w:r>
        <w:rPr>
          <w:rFonts w:hint="eastAsia" w:asciiTheme="minorEastAsia" w:hAnsiTheme="minorEastAsia" w:eastAsiaTheme="minorEastAsia"/>
          <w:sz w:val="30"/>
          <w:szCs w:val="30"/>
        </w:rPr>
        <w:t>（</w:t>
      </w:r>
      <w:r>
        <w:rPr>
          <w:rFonts w:hint="eastAsia" w:ascii="仿宋_GB2312" w:eastAsia="仿宋_GB2312"/>
          <w:color w:val="000000"/>
          <w:sz w:val="32"/>
          <w:szCs w:val="32"/>
          <w:lang w:val="en-US" w:eastAsia="zh-CN"/>
        </w:rPr>
        <w:t>一）项目概况。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垃圾无害化处理场运行补差，主要用于维持垃圾场的正常运转。</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（二）项目绩效目标。</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1、城区垃圾及餐厨垃圾及时填埋；2、渗屡液及时处理；3、控制周边的环境污染。</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二、绩效评价工作开展情况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（一）绩效评价目的、对象和范围。</w:t>
      </w:r>
    </w:p>
    <w:p>
      <w:pPr>
        <w:spacing w:line="600" w:lineRule="exact"/>
        <w:ind w:left="0" w:firstLine="640" w:firstLineChars="200"/>
        <w:textAlignment w:val="auto"/>
        <w:rPr>
          <w:rFonts w:cs="仿宋_GB2312" w:asciiTheme="minorEastAsia" w:hAnsiTheme="minorEastAsia" w:eastAsiaTheme="minorEastAsia"/>
          <w:sz w:val="30"/>
          <w:szCs w:val="30"/>
        </w:rPr>
      </w:pPr>
      <w:r>
        <w:rPr>
          <w:rFonts w:hint="eastAsia" w:ascii="仿宋_GB2312" w:eastAsia="仿宋_GB2312"/>
          <w:color w:val="000000"/>
          <w:sz w:val="32"/>
          <w:szCs w:val="32"/>
          <w:lang w:val="en-US" w:eastAsia="zh-CN"/>
        </w:rPr>
        <w:t>为保障垃圾场的正常运转，城区范围内的垃圾能够及时处理，该项目预算经费147.15万元，完成预算的100%。</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(二)绩效评价原则、评价指标体系（附表说明）、评价方法、评价标准等。</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1、绩效评价原则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遵循科学、规范、公正、公开和绩效相关性原则。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2、评价指标体系（附表说明）</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2022年度新晃县项目绩效自评计分标准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3、评价方法</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4、评价标准</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（三）绩效评价过程</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晃财绩[2023]24号《关于开展2022年度部门预算支出绩效自评工作的通知》，本次绩效评价重点评价垃圾无害化处理场运行补差项目资金的绩效情况，填报绩效项目自评申报表，在对所有取得的资料进行分析整理的基础上按照规定格式编写绩效评价工作报告，然后按照绩效评价资料清单上报县财政局。</w:t>
      </w:r>
    </w:p>
    <w:p>
      <w:pPr>
        <w:spacing w:line="560" w:lineRule="exact"/>
        <w:ind w:firstLine="643" w:firstLineChars="200"/>
        <w:jc w:val="left"/>
        <w:rPr>
          <w:rFonts w:hint="eastAsia" w:eastAsia="仿宋_GB2312"/>
          <w:b/>
          <w:bCs/>
          <w:sz w:val="32"/>
          <w:szCs w:val="32"/>
        </w:rPr>
      </w:pPr>
      <w:r>
        <w:rPr>
          <w:rFonts w:hint="eastAsia" w:eastAsia="仿宋_GB2312"/>
          <w:b/>
          <w:bCs/>
          <w:sz w:val="32"/>
          <w:szCs w:val="32"/>
        </w:rPr>
        <w:t>三、综合评价情况及评价结论（附相关评分表）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1、完成了预期绩效目标任务</w:t>
      </w:r>
    </w:p>
    <w:p>
      <w:pPr>
        <w:spacing w:line="600" w:lineRule="exact"/>
        <w:ind w:firstLine="960" w:firstLineChars="3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1.保障垃圾的收集处理；</w:t>
      </w:r>
    </w:p>
    <w:p>
      <w:pPr>
        <w:spacing w:line="600" w:lineRule="exact"/>
        <w:ind w:left="0" w:firstLine="960" w:firstLineChars="3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2.保障垃圾场渗滤液的处理;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2、改善了城市形象,提高了城市品位</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城市垃圾得到及时的处理，美化了城市的环境，提高了城市品味。</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3、项目的可持续性分析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该项目为辖区居民创造一个美丽的社会生活环境，项目的可持续性较强。</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根据对我所2022年该项目支出绩效评价指标体系和绩效情况的检查，2022年我该局项目支出绩效自评分</w:t>
      </w:r>
      <w:r>
        <w:rPr>
          <w:rFonts w:hint="eastAsia" w:ascii="仿宋_GB2312" w:eastAsia="仿宋_GB2312"/>
          <w:color w:val="000000"/>
          <w:sz w:val="32"/>
          <w:szCs w:val="32"/>
          <w:highlight w:val="none"/>
          <w:lang w:val="en-US" w:eastAsia="zh-CN"/>
        </w:rPr>
        <w:t>87</w:t>
      </w:r>
      <w:r>
        <w:rPr>
          <w:rFonts w:hint="eastAsia" w:ascii="仿宋_GB2312" w:eastAsia="仿宋_GB2312"/>
          <w:color w:val="000000"/>
          <w:sz w:val="32"/>
          <w:szCs w:val="32"/>
          <w:lang w:val="en-US" w:eastAsia="zh-CN"/>
        </w:rPr>
        <w:t>分，为“良好”等级（附件2-1）。</w:t>
      </w:r>
    </w:p>
    <w:p>
      <w:pPr>
        <w:numPr>
          <w:ilvl w:val="0"/>
          <w:numId w:val="0"/>
        </w:numPr>
        <w:spacing w:line="560" w:lineRule="exact"/>
        <w:ind w:leftChars="200"/>
        <w:jc w:val="left"/>
        <w:rPr>
          <w:rFonts w:hint="eastAsia" w:asciiTheme="minorEastAsia" w:hAnsiTheme="minorEastAsia" w:eastAsiaTheme="minorEastAsia"/>
          <w:b/>
          <w:bCs/>
          <w:sz w:val="30"/>
          <w:szCs w:val="30"/>
        </w:rPr>
      </w:pPr>
      <w:r>
        <w:rPr>
          <w:rFonts w:hint="eastAsia" w:asciiTheme="minorEastAsia" w:hAnsiTheme="minorEastAsia" w:eastAsiaTheme="minorEastAsia"/>
          <w:b/>
          <w:bCs/>
          <w:sz w:val="30"/>
          <w:szCs w:val="30"/>
          <w:lang w:val="en-US" w:eastAsia="zh-CN"/>
        </w:rPr>
        <w:t>四、</w:t>
      </w:r>
      <w:r>
        <w:rPr>
          <w:rFonts w:hint="eastAsia" w:asciiTheme="minorEastAsia" w:hAnsiTheme="minorEastAsia" w:eastAsiaTheme="minorEastAsia"/>
          <w:b/>
          <w:bCs/>
          <w:sz w:val="30"/>
          <w:szCs w:val="30"/>
        </w:rPr>
        <w:t>绩效评价指标分析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（一）项目决策情况。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本项目符合社会发展规划和部门年度工作计划，根据实际需要和工作特点制定近期实施计划，为项目的实施提供了较好的方向性指导。</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（二）项目过程情况。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通过执行县委政府的安排，财政预算147.15万元用于该项目的实施，最终据实结算相关费用支出。同时我局安排专人监督相关部门保质保量完成该项目的正常运转。</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（三）项目产出情况。</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1、垃圾收集数量率完成100%；</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2、保质保量对垃圾的收集处理大于95%；</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3、项目产生的各项费用的支付及时；</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3、项目的资金控制在了147.15万元。</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（四）项目效益情况。</w:t>
      </w:r>
    </w:p>
    <w:p>
      <w:pPr>
        <w:spacing w:line="560" w:lineRule="exact"/>
        <w:ind w:firstLine="640" w:firstLineChars="200"/>
        <w:jc w:val="left"/>
        <w:rPr>
          <w:rFonts w:hint="eastAsia" w:ascii="宋体" w:hAnsi="宋体" w:eastAsia="宋体"/>
          <w:sz w:val="30"/>
          <w:szCs w:val="30"/>
          <w:lang w:val="en-US" w:eastAsia="zh-CN"/>
        </w:rPr>
      </w:pPr>
      <w:r>
        <w:rPr>
          <w:rFonts w:hint="eastAsia" w:ascii="仿宋_GB2312" w:eastAsia="仿宋_GB2312"/>
          <w:color w:val="000000"/>
          <w:sz w:val="32"/>
          <w:szCs w:val="32"/>
          <w:lang w:val="en-US" w:eastAsia="zh-CN"/>
        </w:rPr>
        <w:t>通过对该项目的运行，减少垃圾对环境的影响，提升环境美丽度。该项目能持续运行，对市民的生产生活能发挥较大作用。通过问卷调查，社会公众满意度≧95%。</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五、主要经验及做法、存在的问题及原因分析</w:t>
      </w:r>
    </w:p>
    <w:p>
      <w:pPr>
        <w:spacing w:line="560" w:lineRule="exact"/>
        <w:ind w:firstLine="600" w:firstLineChars="200"/>
        <w:jc w:val="left"/>
        <w:rPr>
          <w:rFonts w:asciiTheme="minorEastAsia" w:hAnsiTheme="minorEastAsia" w:eastAsiaTheme="minorEastAsia"/>
          <w:b/>
          <w:bCs/>
          <w:sz w:val="30"/>
          <w:szCs w:val="30"/>
        </w:rPr>
      </w:pPr>
      <w:r>
        <w:rPr>
          <w:rFonts w:hint="eastAsia" w:cs="仿宋_GB2312" w:asciiTheme="minorEastAsia" w:hAnsiTheme="minorEastAsia" w:eastAsiaTheme="minorEastAsia"/>
          <w:sz w:val="30"/>
          <w:szCs w:val="30"/>
        </w:rPr>
        <w:t>无。</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六、有关建议</w:t>
      </w:r>
    </w:p>
    <w:p>
      <w:pPr>
        <w:spacing w:line="560" w:lineRule="exact"/>
        <w:ind w:firstLine="600" w:firstLineChars="200"/>
        <w:jc w:val="left"/>
        <w:rPr>
          <w:rFonts w:asciiTheme="minorEastAsia" w:hAnsiTheme="minorEastAsia" w:eastAsiaTheme="minorEastAsia"/>
          <w:bCs/>
          <w:sz w:val="30"/>
          <w:szCs w:val="30"/>
        </w:rPr>
      </w:pPr>
      <w:r>
        <w:rPr>
          <w:rFonts w:hint="eastAsia" w:asciiTheme="minorEastAsia" w:hAnsiTheme="minorEastAsia" w:eastAsiaTheme="minorEastAsia"/>
          <w:bCs/>
          <w:sz w:val="30"/>
          <w:szCs w:val="30"/>
        </w:rPr>
        <w:t>无。</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七、其他需要说明的问题</w:t>
      </w:r>
    </w:p>
    <w:p>
      <w:pPr>
        <w:pStyle w:val="5"/>
        <w:widowControl w:val="0"/>
        <w:spacing w:before="0" w:beforeAutospacing="0" w:after="0" w:afterAutospacing="0" w:line="520" w:lineRule="exact"/>
        <w:ind w:firstLine="600" w:firstLineChars="200"/>
        <w:rPr>
          <w:rFonts w:cs="Times New Roman" w:asciiTheme="minorEastAsia" w:hAnsiTheme="minorEastAsia" w:eastAsiaTheme="minorEastAsia"/>
          <w:sz w:val="30"/>
          <w:szCs w:val="30"/>
        </w:rPr>
      </w:pPr>
      <w:r>
        <w:rPr>
          <w:rFonts w:hint="eastAsia" w:cs="Times New Roman" w:asciiTheme="minorEastAsia" w:hAnsiTheme="minorEastAsia" w:eastAsiaTheme="minorEastAsia"/>
          <w:sz w:val="30"/>
          <w:szCs w:val="30"/>
        </w:rPr>
        <w:t>无。</w:t>
      </w:r>
    </w:p>
    <w:p>
      <w:pPr>
        <w:ind w:left="7840" w:hanging="7840" w:hangingChars="2800"/>
        <w:rPr>
          <w:rFonts w:eastAsia="仿宋_GB2312"/>
          <w:sz w:val="28"/>
          <w:szCs w:val="28"/>
        </w:rPr>
      </w:pP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项目单位（签）                        </w:t>
      </w:r>
    </w:p>
    <w:p>
      <w:pPr>
        <w:ind w:firstLine="5600" w:firstLineChars="2000"/>
        <w:rPr>
          <w:rFonts w:eastAsia="仿宋_GB2312"/>
          <w:sz w:val="28"/>
          <w:szCs w:val="28"/>
        </w:rPr>
      </w:pPr>
      <w:r>
        <w:rPr>
          <w:rFonts w:hint="eastAsia" w:eastAsia="仿宋_GB2312"/>
          <w:sz w:val="28"/>
          <w:szCs w:val="28"/>
        </w:rPr>
        <w:t>202</w:t>
      </w:r>
      <w:r>
        <w:rPr>
          <w:rFonts w:hint="eastAsia" w:eastAsia="仿宋_GB2312"/>
          <w:sz w:val="28"/>
          <w:szCs w:val="28"/>
          <w:lang w:val="en-US" w:eastAsia="zh-CN"/>
        </w:rPr>
        <w:t>3</w:t>
      </w:r>
      <w:r>
        <w:rPr>
          <w:rFonts w:eastAsia="仿宋_GB2312"/>
          <w:sz w:val="28"/>
          <w:szCs w:val="28"/>
        </w:rPr>
        <w:t xml:space="preserve">年  </w:t>
      </w:r>
      <w:r>
        <w:rPr>
          <w:rFonts w:hint="eastAsia" w:eastAsia="仿宋_GB2312"/>
          <w:sz w:val="28"/>
          <w:szCs w:val="28"/>
        </w:rPr>
        <w:t>5</w:t>
      </w:r>
      <w:r>
        <w:rPr>
          <w:rFonts w:eastAsia="仿宋_GB2312"/>
          <w:sz w:val="28"/>
          <w:szCs w:val="28"/>
        </w:rPr>
        <w:t xml:space="preserve"> 月</w:t>
      </w:r>
      <w:r>
        <w:rPr>
          <w:rFonts w:hint="eastAsia" w:eastAsia="仿宋_GB2312"/>
          <w:sz w:val="28"/>
          <w:szCs w:val="28"/>
          <w:lang w:val="en-US" w:eastAsia="zh-CN"/>
        </w:rPr>
        <w:t>18</w:t>
      </w:r>
      <w:r>
        <w:rPr>
          <w:rFonts w:eastAsia="仿宋_GB2312"/>
          <w:sz w:val="28"/>
          <w:szCs w:val="28"/>
        </w:rPr>
        <w:t xml:space="preserve"> 日</w:t>
      </w: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480" w:lineRule="exact"/>
        <w:jc w:val="center"/>
        <w:rPr>
          <w:rFonts w:eastAsia="方正粗宋简体"/>
          <w:w w:val="85"/>
          <w:sz w:val="44"/>
          <w:szCs w:val="44"/>
        </w:rPr>
      </w:pPr>
      <w:r>
        <w:rPr>
          <w:rFonts w:eastAsia="方正粗宋简体"/>
          <w:w w:val="85"/>
          <w:sz w:val="44"/>
          <w:szCs w:val="44"/>
        </w:rPr>
        <w:t>202</w:t>
      </w:r>
      <w:r>
        <w:rPr>
          <w:rFonts w:hint="eastAsia" w:eastAsia="方正粗宋简体"/>
          <w:w w:val="85"/>
          <w:sz w:val="44"/>
          <w:szCs w:val="44"/>
          <w:lang w:val="en-US" w:eastAsia="zh-CN"/>
        </w:rPr>
        <w:t>2</w:t>
      </w:r>
      <w:r>
        <w:rPr>
          <w:rFonts w:hAnsi="方正粗宋简体" w:eastAsia="方正粗宋简体"/>
          <w:w w:val="85"/>
          <w:sz w:val="44"/>
          <w:szCs w:val="44"/>
        </w:rPr>
        <w:t>年度新晃县项目</w:t>
      </w:r>
      <w:r>
        <w:rPr>
          <w:rFonts w:hint="eastAsia" w:hAnsi="方正粗宋简体" w:eastAsia="方正粗宋简体"/>
          <w:w w:val="85"/>
          <w:sz w:val="44"/>
          <w:szCs w:val="44"/>
        </w:rPr>
        <w:t>支出</w:t>
      </w:r>
      <w:r>
        <w:rPr>
          <w:rFonts w:hAnsi="方正粗宋简体" w:eastAsia="方正粗宋简体"/>
          <w:w w:val="85"/>
          <w:sz w:val="44"/>
          <w:szCs w:val="44"/>
        </w:rPr>
        <w:t>绩效</w:t>
      </w:r>
      <w:r>
        <w:rPr>
          <w:rFonts w:hint="eastAsia" w:hAnsi="方正粗宋简体" w:eastAsia="方正粗宋简体"/>
          <w:w w:val="85"/>
          <w:sz w:val="44"/>
          <w:szCs w:val="44"/>
        </w:rPr>
        <w:t>自评</w:t>
      </w:r>
      <w:r>
        <w:rPr>
          <w:rFonts w:hAnsi="方正粗宋简体" w:eastAsia="方正粗宋简体"/>
          <w:w w:val="85"/>
          <w:sz w:val="44"/>
          <w:szCs w:val="44"/>
        </w:rPr>
        <w:t>表</w:t>
      </w:r>
    </w:p>
    <w:p>
      <w:pPr>
        <w:spacing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6"/>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项目单位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 xml:space="preserve"> 创建国家森林城市项目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城管局</w:t>
            </w:r>
          </w:p>
        </w:tc>
        <w:tc>
          <w:tcPr>
            <w:tcW w:w="1628"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吴俊达</w:t>
            </w:r>
          </w:p>
        </w:tc>
        <w:tc>
          <w:tcPr>
            <w:tcW w:w="1206"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eastAsia="zh-CN"/>
              </w:rPr>
              <w:t>15115163888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项目资金</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pPr>
              <w:spacing w:line="320" w:lineRule="exact"/>
              <w:jc w:val="center"/>
              <w:rPr>
                <w:rFonts w:ascii="仿宋_GB2312" w:hAnsi="仿宋_GB2312" w:eastAsia="仿宋_GB2312" w:cs="仿宋_GB2312"/>
                <w:szCs w:val="21"/>
              </w:rPr>
            </w:pPr>
          </w:p>
        </w:tc>
        <w:tc>
          <w:tcPr>
            <w:tcW w:w="1143"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1800"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12</w:t>
            </w:r>
          </w:p>
        </w:tc>
        <w:tc>
          <w:tcPr>
            <w:tcW w:w="1628"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2303"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12</w:t>
            </w:r>
          </w:p>
        </w:tc>
        <w:tc>
          <w:tcPr>
            <w:tcW w:w="1702" w:type="dxa"/>
            <w:gridSpan w:val="2"/>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100</w:t>
            </w:r>
            <w:r>
              <w:rPr>
                <w:rFonts w:hint="eastAsia" w:ascii="仿宋_GB2312" w:hAnsi="仿宋_GB2312" w:eastAsia="仿宋_GB2312" w:cs="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财政复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100</w:t>
            </w:r>
            <w:r>
              <w:rPr>
                <w:rFonts w:hint="eastAsia" w:ascii="仿宋_GB2312" w:hAnsi="仿宋_GB2312" w:eastAsia="仿宋_GB2312" w:cs="仿宋_GB2312"/>
                <w:szCs w:val="21"/>
              </w:rPr>
              <w:t>%。</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本项目建立了项目管理</w:t>
            </w:r>
            <w:r>
              <w:rPr>
                <w:rFonts w:hint="eastAsia" w:ascii="仿宋_GB2312" w:hAnsi="仿宋_GB2312" w:eastAsia="仿宋_GB2312" w:cs="仿宋_GB2312"/>
                <w:szCs w:val="21"/>
                <w:lang w:val="en-US" w:eastAsia="zh-CN"/>
              </w:rPr>
              <w:t>及补偿</w:t>
            </w:r>
            <w:r>
              <w:rPr>
                <w:rFonts w:hint="eastAsia" w:ascii="仿宋_GB2312" w:hAnsi="仿宋_GB2312" w:eastAsia="仿宋_GB2312" w:cs="仿宋_GB2312"/>
                <w:szCs w:val="21"/>
              </w:rPr>
              <w:t>制度，并严格按相关制度执行。</w:t>
            </w:r>
          </w:p>
        </w:tc>
        <w:tc>
          <w:tcPr>
            <w:tcW w:w="83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val="en-US" w:eastAsia="zh-CN"/>
              </w:rPr>
              <w:t>8</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资金支出</w:t>
            </w:r>
          </w:p>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noWrap w:val="0"/>
            <w:tcMar>
              <w:top w:w="0" w:type="dxa"/>
              <w:left w:w="105" w:type="dxa"/>
              <w:bottom w:w="0" w:type="dxa"/>
              <w:right w:w="105" w:type="dxa"/>
            </w:tcMar>
            <w:vAlign w:val="center"/>
          </w:tcPr>
          <w:p>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严格安装预算的补偿数据执行，没有拖欠和拖延支付。</w:t>
            </w:r>
          </w:p>
        </w:tc>
        <w:tc>
          <w:tcPr>
            <w:tcW w:w="83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rPr>
              <w:t>2</w:t>
            </w:r>
            <w:r>
              <w:rPr>
                <w:rFonts w:hint="eastAsia" w:ascii="仿宋_GB2312" w:hAnsi="仿宋_GB2312" w:eastAsia="仿宋_GB2312" w:cs="仿宋_GB2312"/>
                <w:szCs w:val="21"/>
                <w:lang w:val="en-US" w:eastAsia="zh-CN"/>
              </w:rPr>
              <w:t>5</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noWrap w:val="0"/>
            <w:tcMar>
              <w:top w:w="0" w:type="dxa"/>
              <w:left w:w="105" w:type="dxa"/>
              <w:bottom w:w="0" w:type="dxa"/>
              <w:right w:w="105" w:type="dxa"/>
            </w:tcMar>
            <w:vAlign w:val="center"/>
          </w:tcPr>
          <w:p>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给群众营造一个适应居住的美丽县城</w:t>
            </w:r>
          </w:p>
        </w:tc>
        <w:tc>
          <w:tcPr>
            <w:tcW w:w="83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17</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lang w:val="en-US" w:eastAsia="zh-CN"/>
              </w:rPr>
              <w:t>通过调查，群众满意度</w:t>
            </w:r>
            <w:r>
              <w:rPr>
                <w:rFonts w:hint="eastAsia" w:ascii="仿宋_GB2312" w:hAnsi="仿宋_GB2312" w:eastAsia="仿宋_GB2312" w:cs="仿宋_GB2312"/>
                <w:szCs w:val="21"/>
              </w:rPr>
              <w:t>90%。</w:t>
            </w:r>
          </w:p>
        </w:tc>
        <w:tc>
          <w:tcPr>
            <w:tcW w:w="83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val="en-US" w:eastAsia="zh-CN"/>
              </w:rPr>
              <w:t>9</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89</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89</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7433" w:type="dxa"/>
            <w:gridSpan w:val="6"/>
            <w:noWrap w:val="0"/>
            <w:tcMar>
              <w:top w:w="0" w:type="dxa"/>
              <w:left w:w="105" w:type="dxa"/>
              <w:bottom w:w="0" w:type="dxa"/>
              <w:right w:w="105" w:type="dxa"/>
            </w:tcMar>
            <w:vAlign w:val="center"/>
          </w:tcPr>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优秀  90分≤得分≤100分；    </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pPr>
        <w:spacing w:line="320" w:lineRule="exact"/>
        <w:ind w:left="0"/>
        <w:jc w:val="left"/>
        <w:rPr>
          <w:rFonts w:ascii="华文中宋" w:hAnsi="华文中宋" w:eastAsia="华文中宋"/>
          <w:sz w:val="8"/>
          <w:szCs w:val="10"/>
        </w:rPr>
      </w:pPr>
    </w:p>
    <w:p>
      <w:pPr>
        <w:spacing w:line="320" w:lineRule="exact"/>
        <w:ind w:left="0"/>
        <w:jc w:val="left"/>
        <w:rPr>
          <w:rFonts w:ascii="华文中宋" w:hAnsi="华文中宋" w:eastAsia="华文中宋"/>
          <w:szCs w:val="21"/>
        </w:rPr>
      </w:pPr>
      <w:r>
        <w:rPr>
          <w:rFonts w:ascii="华文中宋" w:hAnsi="华文中宋" w:eastAsia="华文中宋"/>
          <w:szCs w:val="21"/>
        </w:rPr>
        <w:t xml:space="preserve">单位负责人（签字）： </w:t>
      </w:r>
      <w:r>
        <w:rPr>
          <w:rFonts w:hint="eastAsia" w:ascii="华文中宋" w:hAnsi="华文中宋" w:eastAsia="华文中宋"/>
          <w:szCs w:val="21"/>
          <w:lang w:val="en-US" w:eastAsia="zh-CN"/>
        </w:rPr>
        <w:t xml:space="preserve">  </w:t>
      </w:r>
      <w:r>
        <w:rPr>
          <w:rFonts w:ascii="华文中宋" w:hAnsi="华文中宋" w:eastAsia="华文中宋"/>
          <w:szCs w:val="21"/>
        </w:rPr>
        <w:t xml:space="preserve"> 项目负责人（签字）：</w:t>
      </w:r>
      <w:r>
        <w:rPr>
          <w:rFonts w:hint="eastAsia" w:ascii="华文中宋" w:hAnsi="华文中宋" w:eastAsia="华文中宋"/>
          <w:szCs w:val="21"/>
          <w:lang w:val="en-US" w:eastAsia="zh-CN"/>
        </w:rPr>
        <w:t xml:space="preserve">   </w:t>
      </w:r>
      <w:r>
        <w:rPr>
          <w:rFonts w:hint="eastAsia" w:ascii="华文中宋" w:hAnsi="华文中宋" w:eastAsia="华文中宋"/>
          <w:szCs w:val="21"/>
        </w:rPr>
        <w:t xml:space="preserve"> </w:t>
      </w:r>
      <w:r>
        <w:rPr>
          <w:rFonts w:ascii="华文中宋" w:hAnsi="华文中宋" w:eastAsia="华文中宋"/>
          <w:szCs w:val="21"/>
        </w:rPr>
        <w:t xml:space="preserve"> 填表日期： </w:t>
      </w:r>
      <w:r>
        <w:rPr>
          <w:rFonts w:hint="eastAsia" w:ascii="华文中宋" w:hAnsi="华文中宋" w:eastAsia="华文中宋"/>
          <w:szCs w:val="21"/>
        </w:rPr>
        <w:t>202</w:t>
      </w:r>
      <w:r>
        <w:rPr>
          <w:rFonts w:hint="eastAsia" w:ascii="华文中宋" w:hAnsi="华文中宋" w:eastAsia="华文中宋"/>
          <w:szCs w:val="21"/>
          <w:lang w:val="en-US" w:eastAsia="zh-CN"/>
        </w:rPr>
        <w:t>3</w:t>
      </w:r>
      <w:r>
        <w:rPr>
          <w:rFonts w:hint="eastAsia" w:ascii="华文中宋" w:hAnsi="华文中宋" w:eastAsia="华文中宋"/>
          <w:szCs w:val="21"/>
        </w:rPr>
        <w:t xml:space="preserve"> </w:t>
      </w:r>
      <w:r>
        <w:rPr>
          <w:rFonts w:ascii="华文中宋" w:hAnsi="华文中宋" w:eastAsia="华文中宋"/>
          <w:szCs w:val="21"/>
        </w:rPr>
        <w:t>年</w:t>
      </w:r>
      <w:r>
        <w:rPr>
          <w:rFonts w:hint="eastAsia" w:ascii="华文中宋" w:hAnsi="华文中宋" w:eastAsia="华文中宋"/>
          <w:szCs w:val="21"/>
          <w:lang w:val="en-US" w:eastAsia="zh-CN"/>
        </w:rPr>
        <w:t>5</w:t>
      </w:r>
      <w:r>
        <w:rPr>
          <w:rFonts w:ascii="华文中宋" w:hAnsi="华文中宋" w:eastAsia="华文中宋"/>
          <w:szCs w:val="21"/>
        </w:rPr>
        <w:t xml:space="preserve"> 月</w:t>
      </w:r>
      <w:r>
        <w:rPr>
          <w:rFonts w:hint="eastAsia" w:ascii="华文中宋" w:hAnsi="华文中宋" w:eastAsia="华文中宋"/>
          <w:szCs w:val="21"/>
          <w:lang w:val="en-US" w:eastAsia="zh-CN"/>
        </w:rPr>
        <w:t>18</w:t>
      </w:r>
      <w:r>
        <w:rPr>
          <w:rFonts w:ascii="华文中宋" w:hAnsi="华文中宋" w:eastAsia="华文中宋"/>
          <w:szCs w:val="21"/>
        </w:rPr>
        <w:t xml:space="preserve"> 日</w:t>
      </w:r>
    </w:p>
    <w:p>
      <w:pPr>
        <w:jc w:val="left"/>
        <w:rPr>
          <w:rFonts w:hint="eastAsia" w:ascii="仿宋_GB2312" w:hAnsi="仿宋_GB2312" w:eastAsia="仿宋_GB2312" w:cs="仿宋_GB2312"/>
          <w:sz w:val="24"/>
        </w:rPr>
      </w:pPr>
    </w:p>
    <w:p>
      <w:pPr>
        <w:spacing w:before="240" w:line="340" w:lineRule="exact"/>
        <w:jc w:val="left"/>
        <w:rPr>
          <w:rFonts w:ascii="宋体" w:hAnsi="宋体" w:eastAsia="宋体"/>
          <w:sz w:val="30"/>
          <w:szCs w:val="30"/>
        </w:rPr>
      </w:pPr>
      <w:r>
        <w:rPr>
          <w:rFonts w:hAnsi="方正粗宋简体" w:eastAsia="方正粗宋简体"/>
          <w:sz w:val="44"/>
          <w:szCs w:val="44"/>
        </w:rPr>
        <w:br w:type="page"/>
      </w:r>
      <w:r>
        <w:rPr>
          <w:rFonts w:hint="eastAsia" w:ascii="宋体" w:hAnsi="宋体" w:eastAsia="宋体" w:cs="仿宋_GB2312"/>
          <w:sz w:val="30"/>
          <w:szCs w:val="30"/>
        </w:rPr>
        <w:t>附件2-3 </w:t>
      </w:r>
    </w:p>
    <w:p>
      <w:pPr>
        <w:spacing w:line="600" w:lineRule="exact"/>
        <w:jc w:val="center"/>
        <w:rPr>
          <w:rFonts w:ascii="宋体" w:hAnsi="宋体" w:eastAsia="宋体"/>
          <w:w w:val="85"/>
          <w:sz w:val="30"/>
          <w:szCs w:val="30"/>
        </w:rPr>
      </w:pPr>
      <w:r>
        <w:rPr>
          <w:rFonts w:ascii="宋体" w:hAnsi="宋体" w:eastAsia="宋体"/>
          <w:w w:val="85"/>
          <w:sz w:val="30"/>
          <w:szCs w:val="30"/>
        </w:rPr>
        <w:t> 20</w:t>
      </w:r>
      <w:r>
        <w:rPr>
          <w:rFonts w:hint="eastAsia" w:ascii="宋体" w:hAnsi="宋体"/>
          <w:w w:val="85"/>
          <w:sz w:val="30"/>
          <w:szCs w:val="30"/>
          <w:lang w:val="en-US" w:eastAsia="zh-CN"/>
        </w:rPr>
        <w:t>22</w:t>
      </w:r>
      <w:r>
        <w:rPr>
          <w:rFonts w:ascii="宋体" w:hAnsi="宋体" w:eastAsia="宋体"/>
          <w:w w:val="85"/>
          <w:sz w:val="30"/>
          <w:szCs w:val="30"/>
        </w:rPr>
        <w:t>年度新晃县</w:t>
      </w:r>
      <w:r>
        <w:rPr>
          <w:rFonts w:hint="eastAsia" w:ascii="宋体" w:hAnsi="宋体" w:eastAsia="宋体"/>
          <w:w w:val="85"/>
          <w:sz w:val="30"/>
          <w:szCs w:val="30"/>
        </w:rPr>
        <w:t>项目</w:t>
      </w:r>
      <w:r>
        <w:rPr>
          <w:rFonts w:ascii="宋体" w:hAnsi="宋体" w:eastAsia="宋体"/>
          <w:w w:val="85"/>
          <w:sz w:val="30"/>
          <w:szCs w:val="30"/>
        </w:rPr>
        <w:t>支出</w:t>
      </w:r>
      <w:r>
        <w:rPr>
          <w:rFonts w:hint="eastAsia" w:ascii="宋体" w:hAnsi="宋体" w:eastAsia="宋体"/>
          <w:w w:val="85"/>
          <w:sz w:val="30"/>
          <w:szCs w:val="30"/>
        </w:rPr>
        <w:t>绩效</w:t>
      </w:r>
      <w:r>
        <w:rPr>
          <w:rFonts w:ascii="宋体" w:hAnsi="宋体" w:eastAsia="宋体"/>
          <w:w w:val="85"/>
          <w:sz w:val="30"/>
          <w:szCs w:val="30"/>
        </w:rPr>
        <w:t>自评报告</w:t>
      </w:r>
    </w:p>
    <w:p>
      <w:pPr>
        <w:spacing w:line="560" w:lineRule="exact"/>
        <w:ind w:firstLine="602" w:firstLineChars="200"/>
        <w:jc w:val="left"/>
        <w:rPr>
          <w:rFonts w:ascii="宋体" w:hAnsi="宋体" w:eastAsia="宋体"/>
          <w:b/>
          <w:bCs/>
          <w:sz w:val="30"/>
          <w:szCs w:val="30"/>
        </w:rPr>
      </w:pPr>
      <w:r>
        <w:rPr>
          <w:rFonts w:hint="eastAsia" w:ascii="宋体" w:hAnsi="宋体" w:eastAsia="宋体"/>
          <w:b/>
          <w:bCs/>
          <w:sz w:val="30"/>
          <w:szCs w:val="30"/>
        </w:rPr>
        <w:t>一、基本情况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（一）项目概况。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创建国家森林城市项目主要是维持巩固新晃森林城市，围绕森林城市进行各项工作开展。</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（二）项目绩效目标。</w:t>
      </w:r>
    </w:p>
    <w:p>
      <w:pPr>
        <w:spacing w:line="600" w:lineRule="exact"/>
        <w:ind w:left="0" w:firstLine="640" w:firstLineChars="200"/>
        <w:textAlignment w:val="auto"/>
        <w:rPr>
          <w:rFonts w:ascii="宋体" w:hAnsi="宋体" w:eastAsia="宋体"/>
          <w:sz w:val="30"/>
          <w:szCs w:val="30"/>
        </w:rPr>
      </w:pPr>
      <w:r>
        <w:rPr>
          <w:rFonts w:hint="eastAsia" w:ascii="仿宋_GB2312" w:eastAsia="仿宋_GB2312"/>
          <w:color w:val="000000"/>
          <w:sz w:val="32"/>
          <w:szCs w:val="32"/>
          <w:lang w:val="en-US" w:eastAsia="zh-CN"/>
        </w:rPr>
        <w:t>通过森林城市的各项检查。</w:t>
      </w:r>
    </w:p>
    <w:p>
      <w:pPr>
        <w:spacing w:line="560" w:lineRule="exact"/>
        <w:ind w:firstLine="602" w:firstLineChars="200"/>
        <w:jc w:val="left"/>
        <w:rPr>
          <w:rFonts w:ascii="宋体" w:hAnsi="宋体" w:eastAsia="宋体"/>
          <w:b/>
          <w:bCs/>
          <w:sz w:val="30"/>
          <w:szCs w:val="30"/>
        </w:rPr>
      </w:pPr>
      <w:r>
        <w:rPr>
          <w:rFonts w:hint="eastAsia" w:ascii="宋体" w:hAnsi="宋体" w:eastAsia="宋体"/>
          <w:b/>
          <w:bCs/>
          <w:sz w:val="30"/>
          <w:szCs w:val="30"/>
        </w:rPr>
        <w:t>二、绩效评价工作开展情况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（一）绩效评价目的、对象和范围。</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创建国家森林城市，生态环境更加优良，提高广大群众的生活质量和水平，整个新晃县城，年初预算支出12万元，实际完成支出12万元整，完成整个项目预算的100%。</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(二)绩效评价原则、评价指标体系（附表说明）、评价方法、评价标准等。</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1、绩效评价原则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遵循科学、规范、公正、公开和绩效相关性原则。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2、评价指标体系（附表说明）</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2022年度新晃县项目绩效自评计分标准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3、评价方法</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4、评价标准</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（三）绩效评价过程</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晃财绩[2023]24号《关于开展2022年度部门预算支出绩效自评工作的通知》，本次绩效评价重点评价创建国家森林城市项目资金的绩效情况，填报绩效项目自评申报表，在对所有取得的资料进行分析整理的基础上按照规定格式编写绩效评价工作报告，然后按照绩效评价资料清单上报县财政局。</w:t>
      </w:r>
    </w:p>
    <w:p>
      <w:pPr>
        <w:spacing w:line="560" w:lineRule="exact"/>
        <w:ind w:firstLine="643" w:firstLineChars="200"/>
        <w:jc w:val="left"/>
        <w:rPr>
          <w:rFonts w:hint="eastAsia" w:eastAsia="仿宋_GB2312"/>
          <w:b/>
          <w:bCs/>
          <w:sz w:val="32"/>
          <w:szCs w:val="32"/>
        </w:rPr>
      </w:pPr>
      <w:r>
        <w:rPr>
          <w:rFonts w:hint="eastAsia" w:eastAsia="仿宋_GB2312"/>
          <w:b/>
          <w:bCs/>
          <w:sz w:val="32"/>
          <w:szCs w:val="32"/>
        </w:rPr>
        <w:t>三、综合评价情况及评价结论（附相关评分表）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1、完成了预期绩效目标任务</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（1）完成县对本单位绩效考核任务；</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（2）健全落实城市创森管理制度。</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2、改善了城市形象,提高了城市品位</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增加市民宜居环境，美化了城市的环境，提高了城市品味。</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3、项目的可持续性分析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该项目为辖区居民创造一个美丽的社会生活环境，项目的可持续性较强。</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根据对我所2022年该项目支出绩效评价指标体系和绩效情况的检查，2022年我该局项目支出绩效自评分</w:t>
      </w:r>
      <w:r>
        <w:rPr>
          <w:rFonts w:hint="eastAsia" w:ascii="仿宋_GB2312" w:eastAsia="仿宋_GB2312"/>
          <w:color w:val="000000"/>
          <w:sz w:val="32"/>
          <w:szCs w:val="32"/>
          <w:highlight w:val="none"/>
          <w:lang w:val="en-US" w:eastAsia="zh-CN"/>
        </w:rPr>
        <w:t>89</w:t>
      </w:r>
      <w:r>
        <w:rPr>
          <w:rFonts w:hint="eastAsia" w:ascii="仿宋_GB2312" w:eastAsia="仿宋_GB2312"/>
          <w:color w:val="000000"/>
          <w:sz w:val="32"/>
          <w:szCs w:val="32"/>
          <w:lang w:val="en-US" w:eastAsia="zh-CN"/>
        </w:rPr>
        <w:t>分，为“良好”等级（附件2-1）。</w:t>
      </w:r>
    </w:p>
    <w:p>
      <w:pPr>
        <w:numPr>
          <w:ilvl w:val="0"/>
          <w:numId w:val="0"/>
        </w:numPr>
        <w:spacing w:line="560" w:lineRule="exact"/>
        <w:ind w:leftChars="200"/>
        <w:jc w:val="left"/>
        <w:rPr>
          <w:rFonts w:hint="eastAsia" w:asciiTheme="minorEastAsia" w:hAnsiTheme="minorEastAsia" w:eastAsiaTheme="minorEastAsia"/>
          <w:b/>
          <w:bCs/>
          <w:sz w:val="30"/>
          <w:szCs w:val="30"/>
        </w:rPr>
      </w:pPr>
      <w:r>
        <w:rPr>
          <w:rFonts w:hint="eastAsia" w:asciiTheme="minorEastAsia" w:hAnsiTheme="minorEastAsia" w:eastAsiaTheme="minorEastAsia"/>
          <w:b/>
          <w:bCs/>
          <w:sz w:val="30"/>
          <w:szCs w:val="30"/>
          <w:lang w:val="en-US" w:eastAsia="zh-CN"/>
        </w:rPr>
        <w:t>四、</w:t>
      </w:r>
      <w:r>
        <w:rPr>
          <w:rFonts w:hint="eastAsia" w:asciiTheme="minorEastAsia" w:hAnsiTheme="minorEastAsia" w:eastAsiaTheme="minorEastAsia"/>
          <w:b/>
          <w:bCs/>
          <w:sz w:val="30"/>
          <w:szCs w:val="30"/>
        </w:rPr>
        <w:t>绩效评价指标分析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（一）项目决策情况。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本项目符合社会发展规划和部门年度工作计划，根据实际需要和工作特点制定近期实施计划，为项目的实施提供了较好的方向性指导。</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（二）项目过程情况。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通过执行县委政府的安排，财政预算12万元用于该项目的实施，最终据实结算相关费用支出。同时我局安排专人监督相关部门保质保量完成该项目的正常运转。</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（三）项目产出情况。</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1、推进创森宣传计划12；</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2、严格执行创森方案；</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3、计划进度及时完成；</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3、项目的资金控制在了12万元。</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（四）项目效益情况。</w:t>
      </w:r>
    </w:p>
    <w:p>
      <w:pPr>
        <w:spacing w:line="560" w:lineRule="exact"/>
        <w:ind w:firstLine="640" w:firstLineChars="200"/>
        <w:jc w:val="left"/>
        <w:rPr>
          <w:rFonts w:hint="eastAsia" w:ascii="宋体" w:hAnsi="宋体" w:eastAsia="宋体"/>
          <w:sz w:val="30"/>
          <w:szCs w:val="30"/>
          <w:lang w:val="en-US" w:eastAsia="zh-CN"/>
        </w:rPr>
      </w:pPr>
      <w:r>
        <w:rPr>
          <w:rFonts w:hint="eastAsia" w:ascii="仿宋_GB2312" w:eastAsia="仿宋_GB2312"/>
          <w:color w:val="000000"/>
          <w:sz w:val="32"/>
          <w:szCs w:val="32"/>
          <w:lang w:val="en-US" w:eastAsia="zh-CN"/>
        </w:rPr>
        <w:t>通过对该项目的运行，改善了人居环境。该项目能持续运行，对市民的生产生活能发挥较大作用。通过问卷调查，社会公众满意度≧90%。</w:t>
      </w:r>
    </w:p>
    <w:p>
      <w:pPr>
        <w:spacing w:line="560" w:lineRule="exact"/>
        <w:ind w:firstLine="602" w:firstLineChars="200"/>
        <w:jc w:val="left"/>
        <w:rPr>
          <w:rFonts w:hint="eastAsia" w:ascii="宋体" w:hAnsi="宋体" w:eastAsia="宋体"/>
          <w:b/>
          <w:bCs/>
          <w:sz w:val="30"/>
          <w:szCs w:val="30"/>
        </w:rPr>
      </w:pPr>
    </w:p>
    <w:p>
      <w:pPr>
        <w:spacing w:line="560" w:lineRule="exact"/>
        <w:ind w:firstLine="602" w:firstLineChars="200"/>
        <w:jc w:val="left"/>
        <w:rPr>
          <w:rFonts w:ascii="宋体" w:hAnsi="宋体" w:eastAsia="宋体"/>
          <w:b/>
          <w:bCs/>
          <w:sz w:val="30"/>
          <w:szCs w:val="30"/>
        </w:rPr>
      </w:pPr>
      <w:r>
        <w:rPr>
          <w:rFonts w:hint="eastAsia" w:ascii="宋体" w:hAnsi="宋体" w:eastAsia="宋体"/>
          <w:b/>
          <w:bCs/>
          <w:sz w:val="30"/>
          <w:szCs w:val="30"/>
        </w:rPr>
        <w:t>五、主要经验及做法、存在的问题及原因分析</w:t>
      </w:r>
    </w:p>
    <w:p>
      <w:pPr>
        <w:spacing w:line="560" w:lineRule="exact"/>
        <w:ind w:firstLine="600" w:firstLineChars="200"/>
        <w:jc w:val="left"/>
        <w:rPr>
          <w:rFonts w:hint="eastAsia" w:ascii="宋体" w:hAnsi="宋体" w:cs="Arial"/>
          <w:color w:val="191919"/>
          <w:sz w:val="30"/>
          <w:szCs w:val="30"/>
          <w:shd w:val="clear" w:color="auto" w:fill="FFFFFF"/>
          <w:lang w:val="en-US" w:eastAsia="zh-CN"/>
        </w:rPr>
      </w:pPr>
      <w:r>
        <w:rPr>
          <w:rFonts w:hint="eastAsia" w:ascii="宋体" w:hAnsi="宋体" w:cs="Arial"/>
          <w:color w:val="191919"/>
          <w:sz w:val="30"/>
          <w:szCs w:val="30"/>
          <w:shd w:val="clear" w:color="auto" w:fill="FFFFFF"/>
          <w:lang w:val="en-US" w:eastAsia="zh-CN"/>
        </w:rPr>
        <w:t>无</w:t>
      </w:r>
    </w:p>
    <w:p>
      <w:pPr>
        <w:spacing w:line="560" w:lineRule="exact"/>
        <w:ind w:firstLine="602" w:firstLineChars="200"/>
        <w:jc w:val="left"/>
        <w:rPr>
          <w:rFonts w:ascii="宋体" w:hAnsi="宋体" w:eastAsia="宋体"/>
          <w:b/>
          <w:bCs/>
          <w:sz w:val="30"/>
          <w:szCs w:val="30"/>
        </w:rPr>
      </w:pPr>
      <w:r>
        <w:rPr>
          <w:rFonts w:hint="eastAsia" w:ascii="宋体" w:hAnsi="宋体" w:eastAsia="宋体"/>
          <w:b/>
          <w:bCs/>
          <w:sz w:val="30"/>
          <w:szCs w:val="30"/>
        </w:rPr>
        <w:t>六、有关建议</w:t>
      </w:r>
    </w:p>
    <w:p>
      <w:pPr>
        <w:spacing w:line="560" w:lineRule="exact"/>
        <w:ind w:firstLine="600" w:firstLineChars="200"/>
        <w:jc w:val="left"/>
        <w:rPr>
          <w:rFonts w:ascii="宋体" w:hAnsi="宋体" w:eastAsia="宋体"/>
          <w:bCs/>
          <w:sz w:val="30"/>
          <w:szCs w:val="30"/>
        </w:rPr>
      </w:pPr>
      <w:r>
        <w:rPr>
          <w:rFonts w:hint="eastAsia" w:ascii="宋体" w:hAnsi="宋体" w:eastAsia="宋体"/>
          <w:bCs/>
          <w:sz w:val="30"/>
          <w:szCs w:val="30"/>
        </w:rPr>
        <w:t>无。</w:t>
      </w:r>
    </w:p>
    <w:p>
      <w:pPr>
        <w:spacing w:line="560" w:lineRule="exact"/>
        <w:ind w:firstLine="602" w:firstLineChars="200"/>
        <w:jc w:val="left"/>
        <w:rPr>
          <w:rFonts w:ascii="宋体" w:hAnsi="宋体" w:eastAsia="宋体"/>
          <w:b/>
          <w:bCs/>
          <w:sz w:val="30"/>
          <w:szCs w:val="30"/>
        </w:rPr>
      </w:pPr>
      <w:r>
        <w:rPr>
          <w:rFonts w:hint="eastAsia" w:ascii="宋体" w:hAnsi="宋体" w:eastAsia="宋体"/>
          <w:b/>
          <w:bCs/>
          <w:sz w:val="30"/>
          <w:szCs w:val="30"/>
        </w:rPr>
        <w:t>七、其他需要说明的问题</w:t>
      </w:r>
    </w:p>
    <w:p>
      <w:pPr>
        <w:pStyle w:val="5"/>
        <w:widowControl w:val="0"/>
        <w:spacing w:before="0" w:beforeAutospacing="0" w:after="0" w:afterAutospacing="0" w:line="52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rPr>
        <w:t>无。</w:t>
      </w:r>
    </w:p>
    <w:p>
      <w:pPr>
        <w:pStyle w:val="5"/>
        <w:widowControl w:val="0"/>
        <w:spacing w:before="0" w:beforeAutospacing="0" w:after="0" w:afterAutospacing="0" w:line="520" w:lineRule="exact"/>
        <w:rPr>
          <w:rFonts w:hint="eastAsia" w:ascii="宋体" w:hAnsi="宋体" w:eastAsia="宋体" w:cs="Times New Roman"/>
          <w:sz w:val="30"/>
          <w:szCs w:val="30"/>
        </w:rPr>
      </w:pPr>
    </w:p>
    <w:p>
      <w:pPr>
        <w:pStyle w:val="5"/>
        <w:widowControl w:val="0"/>
        <w:spacing w:before="0" w:beforeAutospacing="0" w:after="0" w:afterAutospacing="0" w:line="520" w:lineRule="exact"/>
        <w:ind w:firstLine="600" w:firstLineChars="200"/>
        <w:rPr>
          <w:rFonts w:ascii="宋体" w:hAnsi="宋体" w:eastAsia="宋体" w:cs="Times New Roman"/>
          <w:sz w:val="30"/>
          <w:szCs w:val="30"/>
        </w:rPr>
      </w:pPr>
    </w:p>
    <w:p>
      <w:pPr>
        <w:ind w:left="8400" w:hanging="8400" w:hangingChars="2800"/>
        <w:rPr>
          <w:rFonts w:ascii="宋体" w:hAnsi="宋体" w:eastAsia="宋体"/>
          <w:sz w:val="30"/>
          <w:szCs w:val="30"/>
        </w:rPr>
      </w:pPr>
      <w:r>
        <w:rPr>
          <w:rFonts w:ascii="宋体" w:hAnsi="宋体" w:eastAsia="宋体"/>
          <w:sz w:val="30"/>
          <w:szCs w:val="30"/>
        </w:rPr>
        <w:t xml:space="preserve">                                  </w:t>
      </w:r>
      <w:r>
        <w:rPr>
          <w:rFonts w:hint="eastAsia" w:ascii="宋体" w:hAnsi="宋体" w:eastAsia="宋体"/>
          <w:sz w:val="30"/>
          <w:szCs w:val="30"/>
        </w:rPr>
        <w:t xml:space="preserve"> </w:t>
      </w:r>
      <w:r>
        <w:rPr>
          <w:rFonts w:ascii="宋体" w:hAnsi="宋体" w:eastAsia="宋体"/>
          <w:sz w:val="30"/>
          <w:szCs w:val="30"/>
        </w:rPr>
        <w:t xml:space="preserve">   </w:t>
      </w:r>
      <w:r>
        <w:rPr>
          <w:rFonts w:hint="eastAsia" w:ascii="宋体" w:hAnsi="宋体" w:eastAsia="宋体"/>
          <w:sz w:val="30"/>
          <w:szCs w:val="30"/>
        </w:rPr>
        <w:t xml:space="preserve">  </w:t>
      </w:r>
      <w:r>
        <w:rPr>
          <w:rFonts w:ascii="宋体" w:hAnsi="宋体" w:eastAsia="宋体"/>
          <w:sz w:val="30"/>
          <w:szCs w:val="30"/>
        </w:rPr>
        <w:t xml:space="preserve">项目单位（签）                        </w:t>
      </w:r>
    </w:p>
    <w:p>
      <w:pPr>
        <w:ind w:right="600"/>
        <w:jc w:val="right"/>
        <w:rPr>
          <w:rFonts w:hint="eastAsia"/>
          <w:lang w:val="en-US" w:eastAsia="zh-CN"/>
        </w:rPr>
      </w:pPr>
      <w:r>
        <w:rPr>
          <w:rFonts w:hint="eastAsia" w:ascii="宋体" w:hAnsi="宋体" w:eastAsia="宋体"/>
          <w:sz w:val="30"/>
          <w:szCs w:val="30"/>
        </w:rPr>
        <w:t xml:space="preserve"> </w:t>
      </w:r>
      <w:r>
        <w:rPr>
          <w:rFonts w:ascii="宋体" w:hAnsi="宋体" w:eastAsia="宋体"/>
          <w:sz w:val="30"/>
          <w:szCs w:val="30"/>
        </w:rPr>
        <w:t xml:space="preserve">  </w:t>
      </w:r>
      <w:r>
        <w:rPr>
          <w:rFonts w:hint="eastAsia" w:ascii="宋体" w:hAnsi="宋体" w:eastAsia="宋体"/>
          <w:sz w:val="30"/>
          <w:szCs w:val="30"/>
        </w:rPr>
        <w:t>5</w:t>
      </w:r>
      <w:r>
        <w:rPr>
          <w:rFonts w:ascii="宋体" w:hAnsi="宋体" w:eastAsia="宋体"/>
          <w:sz w:val="30"/>
          <w:szCs w:val="30"/>
        </w:rPr>
        <w:t xml:space="preserve"> 月 </w:t>
      </w:r>
      <w:r>
        <w:rPr>
          <w:rFonts w:hint="eastAsia" w:ascii="宋体" w:hAnsi="宋体" w:eastAsia="宋体"/>
          <w:sz w:val="30"/>
          <w:szCs w:val="30"/>
          <w:lang w:val="en-US" w:eastAsia="zh-CN"/>
        </w:rPr>
        <w:t>18</w:t>
      </w:r>
      <w:r>
        <w:rPr>
          <w:rFonts w:ascii="宋体" w:hAnsi="宋体" w:eastAsia="宋体"/>
          <w:sz w:val="30"/>
          <w:szCs w:val="30"/>
        </w:rPr>
        <w:t xml:space="preserve"> 日</w:t>
      </w: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480" w:lineRule="exact"/>
        <w:jc w:val="center"/>
        <w:rPr>
          <w:rFonts w:eastAsia="方正粗宋简体"/>
          <w:w w:val="85"/>
          <w:sz w:val="44"/>
          <w:szCs w:val="44"/>
        </w:rPr>
      </w:pPr>
      <w:r>
        <w:rPr>
          <w:rFonts w:eastAsia="方正粗宋简体"/>
          <w:w w:val="85"/>
          <w:sz w:val="44"/>
          <w:szCs w:val="44"/>
        </w:rPr>
        <w:t>202</w:t>
      </w:r>
      <w:r>
        <w:rPr>
          <w:rFonts w:hint="eastAsia" w:eastAsia="方正粗宋简体"/>
          <w:w w:val="85"/>
          <w:sz w:val="44"/>
          <w:szCs w:val="44"/>
          <w:lang w:val="en-US" w:eastAsia="zh-CN"/>
        </w:rPr>
        <w:t>2</w:t>
      </w:r>
      <w:r>
        <w:rPr>
          <w:rFonts w:hAnsi="方正粗宋简体" w:eastAsia="方正粗宋简体"/>
          <w:w w:val="85"/>
          <w:sz w:val="44"/>
          <w:szCs w:val="44"/>
        </w:rPr>
        <w:t>年度新晃县项目</w:t>
      </w:r>
      <w:r>
        <w:rPr>
          <w:rFonts w:hint="eastAsia" w:hAnsi="方正粗宋简体" w:eastAsia="方正粗宋简体"/>
          <w:w w:val="85"/>
          <w:sz w:val="44"/>
          <w:szCs w:val="44"/>
        </w:rPr>
        <w:t>支出</w:t>
      </w:r>
      <w:r>
        <w:rPr>
          <w:rFonts w:hAnsi="方正粗宋简体" w:eastAsia="方正粗宋简体"/>
          <w:w w:val="85"/>
          <w:sz w:val="44"/>
          <w:szCs w:val="44"/>
        </w:rPr>
        <w:t>绩效</w:t>
      </w:r>
      <w:r>
        <w:rPr>
          <w:rFonts w:hint="eastAsia" w:hAnsi="方正粗宋简体" w:eastAsia="方正粗宋简体"/>
          <w:w w:val="85"/>
          <w:sz w:val="44"/>
          <w:szCs w:val="44"/>
        </w:rPr>
        <w:t>自评</w:t>
      </w:r>
      <w:r>
        <w:rPr>
          <w:rFonts w:hAnsi="方正粗宋简体" w:eastAsia="方正粗宋简体"/>
          <w:w w:val="85"/>
          <w:sz w:val="44"/>
          <w:szCs w:val="44"/>
        </w:rPr>
        <w:t>表</w:t>
      </w:r>
    </w:p>
    <w:p>
      <w:pPr>
        <w:spacing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6"/>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项目单位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一非两违项目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rPr>
              <w:t>城市</w:t>
            </w:r>
            <w:r>
              <w:rPr>
                <w:rFonts w:hint="eastAsia" w:ascii="仿宋_GB2312" w:hAnsi="仿宋_GB2312" w:eastAsia="仿宋_GB2312" w:cs="仿宋_GB2312"/>
                <w:szCs w:val="21"/>
                <w:lang w:val="en-US" w:eastAsia="zh-CN"/>
              </w:rPr>
              <w:t>管理和综合执法局</w:t>
            </w:r>
          </w:p>
        </w:tc>
        <w:tc>
          <w:tcPr>
            <w:tcW w:w="1628"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吴俊达</w:t>
            </w:r>
          </w:p>
        </w:tc>
        <w:tc>
          <w:tcPr>
            <w:tcW w:w="1206"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eastAsia="zh-CN"/>
              </w:rPr>
              <w:t>15115163888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项目资金</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pPr>
              <w:spacing w:line="320" w:lineRule="exact"/>
              <w:jc w:val="center"/>
              <w:rPr>
                <w:rFonts w:ascii="仿宋_GB2312" w:hAnsi="仿宋_GB2312" w:eastAsia="仿宋_GB2312" w:cs="仿宋_GB2312"/>
                <w:szCs w:val="21"/>
              </w:rPr>
            </w:pPr>
          </w:p>
        </w:tc>
        <w:tc>
          <w:tcPr>
            <w:tcW w:w="1143"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1800"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25</w:t>
            </w:r>
          </w:p>
        </w:tc>
        <w:tc>
          <w:tcPr>
            <w:tcW w:w="1628"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2303"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25</w:t>
            </w:r>
          </w:p>
        </w:tc>
        <w:tc>
          <w:tcPr>
            <w:tcW w:w="1702" w:type="dxa"/>
            <w:gridSpan w:val="2"/>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100</w:t>
            </w:r>
            <w:r>
              <w:rPr>
                <w:rFonts w:hint="eastAsia" w:ascii="仿宋_GB2312" w:hAnsi="仿宋_GB2312" w:eastAsia="仿宋_GB2312" w:cs="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财政复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100</w:t>
            </w:r>
            <w:r>
              <w:rPr>
                <w:rFonts w:hint="eastAsia" w:ascii="仿宋_GB2312" w:hAnsi="仿宋_GB2312" w:eastAsia="仿宋_GB2312" w:cs="仿宋_GB2312"/>
                <w:szCs w:val="21"/>
              </w:rPr>
              <w:t>%。</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本项目建立了项目管理</w:t>
            </w:r>
            <w:r>
              <w:rPr>
                <w:rFonts w:hint="eastAsia" w:ascii="仿宋_GB2312" w:hAnsi="仿宋_GB2312" w:eastAsia="仿宋_GB2312" w:cs="仿宋_GB2312"/>
                <w:szCs w:val="21"/>
                <w:lang w:val="en-US" w:eastAsia="zh-CN"/>
              </w:rPr>
              <w:t>及补偿</w:t>
            </w:r>
            <w:r>
              <w:rPr>
                <w:rFonts w:hint="eastAsia" w:ascii="仿宋_GB2312" w:hAnsi="仿宋_GB2312" w:eastAsia="仿宋_GB2312" w:cs="仿宋_GB2312"/>
                <w:szCs w:val="21"/>
              </w:rPr>
              <w:t>制度，并严格按相关制度执行。</w:t>
            </w:r>
          </w:p>
        </w:tc>
        <w:tc>
          <w:tcPr>
            <w:tcW w:w="83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资金支出</w:t>
            </w:r>
          </w:p>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noWrap w:val="0"/>
            <w:tcMar>
              <w:top w:w="0" w:type="dxa"/>
              <w:left w:w="105" w:type="dxa"/>
              <w:bottom w:w="0" w:type="dxa"/>
              <w:right w:w="105" w:type="dxa"/>
            </w:tcMar>
            <w:vAlign w:val="center"/>
          </w:tcPr>
          <w:p>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rPr>
              <w:t>“两违”建设审批100%不通过，“两违”建筑应拆尽拆。</w:t>
            </w:r>
          </w:p>
        </w:tc>
        <w:tc>
          <w:tcPr>
            <w:tcW w:w="83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rPr>
              <w:t>2</w:t>
            </w:r>
            <w:r>
              <w:rPr>
                <w:rFonts w:hint="eastAsia" w:ascii="仿宋_GB2312" w:hAnsi="仿宋_GB2312" w:eastAsia="仿宋_GB2312" w:cs="仿宋_GB2312"/>
                <w:szCs w:val="21"/>
                <w:lang w:val="en-US" w:eastAsia="zh-CN"/>
              </w:rPr>
              <w:t>5</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noWrap w:val="0"/>
            <w:tcMar>
              <w:top w:w="0" w:type="dxa"/>
              <w:left w:w="105" w:type="dxa"/>
              <w:bottom w:w="0" w:type="dxa"/>
              <w:right w:w="105" w:type="dxa"/>
            </w:tcMar>
            <w:vAlign w:val="center"/>
          </w:tcPr>
          <w:p>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减少城市违章建筑，美化城市规划，</w:t>
            </w:r>
          </w:p>
        </w:tc>
        <w:tc>
          <w:tcPr>
            <w:tcW w:w="83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17</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lang w:val="en-US" w:eastAsia="zh-CN"/>
              </w:rPr>
              <w:t>通过调查，群众满意度</w:t>
            </w:r>
            <w:r>
              <w:rPr>
                <w:rFonts w:hint="eastAsia" w:ascii="仿宋_GB2312" w:hAnsi="仿宋_GB2312" w:eastAsia="仿宋_GB2312" w:cs="仿宋_GB2312"/>
                <w:szCs w:val="21"/>
              </w:rPr>
              <w:t>90%。</w:t>
            </w:r>
          </w:p>
        </w:tc>
        <w:tc>
          <w:tcPr>
            <w:tcW w:w="83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val="en-US" w:eastAsia="zh-CN"/>
              </w:rPr>
              <w:t>9</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91</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91</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7433" w:type="dxa"/>
            <w:gridSpan w:val="6"/>
            <w:noWrap w:val="0"/>
            <w:tcMar>
              <w:top w:w="0" w:type="dxa"/>
              <w:left w:w="105" w:type="dxa"/>
              <w:bottom w:w="0" w:type="dxa"/>
              <w:right w:w="105" w:type="dxa"/>
            </w:tcMar>
            <w:vAlign w:val="center"/>
          </w:tcPr>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优秀  90分≤得分≤100分；    </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pPr>
        <w:spacing w:line="320" w:lineRule="exact"/>
        <w:ind w:left="0"/>
        <w:jc w:val="left"/>
        <w:rPr>
          <w:rFonts w:ascii="华文中宋" w:hAnsi="华文中宋" w:eastAsia="华文中宋"/>
          <w:sz w:val="8"/>
          <w:szCs w:val="10"/>
        </w:rPr>
      </w:pPr>
    </w:p>
    <w:p>
      <w:pPr>
        <w:spacing w:line="320" w:lineRule="exact"/>
        <w:ind w:left="0"/>
        <w:jc w:val="left"/>
        <w:rPr>
          <w:rFonts w:ascii="华文中宋" w:hAnsi="华文中宋" w:eastAsia="华文中宋"/>
          <w:szCs w:val="21"/>
        </w:rPr>
      </w:pPr>
      <w:r>
        <w:rPr>
          <w:rFonts w:ascii="华文中宋" w:hAnsi="华文中宋" w:eastAsia="华文中宋"/>
          <w:szCs w:val="21"/>
        </w:rPr>
        <w:t xml:space="preserve">单位负责人（签字）： </w:t>
      </w:r>
      <w:r>
        <w:rPr>
          <w:rFonts w:hint="eastAsia" w:ascii="华文中宋" w:hAnsi="华文中宋" w:eastAsia="华文中宋"/>
          <w:szCs w:val="21"/>
          <w:lang w:val="en-US" w:eastAsia="zh-CN"/>
        </w:rPr>
        <w:t xml:space="preserve">  </w:t>
      </w:r>
      <w:r>
        <w:rPr>
          <w:rFonts w:ascii="华文中宋" w:hAnsi="华文中宋" w:eastAsia="华文中宋"/>
          <w:szCs w:val="21"/>
        </w:rPr>
        <w:t xml:space="preserve"> 项目负责人（签字）：</w:t>
      </w:r>
      <w:r>
        <w:rPr>
          <w:rFonts w:hint="eastAsia" w:ascii="华文中宋" w:hAnsi="华文中宋" w:eastAsia="华文中宋"/>
          <w:szCs w:val="21"/>
          <w:lang w:val="en-US" w:eastAsia="zh-CN"/>
        </w:rPr>
        <w:t xml:space="preserve">  </w:t>
      </w:r>
      <w:r>
        <w:rPr>
          <w:rFonts w:hint="eastAsia" w:ascii="华文中宋" w:hAnsi="华文中宋" w:eastAsia="华文中宋"/>
          <w:szCs w:val="21"/>
        </w:rPr>
        <w:t xml:space="preserve"> </w:t>
      </w:r>
      <w:r>
        <w:rPr>
          <w:rFonts w:ascii="华文中宋" w:hAnsi="华文中宋" w:eastAsia="华文中宋"/>
          <w:szCs w:val="21"/>
        </w:rPr>
        <w:t xml:space="preserve"> 填表日期： </w:t>
      </w:r>
      <w:r>
        <w:rPr>
          <w:rFonts w:hint="eastAsia" w:ascii="华文中宋" w:hAnsi="华文中宋" w:eastAsia="华文中宋"/>
          <w:szCs w:val="21"/>
        </w:rPr>
        <w:t>202</w:t>
      </w:r>
      <w:r>
        <w:rPr>
          <w:rFonts w:hint="eastAsia" w:ascii="华文中宋" w:hAnsi="华文中宋" w:eastAsia="华文中宋"/>
          <w:szCs w:val="21"/>
          <w:lang w:val="en-US" w:eastAsia="zh-CN"/>
        </w:rPr>
        <w:t>3</w:t>
      </w:r>
      <w:r>
        <w:rPr>
          <w:rFonts w:hint="eastAsia" w:ascii="华文中宋" w:hAnsi="华文中宋" w:eastAsia="华文中宋"/>
          <w:szCs w:val="21"/>
        </w:rPr>
        <w:t xml:space="preserve"> </w:t>
      </w:r>
      <w:r>
        <w:rPr>
          <w:rFonts w:ascii="华文中宋" w:hAnsi="华文中宋" w:eastAsia="华文中宋"/>
          <w:szCs w:val="21"/>
        </w:rPr>
        <w:t>年</w:t>
      </w:r>
      <w:r>
        <w:rPr>
          <w:rFonts w:hint="eastAsia" w:ascii="华文中宋" w:hAnsi="华文中宋" w:eastAsia="华文中宋"/>
          <w:szCs w:val="21"/>
          <w:lang w:val="en-US" w:eastAsia="zh-CN"/>
        </w:rPr>
        <w:t>5</w:t>
      </w:r>
      <w:r>
        <w:rPr>
          <w:rFonts w:ascii="华文中宋" w:hAnsi="华文中宋" w:eastAsia="华文中宋"/>
          <w:szCs w:val="21"/>
        </w:rPr>
        <w:t xml:space="preserve"> 月</w:t>
      </w:r>
      <w:r>
        <w:rPr>
          <w:rFonts w:hint="eastAsia" w:ascii="华文中宋" w:hAnsi="华文中宋" w:eastAsia="华文中宋"/>
          <w:szCs w:val="21"/>
          <w:lang w:val="en-US" w:eastAsia="zh-CN"/>
        </w:rPr>
        <w:t>18</w:t>
      </w:r>
      <w:r>
        <w:rPr>
          <w:rFonts w:ascii="华文中宋" w:hAnsi="华文中宋" w:eastAsia="华文中宋"/>
          <w:szCs w:val="21"/>
        </w:rPr>
        <w:t xml:space="preserve"> 日</w:t>
      </w:r>
    </w:p>
    <w:p>
      <w:pPr>
        <w:spacing w:before="240" w:line="340" w:lineRule="exact"/>
        <w:jc w:val="left"/>
        <w:rPr>
          <w:rFonts w:hint="eastAsia" w:ascii="宋体" w:hAnsi="宋体" w:eastAsia="宋体" w:cs="仿宋_GB2312"/>
          <w:sz w:val="30"/>
          <w:szCs w:val="30"/>
        </w:rPr>
      </w:pPr>
    </w:p>
    <w:p>
      <w:pPr>
        <w:spacing w:before="240" w:line="340" w:lineRule="exact"/>
        <w:ind w:left="0"/>
        <w:jc w:val="left"/>
        <w:rPr>
          <w:rFonts w:ascii="宋体" w:hAnsi="宋体" w:eastAsia="宋体"/>
          <w:sz w:val="30"/>
          <w:szCs w:val="30"/>
        </w:rPr>
      </w:pPr>
      <w:r>
        <w:rPr>
          <w:rFonts w:hint="eastAsia" w:ascii="宋体" w:hAnsi="宋体" w:eastAsia="宋体" w:cs="仿宋_GB2312"/>
          <w:sz w:val="30"/>
          <w:szCs w:val="30"/>
        </w:rPr>
        <w:t>附件2-3 </w:t>
      </w:r>
    </w:p>
    <w:p>
      <w:pPr>
        <w:spacing w:line="600" w:lineRule="exact"/>
        <w:jc w:val="center"/>
        <w:rPr>
          <w:rFonts w:ascii="宋体" w:hAnsi="宋体" w:eastAsia="宋体"/>
          <w:w w:val="85"/>
          <w:sz w:val="30"/>
          <w:szCs w:val="30"/>
        </w:rPr>
      </w:pPr>
      <w:r>
        <w:rPr>
          <w:rFonts w:ascii="宋体" w:hAnsi="宋体" w:eastAsia="宋体"/>
          <w:w w:val="85"/>
          <w:sz w:val="30"/>
          <w:szCs w:val="30"/>
        </w:rPr>
        <w:t> 202</w:t>
      </w:r>
      <w:r>
        <w:rPr>
          <w:rFonts w:hint="eastAsia" w:ascii="宋体" w:hAnsi="宋体" w:eastAsia="宋体"/>
          <w:w w:val="85"/>
          <w:sz w:val="30"/>
          <w:szCs w:val="30"/>
        </w:rPr>
        <w:t>1</w:t>
      </w:r>
      <w:r>
        <w:rPr>
          <w:rFonts w:ascii="宋体" w:hAnsi="宋体" w:eastAsia="宋体"/>
          <w:w w:val="85"/>
          <w:sz w:val="30"/>
          <w:szCs w:val="30"/>
        </w:rPr>
        <w:t>年度新晃县</w:t>
      </w:r>
      <w:r>
        <w:rPr>
          <w:rFonts w:hint="eastAsia" w:ascii="宋体" w:hAnsi="宋体" w:eastAsia="宋体"/>
          <w:w w:val="85"/>
          <w:sz w:val="30"/>
          <w:szCs w:val="30"/>
        </w:rPr>
        <w:t>项目</w:t>
      </w:r>
      <w:r>
        <w:rPr>
          <w:rFonts w:ascii="宋体" w:hAnsi="宋体" w:eastAsia="宋体"/>
          <w:w w:val="85"/>
          <w:sz w:val="30"/>
          <w:szCs w:val="30"/>
        </w:rPr>
        <w:t>支出</w:t>
      </w:r>
      <w:r>
        <w:rPr>
          <w:rFonts w:hint="eastAsia" w:ascii="宋体" w:hAnsi="宋体" w:eastAsia="宋体"/>
          <w:w w:val="85"/>
          <w:sz w:val="30"/>
          <w:szCs w:val="30"/>
        </w:rPr>
        <w:t>绩效</w:t>
      </w:r>
      <w:r>
        <w:rPr>
          <w:rFonts w:ascii="宋体" w:hAnsi="宋体" w:eastAsia="宋体"/>
          <w:w w:val="85"/>
          <w:sz w:val="30"/>
          <w:szCs w:val="30"/>
        </w:rPr>
        <w:t>自评报告</w:t>
      </w:r>
    </w:p>
    <w:p>
      <w:pPr>
        <w:spacing w:line="560" w:lineRule="exact"/>
        <w:ind w:firstLine="602" w:firstLineChars="200"/>
        <w:jc w:val="left"/>
        <w:rPr>
          <w:rFonts w:ascii="宋体" w:hAnsi="宋体" w:eastAsia="宋体"/>
          <w:b/>
          <w:bCs/>
          <w:sz w:val="30"/>
          <w:szCs w:val="30"/>
        </w:rPr>
      </w:pPr>
      <w:r>
        <w:rPr>
          <w:rFonts w:hint="eastAsia" w:ascii="宋体" w:hAnsi="宋体" w:eastAsia="宋体"/>
          <w:b/>
          <w:bCs/>
          <w:sz w:val="30"/>
          <w:szCs w:val="30"/>
        </w:rPr>
        <w:t>一、基本情况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（一）项目概况。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及时查处城区范围内的违章建筑。</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（二）项目绩效目标。</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“两违”建设的查处：1.“两违”建设审批100%不通过，“两违”建筑应拆尽拆。</w:t>
      </w:r>
    </w:p>
    <w:p>
      <w:pPr>
        <w:spacing w:line="560" w:lineRule="exact"/>
        <w:ind w:firstLine="602" w:firstLineChars="200"/>
        <w:jc w:val="left"/>
        <w:rPr>
          <w:rFonts w:ascii="宋体" w:hAnsi="宋体" w:eastAsia="宋体"/>
          <w:b/>
          <w:bCs/>
          <w:sz w:val="30"/>
          <w:szCs w:val="30"/>
        </w:rPr>
      </w:pPr>
      <w:r>
        <w:rPr>
          <w:rFonts w:hint="eastAsia" w:ascii="宋体" w:hAnsi="宋体" w:eastAsia="宋体"/>
          <w:b/>
          <w:bCs/>
          <w:sz w:val="30"/>
          <w:szCs w:val="30"/>
        </w:rPr>
        <w:t>二、绩效评价工作开展情况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（一）绩效评价目的、对象和范围。</w:t>
      </w:r>
    </w:p>
    <w:p>
      <w:pPr>
        <w:spacing w:line="600" w:lineRule="exact"/>
        <w:ind w:left="0" w:firstLine="640" w:firstLineChars="200"/>
        <w:textAlignment w:val="auto"/>
        <w:rPr>
          <w:rFonts w:hint="eastAsia" w:ascii="宋体" w:hAnsi="宋体" w:eastAsia="宋体" w:cs="仿宋_GB2312"/>
          <w:sz w:val="30"/>
          <w:szCs w:val="30"/>
        </w:rPr>
      </w:pPr>
      <w:r>
        <w:rPr>
          <w:rFonts w:hint="eastAsia" w:ascii="仿宋_GB2312" w:eastAsia="仿宋_GB2312"/>
          <w:color w:val="000000"/>
          <w:sz w:val="32"/>
          <w:szCs w:val="32"/>
          <w:lang w:val="en-US" w:eastAsia="zh-CN"/>
        </w:rPr>
        <w:t>对我县城市建设违法违章行为进行了联合整治。2022年城区违法建筑监督执法支出25万元，本项目预算经费25万元，完成预算的100%。</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(二)绩效评价原则、评价指标体系（附表说明）、评价方法、评价标准等。</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1、绩效评价原则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遵循科学、规范、公正、公开和绩效相关性原则。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2、评价指标体系（附表说明）</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2022年度新晃县项目绩效自评计分标准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3、评价方法</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4、评价标准</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（三）绩效评价过程</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晃财绩[2023]24号《关于开展2022年度部门预算支出绩效自评工作的通知》，本次绩效评价重点评价一非两违项目资金的绩效情况，填报绩效项目自评申报表，在对所有取得的资料进行分析整理的基础上按照规定格式编写绩效评价工作报告，然后按照绩效评价资料清单上报县财政局。</w:t>
      </w:r>
    </w:p>
    <w:p>
      <w:pPr>
        <w:spacing w:line="560" w:lineRule="exact"/>
        <w:ind w:firstLine="643" w:firstLineChars="200"/>
        <w:jc w:val="left"/>
        <w:rPr>
          <w:rFonts w:hint="eastAsia" w:eastAsia="仿宋_GB2312"/>
          <w:b/>
          <w:bCs/>
          <w:sz w:val="32"/>
          <w:szCs w:val="32"/>
        </w:rPr>
      </w:pPr>
      <w:r>
        <w:rPr>
          <w:rFonts w:hint="eastAsia" w:eastAsia="仿宋_GB2312"/>
          <w:b/>
          <w:bCs/>
          <w:sz w:val="32"/>
          <w:szCs w:val="32"/>
        </w:rPr>
        <w:t>三、综合评价情况及评价结论（附相关评分表）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1、完成了预期绩效目标任务</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全年共下达《责令停止违法行为通知书》53份，《限期整改通知书》14份，立案10起，限期自行拆除3起，强拆7起，累计拆除违建建筑面积4136.55㎡，新增违法建设势头得到遏制。圆满完成上级及本级的各项工作任务。</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2、改善了城市形象,提高了城市品位</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增加市民宜居环境，美化了城市的环境，减少了违建，消除了部分安全隐患，提高了城市品味。</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3、项目的可持续性分析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该项目为辖区居民创造一个美丽的社会生活环境，项目的可持续性较强。</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根据对我所2022年该项目支出绩效评价指标体系和绩效情况的检查，2022年我该局项目支出绩效自评分</w:t>
      </w:r>
      <w:r>
        <w:rPr>
          <w:rFonts w:hint="eastAsia" w:ascii="仿宋_GB2312" w:eastAsia="仿宋_GB2312"/>
          <w:color w:val="000000"/>
          <w:sz w:val="32"/>
          <w:szCs w:val="32"/>
          <w:highlight w:val="none"/>
          <w:lang w:val="en-US" w:eastAsia="zh-CN"/>
        </w:rPr>
        <w:t>91</w:t>
      </w:r>
      <w:r>
        <w:rPr>
          <w:rFonts w:hint="eastAsia" w:ascii="仿宋_GB2312" w:eastAsia="仿宋_GB2312"/>
          <w:color w:val="000000"/>
          <w:sz w:val="32"/>
          <w:szCs w:val="32"/>
          <w:lang w:val="en-US" w:eastAsia="zh-CN"/>
        </w:rPr>
        <w:t>分，为“优秀”等级（附件2-1）。</w:t>
      </w:r>
    </w:p>
    <w:p>
      <w:pPr>
        <w:numPr>
          <w:ilvl w:val="0"/>
          <w:numId w:val="0"/>
        </w:numPr>
        <w:spacing w:line="560" w:lineRule="exact"/>
        <w:ind w:leftChars="200"/>
        <w:jc w:val="left"/>
        <w:rPr>
          <w:rFonts w:hint="eastAsia" w:asciiTheme="minorEastAsia" w:hAnsiTheme="minorEastAsia" w:eastAsiaTheme="minorEastAsia"/>
          <w:b/>
          <w:bCs/>
          <w:sz w:val="30"/>
          <w:szCs w:val="30"/>
        </w:rPr>
      </w:pPr>
      <w:r>
        <w:rPr>
          <w:rFonts w:hint="eastAsia" w:asciiTheme="minorEastAsia" w:hAnsiTheme="minorEastAsia" w:eastAsiaTheme="minorEastAsia"/>
          <w:b/>
          <w:bCs/>
          <w:sz w:val="30"/>
          <w:szCs w:val="30"/>
          <w:lang w:val="en-US" w:eastAsia="zh-CN"/>
        </w:rPr>
        <w:t>四、</w:t>
      </w:r>
      <w:r>
        <w:rPr>
          <w:rFonts w:hint="eastAsia" w:asciiTheme="minorEastAsia" w:hAnsiTheme="minorEastAsia" w:eastAsiaTheme="minorEastAsia"/>
          <w:b/>
          <w:bCs/>
          <w:sz w:val="30"/>
          <w:szCs w:val="30"/>
        </w:rPr>
        <w:t>绩效评价指标分析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（一）项目决策情况。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本项目符合社会发展规划和部门年度工作计划，根据实际需要和工作特点制定近期实施计划，为项目的实施提供了较好的方向性指导。</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（二）项目过程情况。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通过执行县委政府的安排，财政预算25万元用于该项目的实施，最终据实结算相关费用支出。同时我局安排专人监督相关部门保质保量完成该项目的正常运转。</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（三）项目产出情况。</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1、定期开展巡查工作，全年大于250余次；</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2、对违章建筑进行行政处罚，基本控制违章建筑数量；</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3、各项支出资金得到及时拨付；</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3、项目的资金控制在了25万元。</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（四）项目效益情况。</w:t>
      </w:r>
    </w:p>
    <w:p>
      <w:pPr>
        <w:spacing w:line="560" w:lineRule="exact"/>
        <w:ind w:firstLine="640" w:firstLineChars="200"/>
        <w:jc w:val="left"/>
        <w:rPr>
          <w:rFonts w:hint="eastAsia" w:ascii="宋体" w:hAnsi="宋体" w:eastAsia="宋体"/>
          <w:sz w:val="30"/>
          <w:szCs w:val="30"/>
          <w:lang w:val="en-US" w:eastAsia="zh-CN"/>
        </w:rPr>
      </w:pPr>
      <w:r>
        <w:rPr>
          <w:rFonts w:hint="eastAsia" w:ascii="仿宋_GB2312" w:eastAsia="仿宋_GB2312"/>
          <w:color w:val="000000"/>
          <w:sz w:val="32"/>
          <w:szCs w:val="32"/>
          <w:lang w:val="en-US" w:eastAsia="zh-CN"/>
        </w:rPr>
        <w:t>通过对该项目的运行，改善了人居环境，减少了违章建筑，消除了安全隐患。该项目能持续运行，对市民的生产生活能发挥较大作用。通过问卷调查，社会公众满意度≧95%。</w:t>
      </w:r>
    </w:p>
    <w:p>
      <w:pPr>
        <w:spacing w:line="560" w:lineRule="exact"/>
        <w:ind w:firstLine="602" w:firstLineChars="200"/>
        <w:jc w:val="left"/>
        <w:rPr>
          <w:rFonts w:ascii="宋体" w:hAnsi="宋体" w:eastAsia="宋体"/>
          <w:b/>
          <w:bCs/>
          <w:sz w:val="30"/>
          <w:szCs w:val="30"/>
        </w:rPr>
      </w:pPr>
      <w:r>
        <w:rPr>
          <w:rFonts w:hint="eastAsia" w:ascii="宋体" w:hAnsi="宋体" w:eastAsia="宋体"/>
          <w:b/>
          <w:bCs/>
          <w:sz w:val="30"/>
          <w:szCs w:val="30"/>
        </w:rPr>
        <w:t>五、主要经验及做法、存在的问题及原因分析</w:t>
      </w:r>
    </w:p>
    <w:p>
      <w:pPr>
        <w:spacing w:line="560" w:lineRule="exact"/>
        <w:ind w:firstLine="600" w:firstLineChars="200"/>
        <w:jc w:val="left"/>
        <w:rPr>
          <w:rFonts w:hint="eastAsia" w:ascii="宋体" w:hAnsi="宋体" w:cs="Arial"/>
          <w:color w:val="191919"/>
          <w:sz w:val="30"/>
          <w:szCs w:val="30"/>
          <w:shd w:val="clear" w:color="auto" w:fill="FFFFFF"/>
          <w:lang w:val="en-US" w:eastAsia="zh-CN"/>
        </w:rPr>
      </w:pPr>
      <w:r>
        <w:rPr>
          <w:rFonts w:hint="eastAsia" w:ascii="宋体" w:hAnsi="宋体" w:cs="Arial"/>
          <w:color w:val="191919"/>
          <w:sz w:val="30"/>
          <w:szCs w:val="30"/>
          <w:shd w:val="clear" w:color="auto" w:fill="FFFFFF"/>
          <w:lang w:val="en-US" w:eastAsia="zh-CN"/>
        </w:rPr>
        <w:t>无</w:t>
      </w:r>
    </w:p>
    <w:p>
      <w:pPr>
        <w:spacing w:line="560" w:lineRule="exact"/>
        <w:ind w:firstLine="602" w:firstLineChars="200"/>
        <w:jc w:val="left"/>
        <w:rPr>
          <w:rFonts w:ascii="宋体" w:hAnsi="宋体" w:eastAsia="宋体"/>
          <w:b/>
          <w:bCs/>
          <w:sz w:val="30"/>
          <w:szCs w:val="30"/>
        </w:rPr>
      </w:pPr>
      <w:r>
        <w:rPr>
          <w:rFonts w:hint="eastAsia" w:ascii="宋体" w:hAnsi="宋体" w:eastAsia="宋体"/>
          <w:b/>
          <w:bCs/>
          <w:sz w:val="30"/>
          <w:szCs w:val="30"/>
        </w:rPr>
        <w:t>六、有关建议</w:t>
      </w:r>
    </w:p>
    <w:p>
      <w:pPr>
        <w:spacing w:line="560" w:lineRule="exact"/>
        <w:ind w:firstLine="600" w:firstLineChars="200"/>
        <w:jc w:val="left"/>
        <w:rPr>
          <w:rFonts w:ascii="宋体" w:hAnsi="宋体" w:eastAsia="宋体"/>
          <w:bCs/>
          <w:sz w:val="30"/>
          <w:szCs w:val="30"/>
        </w:rPr>
      </w:pPr>
      <w:r>
        <w:rPr>
          <w:rFonts w:hint="eastAsia" w:ascii="宋体" w:hAnsi="宋体" w:eastAsia="宋体"/>
          <w:bCs/>
          <w:sz w:val="30"/>
          <w:szCs w:val="30"/>
        </w:rPr>
        <w:t>无。</w:t>
      </w:r>
    </w:p>
    <w:p>
      <w:pPr>
        <w:spacing w:line="560" w:lineRule="exact"/>
        <w:ind w:firstLine="602" w:firstLineChars="200"/>
        <w:jc w:val="left"/>
        <w:rPr>
          <w:rFonts w:ascii="宋体" w:hAnsi="宋体" w:eastAsia="宋体"/>
          <w:b/>
          <w:bCs/>
          <w:sz w:val="30"/>
          <w:szCs w:val="30"/>
        </w:rPr>
      </w:pPr>
      <w:r>
        <w:rPr>
          <w:rFonts w:hint="eastAsia" w:ascii="宋体" w:hAnsi="宋体" w:eastAsia="宋体"/>
          <w:b/>
          <w:bCs/>
          <w:sz w:val="30"/>
          <w:szCs w:val="30"/>
        </w:rPr>
        <w:t>七、其他需要说明的问题</w:t>
      </w:r>
    </w:p>
    <w:p>
      <w:pPr>
        <w:pStyle w:val="5"/>
        <w:widowControl w:val="0"/>
        <w:spacing w:before="0" w:beforeAutospacing="0" w:after="0" w:afterAutospacing="0" w:line="52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rPr>
        <w:t>无。</w:t>
      </w:r>
    </w:p>
    <w:p>
      <w:pPr>
        <w:pStyle w:val="5"/>
        <w:widowControl w:val="0"/>
        <w:spacing w:before="0" w:beforeAutospacing="0" w:after="0" w:afterAutospacing="0" w:line="520" w:lineRule="exact"/>
        <w:rPr>
          <w:rFonts w:hint="eastAsia" w:ascii="宋体" w:hAnsi="宋体" w:eastAsia="宋体" w:cs="Times New Roman"/>
          <w:sz w:val="30"/>
          <w:szCs w:val="30"/>
        </w:rPr>
      </w:pPr>
    </w:p>
    <w:p>
      <w:pPr>
        <w:pStyle w:val="5"/>
        <w:widowControl w:val="0"/>
        <w:spacing w:before="0" w:beforeAutospacing="0" w:after="0" w:afterAutospacing="0" w:line="520" w:lineRule="exact"/>
        <w:ind w:firstLine="600" w:firstLineChars="200"/>
        <w:rPr>
          <w:rFonts w:ascii="宋体" w:hAnsi="宋体" w:eastAsia="宋体" w:cs="Times New Roman"/>
          <w:sz w:val="30"/>
          <w:szCs w:val="30"/>
        </w:rPr>
      </w:pPr>
    </w:p>
    <w:p>
      <w:pPr>
        <w:ind w:left="8400" w:hanging="8400" w:hangingChars="2800"/>
        <w:rPr>
          <w:rFonts w:ascii="宋体" w:hAnsi="宋体" w:eastAsia="宋体"/>
          <w:sz w:val="30"/>
          <w:szCs w:val="30"/>
        </w:rPr>
      </w:pPr>
      <w:r>
        <w:rPr>
          <w:rFonts w:ascii="宋体" w:hAnsi="宋体" w:eastAsia="宋体"/>
          <w:sz w:val="30"/>
          <w:szCs w:val="30"/>
        </w:rPr>
        <w:t xml:space="preserve">                                  </w:t>
      </w:r>
      <w:r>
        <w:rPr>
          <w:rFonts w:hint="eastAsia" w:ascii="宋体" w:hAnsi="宋体" w:eastAsia="宋体"/>
          <w:sz w:val="30"/>
          <w:szCs w:val="30"/>
        </w:rPr>
        <w:t xml:space="preserve"> </w:t>
      </w:r>
      <w:r>
        <w:rPr>
          <w:rFonts w:ascii="宋体" w:hAnsi="宋体" w:eastAsia="宋体"/>
          <w:sz w:val="30"/>
          <w:szCs w:val="30"/>
        </w:rPr>
        <w:t xml:space="preserve">   </w:t>
      </w:r>
      <w:r>
        <w:rPr>
          <w:rFonts w:hint="eastAsia" w:ascii="宋体" w:hAnsi="宋体" w:eastAsia="宋体"/>
          <w:sz w:val="30"/>
          <w:szCs w:val="30"/>
        </w:rPr>
        <w:t xml:space="preserve">  </w:t>
      </w:r>
      <w:r>
        <w:rPr>
          <w:rFonts w:ascii="宋体" w:hAnsi="宋体" w:eastAsia="宋体"/>
          <w:sz w:val="30"/>
          <w:szCs w:val="30"/>
        </w:rPr>
        <w:t xml:space="preserve">项目单位（签）                        </w:t>
      </w:r>
    </w:p>
    <w:p>
      <w:pPr>
        <w:ind w:right="600"/>
        <w:jc w:val="right"/>
        <w:rPr>
          <w:rFonts w:hint="eastAsia"/>
          <w:lang w:val="en-US" w:eastAsia="zh-CN"/>
        </w:rPr>
      </w:pPr>
      <w:r>
        <w:rPr>
          <w:rFonts w:hint="eastAsia" w:ascii="宋体" w:hAnsi="宋体" w:eastAsia="宋体"/>
          <w:sz w:val="30"/>
          <w:szCs w:val="30"/>
        </w:rPr>
        <w:t xml:space="preserve"> </w:t>
      </w:r>
      <w:r>
        <w:rPr>
          <w:rFonts w:ascii="宋体" w:hAnsi="宋体" w:eastAsia="宋体"/>
          <w:sz w:val="30"/>
          <w:szCs w:val="30"/>
        </w:rPr>
        <w:t xml:space="preserve">  </w:t>
      </w:r>
      <w:r>
        <w:rPr>
          <w:rFonts w:hint="eastAsia" w:ascii="宋体" w:hAnsi="宋体" w:eastAsia="宋体"/>
          <w:sz w:val="30"/>
          <w:szCs w:val="30"/>
        </w:rPr>
        <w:t>5</w:t>
      </w:r>
      <w:r>
        <w:rPr>
          <w:rFonts w:ascii="宋体" w:hAnsi="宋体" w:eastAsia="宋体"/>
          <w:sz w:val="30"/>
          <w:szCs w:val="30"/>
        </w:rPr>
        <w:t xml:space="preserve"> 月 </w:t>
      </w:r>
      <w:r>
        <w:rPr>
          <w:rFonts w:hint="eastAsia" w:ascii="宋体" w:hAnsi="宋体" w:eastAsia="宋体"/>
          <w:sz w:val="30"/>
          <w:szCs w:val="30"/>
          <w:lang w:val="en-US" w:eastAsia="zh-CN"/>
        </w:rPr>
        <w:t>18</w:t>
      </w:r>
      <w:r>
        <w:rPr>
          <w:rFonts w:ascii="宋体" w:hAnsi="宋体" w:eastAsia="宋体"/>
          <w:sz w:val="30"/>
          <w:szCs w:val="30"/>
        </w:rPr>
        <w:t xml:space="preserve"> 日</w:t>
      </w:r>
    </w:p>
    <w:p>
      <w:pPr>
        <w:spacing w:line="560" w:lineRule="exact"/>
        <w:ind w:left="0"/>
        <w:jc w:val="left"/>
        <w:rPr>
          <w:rFonts w:hint="eastAsia" w:ascii="仿宋_GB2312" w:hAnsi="仿宋_GB2312" w:eastAsia="仿宋_GB2312" w:cs="仿宋_GB2312"/>
          <w:sz w:val="24"/>
        </w:rPr>
      </w:pPr>
    </w:p>
    <w:p>
      <w:pPr>
        <w:spacing w:line="560" w:lineRule="exact"/>
        <w:ind w:left="0"/>
        <w:jc w:val="left"/>
        <w:rPr>
          <w:rFonts w:hint="eastAsia" w:ascii="仿宋_GB2312" w:hAnsi="仿宋_GB2312" w:eastAsia="仿宋_GB2312" w:cs="仿宋_GB2312"/>
          <w:sz w:val="24"/>
        </w:rPr>
      </w:pPr>
    </w:p>
    <w:p>
      <w:pPr>
        <w:spacing w:line="560" w:lineRule="exact"/>
        <w:ind w:left="0"/>
        <w:jc w:val="left"/>
        <w:rPr>
          <w:rFonts w:hint="eastAsia" w:ascii="仿宋_GB2312" w:hAnsi="仿宋_GB2312" w:eastAsia="仿宋_GB2312" w:cs="仿宋_GB2312"/>
          <w:sz w:val="24"/>
        </w:rPr>
      </w:pPr>
    </w:p>
    <w:p>
      <w:pPr>
        <w:spacing w:line="560" w:lineRule="exact"/>
        <w:ind w:left="0"/>
        <w:jc w:val="left"/>
        <w:rPr>
          <w:rFonts w:hint="eastAsia" w:ascii="仿宋_GB2312" w:hAnsi="仿宋_GB2312" w:eastAsia="仿宋_GB2312" w:cs="仿宋_GB2312"/>
          <w:sz w:val="24"/>
        </w:rPr>
      </w:pPr>
    </w:p>
    <w:p>
      <w:pPr>
        <w:spacing w:line="560" w:lineRule="exact"/>
        <w:ind w:left="0"/>
        <w:jc w:val="left"/>
        <w:rPr>
          <w:rFonts w:hint="eastAsia" w:ascii="仿宋_GB2312" w:hAnsi="仿宋_GB2312" w:eastAsia="仿宋_GB2312" w:cs="仿宋_GB2312"/>
          <w:sz w:val="24"/>
        </w:rPr>
      </w:pPr>
    </w:p>
    <w:p>
      <w:pPr>
        <w:spacing w:line="560" w:lineRule="exact"/>
        <w:ind w:left="0"/>
        <w:jc w:val="left"/>
        <w:rPr>
          <w:rFonts w:hint="eastAsia" w:ascii="仿宋_GB2312" w:hAnsi="仿宋_GB2312" w:eastAsia="仿宋_GB2312" w:cs="仿宋_GB2312"/>
          <w:sz w:val="24"/>
        </w:rPr>
      </w:pPr>
    </w:p>
    <w:p>
      <w:pPr>
        <w:spacing w:line="560" w:lineRule="exact"/>
        <w:ind w:left="0"/>
        <w:jc w:val="left"/>
        <w:rPr>
          <w:rFonts w:hint="eastAsia" w:ascii="仿宋_GB2312" w:hAnsi="仿宋_GB2312" w:eastAsia="仿宋_GB2312" w:cs="仿宋_GB2312"/>
          <w:sz w:val="24"/>
        </w:rPr>
      </w:pPr>
    </w:p>
    <w:p>
      <w:pPr>
        <w:spacing w:line="560" w:lineRule="exact"/>
        <w:ind w:left="0"/>
        <w:jc w:val="left"/>
        <w:rPr>
          <w:rFonts w:hint="eastAsia" w:ascii="仿宋_GB2312" w:hAnsi="仿宋_GB2312" w:eastAsia="仿宋_GB2312" w:cs="仿宋_GB2312"/>
          <w:sz w:val="24"/>
        </w:rPr>
      </w:pPr>
    </w:p>
    <w:p>
      <w:pPr>
        <w:spacing w:line="560" w:lineRule="exact"/>
        <w:ind w:left="0"/>
        <w:jc w:val="left"/>
        <w:rPr>
          <w:rFonts w:hint="eastAsia" w:ascii="仿宋_GB2312" w:hAnsi="仿宋_GB2312" w:eastAsia="仿宋_GB2312" w:cs="仿宋_GB2312"/>
          <w:sz w:val="24"/>
        </w:rPr>
      </w:pPr>
    </w:p>
    <w:p>
      <w:pPr>
        <w:spacing w:line="560" w:lineRule="exact"/>
        <w:ind w:left="0"/>
        <w:jc w:val="left"/>
        <w:rPr>
          <w:sz w:val="24"/>
        </w:rPr>
      </w:pPr>
      <w:r>
        <w:rPr>
          <w:rFonts w:hint="eastAsia" w:ascii="仿宋_GB2312" w:hAnsi="仿宋_GB2312" w:eastAsia="仿宋_GB2312" w:cs="仿宋_GB2312"/>
          <w:sz w:val="24"/>
        </w:rPr>
        <w:t>附件3-1</w:t>
      </w:r>
    </w:p>
    <w:p>
      <w:pPr>
        <w:pStyle w:val="5"/>
        <w:widowControl w:val="0"/>
        <w:spacing w:before="0" w:beforeAutospacing="0" w:after="0" w:afterAutospacing="0" w:line="800" w:lineRule="exact"/>
        <w:jc w:val="center"/>
        <w:rPr>
          <w:rStyle w:val="9"/>
          <w:rFonts w:ascii="Times New Roman" w:hAnsi="Times New Roman" w:eastAsia="方正粗宋简体" w:cs="Times New Roman"/>
          <w:b w:val="0"/>
          <w:sz w:val="44"/>
          <w:szCs w:val="44"/>
        </w:rPr>
      </w:pPr>
      <w:r>
        <w:rPr>
          <w:rStyle w:val="9"/>
          <w:rFonts w:hint="eastAsia" w:ascii="Times New Roman" w:hAnsi="Times New Roman" w:eastAsia="方正粗宋简体" w:cs="Times New Roman"/>
          <w:b w:val="0"/>
          <w:sz w:val="44"/>
          <w:szCs w:val="44"/>
          <w:lang w:eastAsia="zh-CN"/>
        </w:rPr>
        <w:t>2022</w:t>
      </w:r>
      <w:r>
        <w:rPr>
          <w:rStyle w:val="9"/>
          <w:rFonts w:ascii="Times New Roman" w:hAnsi="Times New Roman" w:eastAsia="方正粗宋简体" w:cs="Times New Roman"/>
          <w:b w:val="0"/>
          <w:sz w:val="44"/>
          <w:szCs w:val="44"/>
        </w:rPr>
        <w:t>年度绩效自评完成情况汇总表</w:t>
      </w:r>
    </w:p>
    <w:p>
      <w:pPr>
        <w:spacing w:line="400" w:lineRule="exact"/>
        <w:rPr>
          <w:rFonts w:eastAsia="华文中宋"/>
          <w:sz w:val="24"/>
        </w:rPr>
      </w:pPr>
      <w:r>
        <w:rPr>
          <w:rFonts w:eastAsia="华文中宋"/>
          <w:sz w:val="24"/>
        </w:rPr>
        <w:t>主管部门（盖章）：               填报人： </w:t>
      </w:r>
      <w:r>
        <w:rPr>
          <w:rFonts w:hint="eastAsia" w:asciiTheme="minorEastAsia" w:hAnsiTheme="minorEastAsia" w:eastAsiaTheme="minorEastAsia"/>
          <w:sz w:val="24"/>
          <w:lang w:eastAsia="zh-CN"/>
        </w:rPr>
        <w:t>李新建</w:t>
      </w:r>
      <w:r>
        <w:rPr>
          <w:rFonts w:eastAsia="华文中宋"/>
          <w:sz w:val="24"/>
        </w:rPr>
        <w:t>             联系电话： </w:t>
      </w:r>
      <w:r>
        <w:rPr>
          <w:rFonts w:hint="eastAsia" w:eastAsia="华文中宋"/>
          <w:sz w:val="24"/>
          <w:lang w:eastAsia="zh-CN"/>
        </w:rPr>
        <w:t>18874521781</w:t>
      </w:r>
      <w:r>
        <w:rPr>
          <w:rFonts w:eastAsia="华文中宋"/>
          <w:sz w:val="24"/>
        </w:rPr>
        <w:t>         </w:t>
      </w:r>
    </w:p>
    <w:tbl>
      <w:tblPr>
        <w:tblStyle w:val="6"/>
        <w:tblW w:w="9680" w:type="dxa"/>
        <w:jc w:val="center"/>
        <w:tblCellSpacing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704"/>
        <w:gridCol w:w="1894"/>
        <w:gridCol w:w="2410"/>
        <w:gridCol w:w="776"/>
        <w:gridCol w:w="862"/>
        <w:gridCol w:w="992"/>
        <w:gridCol w:w="733"/>
        <w:gridCol w:w="777"/>
        <w:gridCol w:w="5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vMerge w:val="restart"/>
            <w:tcBorders>
              <w:top w:val="single" w:color="auto" w:sz="2" w:space="0"/>
              <w:lef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r>
              <w:rPr>
                <w:rFonts w:eastAsia="仿宋_GB2312"/>
                <w:sz w:val="24"/>
              </w:rPr>
              <w:t>序号</w:t>
            </w:r>
          </w:p>
        </w:tc>
        <w:tc>
          <w:tcPr>
            <w:tcW w:w="1894" w:type="dxa"/>
            <w:vMerge w:val="restart"/>
            <w:tcBorders>
              <w:top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r>
              <w:rPr>
                <w:rFonts w:eastAsia="仿宋_GB2312"/>
                <w:sz w:val="24"/>
              </w:rPr>
              <w:t>项目单位</w:t>
            </w:r>
          </w:p>
        </w:tc>
        <w:tc>
          <w:tcPr>
            <w:tcW w:w="2410" w:type="dxa"/>
            <w:vMerge w:val="restart"/>
            <w:tcBorders>
              <w:top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r>
              <w:rPr>
                <w:rFonts w:eastAsia="仿宋_GB2312"/>
                <w:sz w:val="24"/>
              </w:rPr>
              <w:t>项目名称</w:t>
            </w:r>
          </w:p>
        </w:tc>
        <w:tc>
          <w:tcPr>
            <w:tcW w:w="2630" w:type="dxa"/>
            <w:gridSpan w:val="3"/>
            <w:tcBorders>
              <w:top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r>
              <w:rPr>
                <w:rFonts w:eastAsia="仿宋_GB2312"/>
                <w:sz w:val="24"/>
              </w:rPr>
              <w:t>项目资金情况</w:t>
            </w:r>
          </w:p>
        </w:tc>
        <w:tc>
          <w:tcPr>
            <w:tcW w:w="733" w:type="dxa"/>
            <w:vMerge w:val="restart"/>
            <w:tcBorders>
              <w:top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r>
              <w:rPr>
                <w:rFonts w:eastAsia="仿宋_GB2312"/>
                <w:sz w:val="24"/>
              </w:rPr>
              <w:t>自评分数</w:t>
            </w:r>
          </w:p>
        </w:tc>
        <w:tc>
          <w:tcPr>
            <w:tcW w:w="777" w:type="dxa"/>
            <w:vMerge w:val="restart"/>
            <w:tcBorders>
              <w:top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r>
              <w:rPr>
                <w:rFonts w:eastAsia="仿宋_GB2312"/>
                <w:sz w:val="24"/>
              </w:rPr>
              <w:t>自评等级</w:t>
            </w:r>
          </w:p>
        </w:tc>
        <w:tc>
          <w:tcPr>
            <w:tcW w:w="532" w:type="dxa"/>
            <w:vMerge w:val="restart"/>
            <w:tcBorders>
              <w:top w:val="single" w:color="auto" w:sz="2" w:space="0"/>
              <w:righ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r>
              <w:rPr>
                <w:rFonts w:eastAsia="仿宋_GB2312"/>
                <w:sz w:val="24"/>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vMerge w:val="continue"/>
            <w:tcBorders>
              <w:left w:val="single" w:color="auto" w:sz="2" w:space="0"/>
            </w:tcBorders>
            <w:vAlign w:val="center"/>
          </w:tcPr>
          <w:p>
            <w:pPr>
              <w:spacing w:line="300" w:lineRule="exact"/>
              <w:jc w:val="center"/>
              <w:rPr>
                <w:rFonts w:eastAsia="仿宋_GB2312"/>
                <w:sz w:val="24"/>
              </w:rPr>
            </w:pPr>
          </w:p>
        </w:tc>
        <w:tc>
          <w:tcPr>
            <w:tcW w:w="1894" w:type="dxa"/>
            <w:vMerge w:val="continue"/>
            <w:vAlign w:val="center"/>
          </w:tcPr>
          <w:p>
            <w:pPr>
              <w:spacing w:line="300" w:lineRule="exact"/>
              <w:jc w:val="center"/>
              <w:rPr>
                <w:rFonts w:eastAsia="仿宋_GB2312"/>
                <w:sz w:val="24"/>
              </w:rPr>
            </w:pPr>
          </w:p>
        </w:tc>
        <w:tc>
          <w:tcPr>
            <w:tcW w:w="2410" w:type="dxa"/>
            <w:vMerge w:val="continue"/>
            <w:vAlign w:val="center"/>
          </w:tcPr>
          <w:p>
            <w:pPr>
              <w:spacing w:line="300" w:lineRule="exact"/>
              <w:jc w:val="center"/>
              <w:rPr>
                <w:rFonts w:eastAsia="仿宋_GB2312"/>
                <w:sz w:val="24"/>
              </w:rPr>
            </w:pPr>
          </w:p>
        </w:tc>
        <w:tc>
          <w:tcPr>
            <w:tcW w:w="776" w:type="dxa"/>
            <w:vMerge w:val="restart"/>
            <w:tcMar>
              <w:top w:w="15" w:type="dxa"/>
              <w:left w:w="15" w:type="dxa"/>
              <w:bottom w:w="15" w:type="dxa"/>
              <w:right w:w="15" w:type="dxa"/>
            </w:tcMar>
            <w:vAlign w:val="center"/>
          </w:tcPr>
          <w:p>
            <w:pPr>
              <w:spacing w:line="300" w:lineRule="exact"/>
              <w:jc w:val="center"/>
              <w:rPr>
                <w:rFonts w:eastAsia="仿宋_GB2312"/>
                <w:sz w:val="24"/>
              </w:rPr>
            </w:pPr>
            <w:r>
              <w:rPr>
                <w:rFonts w:eastAsia="仿宋_GB2312"/>
                <w:sz w:val="24"/>
              </w:rPr>
              <w:t>预算总金额</w:t>
            </w:r>
          </w:p>
        </w:tc>
        <w:tc>
          <w:tcPr>
            <w:tcW w:w="1854" w:type="dxa"/>
            <w:gridSpan w:val="2"/>
            <w:tcMar>
              <w:top w:w="15" w:type="dxa"/>
              <w:left w:w="15" w:type="dxa"/>
              <w:bottom w:w="15" w:type="dxa"/>
              <w:right w:w="15" w:type="dxa"/>
            </w:tcMar>
          </w:tcPr>
          <w:p>
            <w:pPr>
              <w:spacing w:line="300" w:lineRule="exact"/>
              <w:rPr>
                <w:rFonts w:eastAsia="仿宋_GB2312"/>
                <w:sz w:val="24"/>
              </w:rPr>
            </w:pPr>
            <w:r>
              <w:rPr>
                <w:rFonts w:eastAsia="仿宋_GB2312"/>
                <w:sz w:val="24"/>
              </w:rPr>
              <w:t>其中：</w:t>
            </w:r>
          </w:p>
          <w:p>
            <w:pPr>
              <w:spacing w:line="300" w:lineRule="exact"/>
              <w:ind w:firstLine="240" w:firstLineChars="100"/>
              <w:rPr>
                <w:rFonts w:eastAsia="仿宋_GB2312"/>
                <w:sz w:val="24"/>
              </w:rPr>
            </w:pPr>
            <w:r>
              <w:rPr>
                <w:rFonts w:eastAsia="仿宋_GB2312"/>
                <w:sz w:val="24"/>
              </w:rPr>
              <w:t>县级财政资金</w:t>
            </w:r>
          </w:p>
        </w:tc>
        <w:tc>
          <w:tcPr>
            <w:tcW w:w="733" w:type="dxa"/>
            <w:vMerge w:val="continue"/>
            <w:vAlign w:val="center"/>
          </w:tcPr>
          <w:p>
            <w:pPr>
              <w:spacing w:line="300" w:lineRule="exact"/>
              <w:jc w:val="center"/>
              <w:rPr>
                <w:rFonts w:eastAsia="仿宋_GB2312"/>
                <w:sz w:val="24"/>
              </w:rPr>
            </w:pPr>
          </w:p>
        </w:tc>
        <w:tc>
          <w:tcPr>
            <w:tcW w:w="777" w:type="dxa"/>
            <w:vMerge w:val="continue"/>
            <w:vAlign w:val="center"/>
          </w:tcPr>
          <w:p>
            <w:pPr>
              <w:spacing w:line="300" w:lineRule="exact"/>
              <w:jc w:val="center"/>
              <w:rPr>
                <w:rFonts w:eastAsia="仿宋_GB2312"/>
                <w:sz w:val="24"/>
              </w:rPr>
            </w:pPr>
          </w:p>
        </w:tc>
        <w:tc>
          <w:tcPr>
            <w:tcW w:w="532" w:type="dxa"/>
            <w:vMerge w:val="continue"/>
            <w:tcBorders>
              <w:right w:val="single" w:color="auto" w:sz="2" w:space="0"/>
            </w:tcBorders>
            <w:vAlign w:val="center"/>
          </w:tcPr>
          <w:p>
            <w:pPr>
              <w:spacing w:line="300" w:lineRule="exact"/>
              <w:jc w:val="center"/>
              <w:rPr>
                <w:rFonts w:eastAsia="仿宋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vMerge w:val="continue"/>
            <w:tcBorders>
              <w:left w:val="single" w:color="auto" w:sz="2" w:space="0"/>
            </w:tcBorders>
            <w:vAlign w:val="center"/>
          </w:tcPr>
          <w:p>
            <w:pPr>
              <w:spacing w:line="300" w:lineRule="exact"/>
              <w:jc w:val="center"/>
              <w:rPr>
                <w:rFonts w:eastAsia="仿宋_GB2312"/>
                <w:sz w:val="24"/>
              </w:rPr>
            </w:pPr>
          </w:p>
        </w:tc>
        <w:tc>
          <w:tcPr>
            <w:tcW w:w="1894" w:type="dxa"/>
            <w:vMerge w:val="continue"/>
            <w:vAlign w:val="center"/>
          </w:tcPr>
          <w:p>
            <w:pPr>
              <w:spacing w:line="300" w:lineRule="exact"/>
              <w:jc w:val="center"/>
              <w:rPr>
                <w:rFonts w:eastAsia="仿宋_GB2312"/>
                <w:sz w:val="24"/>
              </w:rPr>
            </w:pPr>
          </w:p>
        </w:tc>
        <w:tc>
          <w:tcPr>
            <w:tcW w:w="2410" w:type="dxa"/>
            <w:vMerge w:val="continue"/>
            <w:vAlign w:val="center"/>
          </w:tcPr>
          <w:p>
            <w:pPr>
              <w:spacing w:line="300" w:lineRule="exact"/>
              <w:jc w:val="center"/>
              <w:rPr>
                <w:rFonts w:eastAsia="仿宋_GB2312"/>
                <w:sz w:val="24"/>
              </w:rPr>
            </w:pPr>
          </w:p>
        </w:tc>
        <w:tc>
          <w:tcPr>
            <w:tcW w:w="776" w:type="dxa"/>
            <w:vMerge w:val="continue"/>
            <w:vAlign w:val="center"/>
          </w:tcPr>
          <w:p>
            <w:pPr>
              <w:spacing w:line="300" w:lineRule="exact"/>
              <w:jc w:val="center"/>
              <w:rPr>
                <w:rFonts w:eastAsia="仿宋_GB2312"/>
                <w:sz w:val="24"/>
              </w:rPr>
            </w:pPr>
          </w:p>
        </w:tc>
        <w:tc>
          <w:tcPr>
            <w:tcW w:w="862" w:type="dxa"/>
            <w:tcMar>
              <w:top w:w="15" w:type="dxa"/>
              <w:left w:w="15" w:type="dxa"/>
              <w:bottom w:w="15" w:type="dxa"/>
              <w:right w:w="15" w:type="dxa"/>
            </w:tcMar>
            <w:vAlign w:val="center"/>
          </w:tcPr>
          <w:p>
            <w:pPr>
              <w:spacing w:line="300" w:lineRule="exact"/>
              <w:jc w:val="center"/>
              <w:rPr>
                <w:rFonts w:eastAsia="仿宋_GB2312"/>
                <w:sz w:val="24"/>
              </w:rPr>
            </w:pPr>
            <w:r>
              <w:rPr>
                <w:rFonts w:eastAsia="仿宋_GB2312"/>
                <w:sz w:val="24"/>
              </w:rPr>
              <w:t>预算</w:t>
            </w:r>
          </w:p>
          <w:p>
            <w:pPr>
              <w:spacing w:line="300" w:lineRule="exact"/>
              <w:jc w:val="center"/>
              <w:rPr>
                <w:rFonts w:eastAsia="仿宋_GB2312"/>
                <w:sz w:val="24"/>
              </w:rPr>
            </w:pPr>
            <w:r>
              <w:rPr>
                <w:rFonts w:eastAsia="仿宋_GB2312"/>
                <w:sz w:val="24"/>
              </w:rPr>
              <w:t>安排</w:t>
            </w:r>
          </w:p>
        </w:tc>
        <w:tc>
          <w:tcPr>
            <w:tcW w:w="992" w:type="dxa"/>
            <w:tcMar>
              <w:top w:w="15" w:type="dxa"/>
              <w:left w:w="15" w:type="dxa"/>
              <w:bottom w:w="15" w:type="dxa"/>
              <w:right w:w="15" w:type="dxa"/>
            </w:tcMar>
            <w:vAlign w:val="center"/>
          </w:tcPr>
          <w:p>
            <w:pPr>
              <w:spacing w:line="300" w:lineRule="exact"/>
              <w:jc w:val="center"/>
              <w:rPr>
                <w:rFonts w:eastAsia="仿宋_GB2312"/>
                <w:sz w:val="24"/>
              </w:rPr>
            </w:pPr>
            <w:r>
              <w:rPr>
                <w:rFonts w:eastAsia="仿宋_GB2312"/>
                <w:sz w:val="24"/>
              </w:rPr>
              <w:t>实际</w:t>
            </w:r>
          </w:p>
          <w:p>
            <w:pPr>
              <w:spacing w:line="300" w:lineRule="exact"/>
              <w:jc w:val="center"/>
              <w:rPr>
                <w:rFonts w:eastAsia="仿宋_GB2312"/>
                <w:sz w:val="24"/>
              </w:rPr>
            </w:pPr>
            <w:r>
              <w:rPr>
                <w:rFonts w:eastAsia="仿宋_GB2312"/>
                <w:sz w:val="24"/>
              </w:rPr>
              <w:t>支出</w:t>
            </w:r>
          </w:p>
        </w:tc>
        <w:tc>
          <w:tcPr>
            <w:tcW w:w="733" w:type="dxa"/>
            <w:vMerge w:val="continue"/>
            <w:vAlign w:val="center"/>
          </w:tcPr>
          <w:p>
            <w:pPr>
              <w:spacing w:line="300" w:lineRule="exact"/>
              <w:jc w:val="center"/>
              <w:rPr>
                <w:rFonts w:eastAsia="仿宋_GB2312"/>
                <w:sz w:val="24"/>
              </w:rPr>
            </w:pPr>
          </w:p>
        </w:tc>
        <w:tc>
          <w:tcPr>
            <w:tcW w:w="777" w:type="dxa"/>
            <w:vMerge w:val="continue"/>
            <w:vAlign w:val="center"/>
          </w:tcPr>
          <w:p>
            <w:pPr>
              <w:spacing w:line="300" w:lineRule="exact"/>
              <w:jc w:val="center"/>
              <w:rPr>
                <w:rFonts w:eastAsia="仿宋_GB2312"/>
                <w:sz w:val="24"/>
              </w:rPr>
            </w:pPr>
          </w:p>
        </w:tc>
        <w:tc>
          <w:tcPr>
            <w:tcW w:w="532" w:type="dxa"/>
            <w:vMerge w:val="continue"/>
            <w:tcBorders>
              <w:right w:val="single" w:color="auto" w:sz="2" w:space="0"/>
            </w:tcBorders>
            <w:vAlign w:val="center"/>
          </w:tcPr>
          <w:p>
            <w:pPr>
              <w:spacing w:line="300" w:lineRule="exact"/>
              <w:jc w:val="center"/>
              <w:rPr>
                <w:rFonts w:eastAsia="仿宋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9680" w:type="dxa"/>
            <w:gridSpan w:val="9"/>
            <w:tcBorders>
              <w:left w:val="single" w:color="auto" w:sz="2" w:space="0"/>
              <w:right w:val="single" w:color="auto" w:sz="2" w:space="0"/>
            </w:tcBorders>
            <w:tcMar>
              <w:top w:w="15" w:type="dxa"/>
              <w:left w:w="15" w:type="dxa"/>
              <w:bottom w:w="15" w:type="dxa"/>
              <w:right w:w="15" w:type="dxa"/>
            </w:tcMar>
          </w:tcPr>
          <w:p>
            <w:pPr>
              <w:spacing w:line="300" w:lineRule="exact"/>
              <w:rPr>
                <w:rFonts w:eastAsia="仿宋_GB2312"/>
                <w:sz w:val="24"/>
              </w:rPr>
            </w:pPr>
            <w:r>
              <w:rPr>
                <w:rFonts w:eastAsia="仿宋_GB2312"/>
                <w:sz w:val="24"/>
              </w:rPr>
              <w:t>一、项目绩效自评</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67"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1</w:t>
            </w:r>
          </w:p>
        </w:tc>
        <w:tc>
          <w:tcPr>
            <w:tcW w:w="1894" w:type="dxa"/>
            <w:tcMar>
              <w:top w:w="15" w:type="dxa"/>
              <w:left w:w="15" w:type="dxa"/>
              <w:bottom w:w="15" w:type="dxa"/>
              <w:right w:w="15" w:type="dxa"/>
            </w:tcMar>
            <w:vAlign w:val="center"/>
          </w:tcPr>
          <w:p>
            <w:pPr>
              <w:spacing w:line="300" w:lineRule="exact"/>
              <w:jc w:val="center"/>
              <w:rPr>
                <w:rFonts w:eastAsia="仿宋_GB2312"/>
                <w:sz w:val="24"/>
              </w:rPr>
            </w:pPr>
            <w:r>
              <w:rPr>
                <w:rFonts w:hint="eastAsia" w:ascii="仿宋_GB2312" w:hAnsi="仿宋_GB2312" w:eastAsia="仿宋_GB2312" w:cs="仿宋_GB2312"/>
                <w:szCs w:val="21"/>
              </w:rPr>
              <w:t>城市管理和综合执法局</w:t>
            </w:r>
          </w:p>
        </w:tc>
        <w:tc>
          <w:tcPr>
            <w:tcW w:w="2410" w:type="dxa"/>
            <w:tcMar>
              <w:top w:w="15" w:type="dxa"/>
              <w:left w:w="15" w:type="dxa"/>
              <w:bottom w:w="15" w:type="dxa"/>
              <w:right w:w="15" w:type="dxa"/>
            </w:tcMar>
            <w:vAlign w:val="center"/>
          </w:tcPr>
          <w:p>
            <w:pPr>
              <w:spacing w:line="300" w:lineRule="exact"/>
              <w:jc w:val="center"/>
              <w:rPr>
                <w:rFonts w:eastAsia="仿宋_GB2312"/>
                <w:sz w:val="24"/>
              </w:rPr>
            </w:pPr>
            <w:r>
              <w:rPr>
                <w:rFonts w:hint="eastAsia" w:ascii="仿宋_GB2312" w:hAnsi="仿宋_GB2312" w:eastAsia="仿宋_GB2312" w:cs="仿宋_GB2312"/>
                <w:szCs w:val="21"/>
              </w:rPr>
              <w:t>景观亮化维护和一河两岸电费</w:t>
            </w:r>
          </w:p>
        </w:tc>
        <w:tc>
          <w:tcPr>
            <w:tcW w:w="776" w:type="dxa"/>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500</w:t>
            </w:r>
          </w:p>
        </w:tc>
        <w:tc>
          <w:tcPr>
            <w:tcW w:w="862" w:type="dxa"/>
            <w:tcMar>
              <w:top w:w="15" w:type="dxa"/>
              <w:left w:w="15" w:type="dxa"/>
              <w:bottom w:w="15" w:type="dxa"/>
              <w:right w:w="15" w:type="dxa"/>
            </w:tcMar>
            <w:vAlign w:val="center"/>
          </w:tcPr>
          <w:p>
            <w:pPr>
              <w:spacing w:line="300" w:lineRule="exact"/>
              <w:jc w:val="center"/>
              <w:rPr>
                <w:rFonts w:hint="default" w:eastAsia="仿宋_GB2312"/>
                <w:sz w:val="24"/>
                <w:lang w:val="en-US" w:eastAsia="zh-CN"/>
              </w:rPr>
            </w:pPr>
            <w:r>
              <w:rPr>
                <w:rFonts w:hint="eastAsia" w:eastAsia="仿宋_GB2312"/>
                <w:sz w:val="24"/>
                <w:lang w:val="en-US" w:eastAsia="zh-CN"/>
              </w:rPr>
              <w:t>336</w:t>
            </w:r>
          </w:p>
        </w:tc>
        <w:tc>
          <w:tcPr>
            <w:tcW w:w="992" w:type="dxa"/>
            <w:tcMar>
              <w:top w:w="15" w:type="dxa"/>
              <w:left w:w="15" w:type="dxa"/>
              <w:bottom w:w="15" w:type="dxa"/>
              <w:right w:w="15" w:type="dxa"/>
            </w:tcMar>
            <w:vAlign w:val="center"/>
          </w:tcPr>
          <w:p>
            <w:pPr>
              <w:spacing w:line="300" w:lineRule="exact"/>
              <w:jc w:val="center"/>
              <w:rPr>
                <w:rFonts w:hint="default" w:eastAsia="仿宋_GB2312"/>
                <w:sz w:val="24"/>
                <w:lang w:val="en-US" w:eastAsia="zh-CN"/>
              </w:rPr>
            </w:pPr>
            <w:r>
              <w:rPr>
                <w:rFonts w:hint="eastAsia" w:eastAsia="仿宋_GB2312"/>
                <w:sz w:val="24"/>
                <w:lang w:val="en-US" w:eastAsia="zh-CN"/>
              </w:rPr>
              <w:t>336</w:t>
            </w:r>
          </w:p>
        </w:tc>
        <w:tc>
          <w:tcPr>
            <w:tcW w:w="733" w:type="dxa"/>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89</w:t>
            </w:r>
          </w:p>
        </w:tc>
        <w:tc>
          <w:tcPr>
            <w:tcW w:w="777" w:type="dxa"/>
            <w:tcMar>
              <w:top w:w="15" w:type="dxa"/>
              <w:left w:w="15" w:type="dxa"/>
              <w:bottom w:w="15" w:type="dxa"/>
              <w:right w:w="15" w:type="dxa"/>
            </w:tcMar>
            <w:vAlign w:val="center"/>
          </w:tcPr>
          <w:p>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67"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2</w:t>
            </w:r>
          </w:p>
        </w:tc>
        <w:tc>
          <w:tcPr>
            <w:tcW w:w="1894" w:type="dxa"/>
            <w:tcMar>
              <w:top w:w="15" w:type="dxa"/>
              <w:left w:w="15" w:type="dxa"/>
              <w:bottom w:w="15" w:type="dxa"/>
              <w:right w:w="15" w:type="dxa"/>
            </w:tcMar>
            <w:vAlign w:val="center"/>
          </w:tcPr>
          <w:p>
            <w:pPr>
              <w:spacing w:line="300" w:lineRule="exact"/>
              <w:jc w:val="center"/>
              <w:rPr>
                <w:rFonts w:eastAsia="仿宋_GB2312"/>
                <w:sz w:val="24"/>
              </w:rPr>
            </w:pPr>
            <w:r>
              <w:rPr>
                <w:rFonts w:hint="eastAsia" w:ascii="仿宋_GB2312" w:hAnsi="仿宋_GB2312" w:eastAsia="仿宋_GB2312" w:cs="仿宋_GB2312"/>
                <w:szCs w:val="21"/>
              </w:rPr>
              <w:t>城市管理和综合执法局</w:t>
            </w:r>
          </w:p>
        </w:tc>
        <w:tc>
          <w:tcPr>
            <w:tcW w:w="2410" w:type="dxa"/>
            <w:tcMar>
              <w:top w:w="15" w:type="dxa"/>
              <w:left w:w="15" w:type="dxa"/>
              <w:bottom w:w="15" w:type="dxa"/>
              <w:right w:w="15" w:type="dxa"/>
            </w:tcMar>
            <w:vAlign w:val="center"/>
          </w:tcPr>
          <w:p>
            <w:pPr>
              <w:spacing w:line="300" w:lineRule="exact"/>
              <w:jc w:val="center"/>
              <w:rPr>
                <w:rFonts w:eastAsia="仿宋_GB2312"/>
                <w:sz w:val="24"/>
              </w:rPr>
            </w:pPr>
            <w:r>
              <w:rPr>
                <w:rFonts w:hint="eastAsia" w:ascii="仿宋_GB2312" w:hAnsi="仿宋_GB2312" w:eastAsia="仿宋_GB2312" w:cs="仿宋_GB2312"/>
                <w:szCs w:val="21"/>
              </w:rPr>
              <w:t>城市维护费</w:t>
            </w:r>
          </w:p>
        </w:tc>
        <w:tc>
          <w:tcPr>
            <w:tcW w:w="776" w:type="dxa"/>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120</w:t>
            </w:r>
          </w:p>
        </w:tc>
        <w:tc>
          <w:tcPr>
            <w:tcW w:w="862" w:type="dxa"/>
            <w:tcMar>
              <w:top w:w="15" w:type="dxa"/>
              <w:left w:w="15" w:type="dxa"/>
              <w:bottom w:w="15" w:type="dxa"/>
              <w:right w:w="15" w:type="dxa"/>
            </w:tcMar>
            <w:vAlign w:val="center"/>
          </w:tcPr>
          <w:p>
            <w:pPr>
              <w:spacing w:line="300" w:lineRule="exact"/>
              <w:jc w:val="center"/>
              <w:rPr>
                <w:rFonts w:hint="default" w:eastAsia="仿宋_GB2312"/>
                <w:sz w:val="24"/>
                <w:lang w:val="en-US" w:eastAsia="zh-CN"/>
              </w:rPr>
            </w:pPr>
            <w:r>
              <w:rPr>
                <w:rFonts w:hint="eastAsia" w:eastAsia="仿宋_GB2312"/>
                <w:sz w:val="24"/>
                <w:lang w:val="en-US" w:eastAsia="zh-CN"/>
              </w:rPr>
              <w:t>120</w:t>
            </w:r>
          </w:p>
        </w:tc>
        <w:tc>
          <w:tcPr>
            <w:tcW w:w="992" w:type="dxa"/>
            <w:tcMar>
              <w:top w:w="15" w:type="dxa"/>
              <w:left w:w="15" w:type="dxa"/>
              <w:bottom w:w="15" w:type="dxa"/>
              <w:right w:w="15" w:type="dxa"/>
            </w:tcMar>
            <w:vAlign w:val="center"/>
          </w:tcPr>
          <w:p>
            <w:pPr>
              <w:spacing w:line="300" w:lineRule="exact"/>
              <w:jc w:val="center"/>
              <w:rPr>
                <w:rFonts w:hint="default" w:eastAsia="仿宋_GB2312"/>
                <w:sz w:val="24"/>
                <w:lang w:val="en-US" w:eastAsia="zh-CN"/>
              </w:rPr>
            </w:pPr>
            <w:r>
              <w:rPr>
                <w:rFonts w:hint="eastAsia" w:eastAsia="仿宋_GB2312"/>
                <w:sz w:val="24"/>
                <w:lang w:val="en-US" w:eastAsia="zh-CN"/>
              </w:rPr>
              <w:t>120</w:t>
            </w:r>
          </w:p>
        </w:tc>
        <w:tc>
          <w:tcPr>
            <w:tcW w:w="733" w:type="dxa"/>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86</w:t>
            </w:r>
          </w:p>
        </w:tc>
        <w:tc>
          <w:tcPr>
            <w:tcW w:w="777" w:type="dxa"/>
            <w:tcMar>
              <w:top w:w="15" w:type="dxa"/>
              <w:left w:w="15" w:type="dxa"/>
              <w:bottom w:w="15" w:type="dxa"/>
              <w:right w:w="15" w:type="dxa"/>
            </w:tcMar>
            <w:vAlign w:val="center"/>
          </w:tcPr>
          <w:p>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67"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3</w:t>
            </w:r>
          </w:p>
        </w:tc>
        <w:tc>
          <w:tcPr>
            <w:tcW w:w="1894" w:type="dxa"/>
            <w:tcMar>
              <w:top w:w="15" w:type="dxa"/>
              <w:left w:w="15" w:type="dxa"/>
              <w:bottom w:w="15" w:type="dxa"/>
              <w:right w:w="15" w:type="dxa"/>
            </w:tcMar>
            <w:vAlign w:val="center"/>
          </w:tcPr>
          <w:p>
            <w:pPr>
              <w:spacing w:line="300" w:lineRule="exact"/>
              <w:jc w:val="center"/>
              <w:rPr>
                <w:rFonts w:eastAsia="仿宋_GB2312"/>
                <w:sz w:val="24"/>
              </w:rPr>
            </w:pPr>
            <w:r>
              <w:rPr>
                <w:rFonts w:hint="eastAsia" w:ascii="仿宋_GB2312" w:hAnsi="仿宋_GB2312" w:eastAsia="仿宋_GB2312" w:cs="仿宋_GB2312"/>
                <w:szCs w:val="21"/>
              </w:rPr>
              <w:t>城市管理和综合执法局</w:t>
            </w:r>
          </w:p>
        </w:tc>
        <w:tc>
          <w:tcPr>
            <w:tcW w:w="2410" w:type="dxa"/>
            <w:tcMar>
              <w:top w:w="15" w:type="dxa"/>
              <w:left w:w="15" w:type="dxa"/>
              <w:bottom w:w="15" w:type="dxa"/>
              <w:right w:w="15" w:type="dxa"/>
            </w:tcMar>
            <w:vAlign w:val="center"/>
          </w:tcPr>
          <w:p>
            <w:pPr>
              <w:spacing w:line="300" w:lineRule="exact"/>
              <w:jc w:val="center"/>
              <w:rPr>
                <w:rFonts w:eastAsia="仿宋_GB2312"/>
                <w:sz w:val="24"/>
              </w:rPr>
            </w:pPr>
            <w:r>
              <w:rPr>
                <w:rFonts w:hint="eastAsia" w:ascii="仿宋_GB2312" w:hAnsi="仿宋_GB2312" w:eastAsia="仿宋_GB2312" w:cs="仿宋_GB2312"/>
                <w:szCs w:val="21"/>
              </w:rPr>
              <w:t>餐厨垃圾收集处理服务费</w:t>
            </w:r>
          </w:p>
        </w:tc>
        <w:tc>
          <w:tcPr>
            <w:tcW w:w="776" w:type="dxa"/>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100</w:t>
            </w:r>
          </w:p>
        </w:tc>
        <w:tc>
          <w:tcPr>
            <w:tcW w:w="862" w:type="dxa"/>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100</w:t>
            </w:r>
          </w:p>
        </w:tc>
        <w:tc>
          <w:tcPr>
            <w:tcW w:w="992" w:type="dxa"/>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100</w:t>
            </w:r>
          </w:p>
        </w:tc>
        <w:tc>
          <w:tcPr>
            <w:tcW w:w="733" w:type="dxa"/>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88</w:t>
            </w:r>
          </w:p>
        </w:tc>
        <w:tc>
          <w:tcPr>
            <w:tcW w:w="777" w:type="dxa"/>
            <w:tcMar>
              <w:top w:w="15" w:type="dxa"/>
              <w:left w:w="15" w:type="dxa"/>
              <w:bottom w:w="15" w:type="dxa"/>
              <w:right w:w="15" w:type="dxa"/>
            </w:tcMar>
            <w:vAlign w:val="center"/>
          </w:tcPr>
          <w:p>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67"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4</w:t>
            </w:r>
          </w:p>
        </w:tc>
        <w:tc>
          <w:tcPr>
            <w:tcW w:w="1894" w:type="dxa"/>
            <w:tcMar>
              <w:top w:w="15" w:type="dxa"/>
              <w:left w:w="15" w:type="dxa"/>
              <w:bottom w:w="15" w:type="dxa"/>
              <w:right w:w="15" w:type="dxa"/>
            </w:tcMar>
            <w:vAlign w:val="center"/>
          </w:tcPr>
          <w:p>
            <w:pPr>
              <w:spacing w:line="300" w:lineRule="exact"/>
              <w:jc w:val="center"/>
              <w:rPr>
                <w:rFonts w:eastAsia="仿宋_GB2312"/>
                <w:sz w:val="24"/>
              </w:rPr>
            </w:pPr>
            <w:r>
              <w:rPr>
                <w:rFonts w:hint="eastAsia" w:ascii="仿宋_GB2312" w:hAnsi="仿宋_GB2312" w:eastAsia="仿宋_GB2312" w:cs="仿宋_GB2312"/>
                <w:szCs w:val="21"/>
              </w:rPr>
              <w:t>城市管理和综合执法局</w:t>
            </w:r>
          </w:p>
        </w:tc>
        <w:tc>
          <w:tcPr>
            <w:tcW w:w="2410" w:type="dxa"/>
            <w:tcMar>
              <w:top w:w="15" w:type="dxa"/>
              <w:left w:w="15" w:type="dxa"/>
              <w:bottom w:w="15" w:type="dxa"/>
              <w:right w:w="15" w:type="dxa"/>
            </w:tcMar>
            <w:vAlign w:val="center"/>
          </w:tcPr>
          <w:p>
            <w:pPr>
              <w:spacing w:line="300" w:lineRule="exact"/>
              <w:jc w:val="center"/>
              <w:rPr>
                <w:rFonts w:eastAsia="仿宋_GB2312"/>
                <w:sz w:val="24"/>
              </w:rPr>
            </w:pPr>
            <w:r>
              <w:rPr>
                <w:rFonts w:hint="eastAsia" w:ascii="仿宋_GB2312" w:hAnsi="仿宋_GB2312" w:eastAsia="仿宋_GB2312" w:cs="仿宋_GB2312"/>
                <w:szCs w:val="21"/>
              </w:rPr>
              <w:t>公益性水电及城区路灯维护管养</w:t>
            </w:r>
          </w:p>
        </w:tc>
        <w:tc>
          <w:tcPr>
            <w:tcW w:w="776" w:type="dxa"/>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85</w:t>
            </w:r>
          </w:p>
        </w:tc>
        <w:tc>
          <w:tcPr>
            <w:tcW w:w="862" w:type="dxa"/>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lang w:val="en-US" w:eastAsia="zh-CN"/>
              </w:rPr>
              <w:t>8</w:t>
            </w:r>
            <w:r>
              <w:rPr>
                <w:rFonts w:hint="eastAsia" w:eastAsia="仿宋_GB2312"/>
                <w:sz w:val="24"/>
              </w:rPr>
              <w:t>1.81</w:t>
            </w:r>
          </w:p>
        </w:tc>
        <w:tc>
          <w:tcPr>
            <w:tcW w:w="992" w:type="dxa"/>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lang w:val="en-US" w:eastAsia="zh-CN"/>
              </w:rPr>
              <w:t>8</w:t>
            </w:r>
            <w:r>
              <w:rPr>
                <w:rFonts w:hint="eastAsia" w:eastAsia="仿宋_GB2312"/>
                <w:sz w:val="24"/>
              </w:rPr>
              <w:t>1.81</w:t>
            </w:r>
          </w:p>
        </w:tc>
        <w:tc>
          <w:tcPr>
            <w:tcW w:w="733" w:type="dxa"/>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86</w:t>
            </w:r>
          </w:p>
        </w:tc>
        <w:tc>
          <w:tcPr>
            <w:tcW w:w="777" w:type="dxa"/>
            <w:tcMar>
              <w:top w:w="15" w:type="dxa"/>
              <w:left w:w="15" w:type="dxa"/>
              <w:bottom w:w="15" w:type="dxa"/>
              <w:right w:w="15" w:type="dxa"/>
            </w:tcMar>
            <w:vAlign w:val="center"/>
          </w:tcPr>
          <w:p>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67"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5</w:t>
            </w:r>
          </w:p>
        </w:tc>
        <w:tc>
          <w:tcPr>
            <w:tcW w:w="1894" w:type="dxa"/>
            <w:tcMar>
              <w:top w:w="15" w:type="dxa"/>
              <w:left w:w="15" w:type="dxa"/>
              <w:bottom w:w="15" w:type="dxa"/>
              <w:right w:w="15" w:type="dxa"/>
            </w:tcMar>
            <w:vAlign w:val="center"/>
          </w:tcPr>
          <w:p>
            <w:pPr>
              <w:spacing w:line="300" w:lineRule="exact"/>
              <w:jc w:val="center"/>
              <w:rPr>
                <w:rFonts w:eastAsia="仿宋_GB2312"/>
                <w:sz w:val="24"/>
              </w:rPr>
            </w:pPr>
            <w:r>
              <w:rPr>
                <w:rFonts w:hint="eastAsia" w:ascii="仿宋_GB2312" w:hAnsi="仿宋_GB2312" w:eastAsia="仿宋_GB2312" w:cs="仿宋_GB2312"/>
                <w:szCs w:val="21"/>
              </w:rPr>
              <w:t>城市管理和综合执法局</w:t>
            </w:r>
          </w:p>
        </w:tc>
        <w:tc>
          <w:tcPr>
            <w:tcW w:w="2410" w:type="dxa"/>
            <w:tcMar>
              <w:top w:w="15" w:type="dxa"/>
              <w:left w:w="15" w:type="dxa"/>
              <w:bottom w:w="15" w:type="dxa"/>
              <w:right w:w="15" w:type="dxa"/>
            </w:tcMar>
            <w:vAlign w:val="center"/>
          </w:tcPr>
          <w:p>
            <w:pPr>
              <w:spacing w:line="300" w:lineRule="exact"/>
              <w:jc w:val="center"/>
              <w:rPr>
                <w:rFonts w:eastAsia="仿宋_GB2312"/>
                <w:sz w:val="24"/>
              </w:rPr>
            </w:pPr>
            <w:r>
              <w:rPr>
                <w:rFonts w:hint="eastAsia" w:ascii="仿宋_GB2312" w:hAnsi="仿宋_GB2312" w:eastAsia="仿宋_GB2312" w:cs="仿宋_GB2312"/>
                <w:szCs w:val="21"/>
              </w:rPr>
              <w:t>春节城区喜庆美化、亮化</w:t>
            </w:r>
          </w:p>
        </w:tc>
        <w:tc>
          <w:tcPr>
            <w:tcW w:w="776" w:type="dxa"/>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30</w:t>
            </w:r>
          </w:p>
        </w:tc>
        <w:tc>
          <w:tcPr>
            <w:tcW w:w="862" w:type="dxa"/>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30</w:t>
            </w:r>
          </w:p>
        </w:tc>
        <w:tc>
          <w:tcPr>
            <w:tcW w:w="992" w:type="dxa"/>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30</w:t>
            </w:r>
          </w:p>
        </w:tc>
        <w:tc>
          <w:tcPr>
            <w:tcW w:w="733" w:type="dxa"/>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88</w:t>
            </w:r>
          </w:p>
        </w:tc>
        <w:tc>
          <w:tcPr>
            <w:tcW w:w="777" w:type="dxa"/>
            <w:tcMar>
              <w:top w:w="15" w:type="dxa"/>
              <w:left w:w="15" w:type="dxa"/>
              <w:bottom w:w="15" w:type="dxa"/>
              <w:right w:w="15" w:type="dxa"/>
            </w:tcMar>
            <w:vAlign w:val="center"/>
          </w:tcPr>
          <w:p>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67"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6</w:t>
            </w:r>
          </w:p>
        </w:tc>
        <w:tc>
          <w:tcPr>
            <w:tcW w:w="1894" w:type="dxa"/>
            <w:tcMar>
              <w:top w:w="15" w:type="dxa"/>
              <w:left w:w="15" w:type="dxa"/>
              <w:bottom w:w="15" w:type="dxa"/>
              <w:right w:w="15" w:type="dxa"/>
            </w:tcMar>
            <w:vAlign w:val="center"/>
          </w:tcPr>
          <w:p>
            <w:pPr>
              <w:spacing w:line="300" w:lineRule="exact"/>
              <w:jc w:val="center"/>
              <w:rPr>
                <w:rFonts w:eastAsia="仿宋_GB2312"/>
                <w:sz w:val="24"/>
              </w:rPr>
            </w:pPr>
            <w:r>
              <w:rPr>
                <w:rFonts w:hint="eastAsia" w:ascii="仿宋_GB2312" w:hAnsi="仿宋_GB2312" w:eastAsia="仿宋_GB2312" w:cs="仿宋_GB2312"/>
                <w:szCs w:val="21"/>
              </w:rPr>
              <w:t>城市管理和综合执法局</w:t>
            </w:r>
          </w:p>
        </w:tc>
        <w:tc>
          <w:tcPr>
            <w:tcW w:w="2410" w:type="dxa"/>
            <w:tcMar>
              <w:top w:w="15" w:type="dxa"/>
              <w:left w:w="15" w:type="dxa"/>
              <w:bottom w:w="15" w:type="dxa"/>
              <w:right w:w="15" w:type="dxa"/>
            </w:tcMar>
            <w:vAlign w:val="center"/>
          </w:tcPr>
          <w:p>
            <w:pPr>
              <w:spacing w:line="300" w:lineRule="exact"/>
              <w:jc w:val="center"/>
              <w:rPr>
                <w:rFonts w:hint="default" w:eastAsia="仿宋_GB2312"/>
                <w:sz w:val="24"/>
                <w:lang w:val="en-US" w:eastAsia="zh-CN"/>
              </w:rPr>
            </w:pPr>
            <w:r>
              <w:rPr>
                <w:rFonts w:hint="eastAsia" w:ascii="仿宋_GB2312" w:hAnsi="仿宋_GB2312" w:eastAsia="仿宋_GB2312" w:cs="仿宋_GB2312"/>
                <w:szCs w:val="21"/>
                <w:lang w:val="en-US" w:eastAsia="zh-CN"/>
              </w:rPr>
              <w:t>垃圾无害化处理场运行补差</w:t>
            </w:r>
          </w:p>
        </w:tc>
        <w:tc>
          <w:tcPr>
            <w:tcW w:w="776" w:type="dxa"/>
            <w:tcMar>
              <w:top w:w="15" w:type="dxa"/>
              <w:left w:w="15" w:type="dxa"/>
              <w:bottom w:w="15" w:type="dxa"/>
              <w:right w:w="15" w:type="dxa"/>
            </w:tcMar>
            <w:vAlign w:val="center"/>
          </w:tcPr>
          <w:p>
            <w:pPr>
              <w:keepNext w:val="0"/>
              <w:keepLines w:val="0"/>
              <w:widowControl/>
              <w:suppressLineNumbers w:val="0"/>
              <w:ind w:left="1" w:leftChars="0"/>
              <w:jc w:val="right"/>
              <w:textAlignment w:val="center"/>
              <w:rPr>
                <w:rFonts w:ascii="宋体" w:hAnsi="宋体" w:eastAsia="宋体" w:cs="宋体"/>
                <w:i w:val="0"/>
                <w:iCs w:val="0"/>
                <w:color w:val="000000"/>
                <w:sz w:val="14"/>
                <w:szCs w:val="14"/>
                <w:u w:val="none"/>
                <w:lang w:val="en-US" w:eastAsia="zh-CN" w:bidi="ar-SA"/>
              </w:rPr>
            </w:pPr>
            <w:r>
              <w:rPr>
                <w:rFonts w:hint="eastAsia" w:eastAsia="仿宋_GB2312"/>
                <w:sz w:val="24"/>
                <w:lang w:val="en-US" w:eastAsia="zh-CN"/>
              </w:rPr>
              <w:t>147.15</w:t>
            </w:r>
          </w:p>
        </w:tc>
        <w:tc>
          <w:tcPr>
            <w:tcW w:w="862" w:type="dxa"/>
            <w:tcMar>
              <w:top w:w="15" w:type="dxa"/>
              <w:left w:w="15" w:type="dxa"/>
              <w:bottom w:w="15" w:type="dxa"/>
              <w:right w:w="15" w:type="dxa"/>
            </w:tcMar>
            <w:vAlign w:val="center"/>
          </w:tcPr>
          <w:p>
            <w:pPr>
              <w:spacing w:line="300" w:lineRule="exact"/>
              <w:ind w:left="1" w:leftChars="0"/>
              <w:jc w:val="center"/>
              <w:rPr>
                <w:rFonts w:eastAsia="仿宋_GB2312"/>
                <w:sz w:val="24"/>
              </w:rPr>
            </w:pPr>
            <w:r>
              <w:rPr>
                <w:rFonts w:hint="eastAsia" w:eastAsia="仿宋_GB2312"/>
                <w:sz w:val="24"/>
                <w:lang w:val="en-US" w:eastAsia="zh-CN"/>
              </w:rPr>
              <w:t>147.15</w:t>
            </w:r>
          </w:p>
        </w:tc>
        <w:tc>
          <w:tcPr>
            <w:tcW w:w="992" w:type="dxa"/>
            <w:tcMar>
              <w:top w:w="15" w:type="dxa"/>
              <w:left w:w="15" w:type="dxa"/>
              <w:bottom w:w="15" w:type="dxa"/>
              <w:right w:w="15" w:type="dxa"/>
            </w:tcMar>
            <w:vAlign w:val="center"/>
          </w:tcPr>
          <w:p>
            <w:pPr>
              <w:spacing w:line="300" w:lineRule="exact"/>
              <w:ind w:left="1" w:leftChars="0"/>
              <w:jc w:val="center"/>
              <w:rPr>
                <w:rFonts w:eastAsia="仿宋_GB2312"/>
                <w:sz w:val="24"/>
              </w:rPr>
            </w:pPr>
            <w:r>
              <w:rPr>
                <w:rFonts w:hint="eastAsia" w:eastAsia="仿宋_GB2312"/>
                <w:sz w:val="24"/>
                <w:lang w:val="en-US" w:eastAsia="zh-CN"/>
              </w:rPr>
              <w:t>147.15</w:t>
            </w:r>
          </w:p>
        </w:tc>
        <w:tc>
          <w:tcPr>
            <w:tcW w:w="733" w:type="dxa"/>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87</w:t>
            </w:r>
          </w:p>
        </w:tc>
        <w:tc>
          <w:tcPr>
            <w:tcW w:w="777" w:type="dxa"/>
            <w:tcMar>
              <w:top w:w="15" w:type="dxa"/>
              <w:left w:w="15" w:type="dxa"/>
              <w:bottom w:w="15" w:type="dxa"/>
              <w:right w:w="15" w:type="dxa"/>
            </w:tcMar>
            <w:vAlign w:val="center"/>
          </w:tcPr>
          <w:p>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67"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pPr>
              <w:spacing w:line="300" w:lineRule="exact"/>
              <w:jc w:val="center"/>
              <w:rPr>
                <w:rFonts w:hint="eastAsia" w:eastAsia="仿宋_GB2312"/>
                <w:sz w:val="24"/>
                <w:lang w:val="en-US" w:eastAsia="zh-CN"/>
              </w:rPr>
            </w:pPr>
            <w:r>
              <w:rPr>
                <w:rFonts w:hint="eastAsia" w:eastAsia="仿宋_GB2312"/>
                <w:sz w:val="24"/>
                <w:lang w:val="en-US" w:eastAsia="zh-CN"/>
              </w:rPr>
              <w:t>7</w:t>
            </w:r>
          </w:p>
        </w:tc>
        <w:tc>
          <w:tcPr>
            <w:tcW w:w="1894" w:type="dxa"/>
            <w:tcMar>
              <w:top w:w="15" w:type="dxa"/>
              <w:left w:w="15" w:type="dxa"/>
              <w:bottom w:w="15" w:type="dxa"/>
              <w:right w:w="15" w:type="dxa"/>
            </w:tcMar>
            <w:vAlign w:val="center"/>
          </w:tcPr>
          <w:p>
            <w:pPr>
              <w:spacing w:line="300" w:lineRule="exact"/>
              <w:jc w:val="center"/>
              <w:rPr>
                <w:rFonts w:eastAsia="仿宋_GB2312"/>
                <w:sz w:val="24"/>
              </w:rPr>
            </w:pPr>
            <w:r>
              <w:rPr>
                <w:rFonts w:hint="eastAsia" w:ascii="仿宋_GB2312" w:hAnsi="仿宋_GB2312" w:eastAsia="仿宋_GB2312" w:cs="仿宋_GB2312"/>
                <w:szCs w:val="21"/>
              </w:rPr>
              <w:t>城市管理和综合执法局</w:t>
            </w:r>
          </w:p>
        </w:tc>
        <w:tc>
          <w:tcPr>
            <w:tcW w:w="2410" w:type="dxa"/>
            <w:tcMar>
              <w:top w:w="15" w:type="dxa"/>
              <w:left w:w="15" w:type="dxa"/>
              <w:bottom w:w="15" w:type="dxa"/>
              <w:right w:w="1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老垃圾场稻田污染赔偿及治理</w:t>
            </w:r>
          </w:p>
        </w:tc>
        <w:tc>
          <w:tcPr>
            <w:tcW w:w="776" w:type="dxa"/>
            <w:tcMar>
              <w:top w:w="15" w:type="dxa"/>
              <w:left w:w="15" w:type="dxa"/>
              <w:bottom w:w="15" w:type="dxa"/>
              <w:right w:w="15" w:type="dxa"/>
            </w:tcMar>
            <w:vAlign w:val="center"/>
          </w:tcPr>
          <w:p>
            <w:pPr>
              <w:spacing w:line="300" w:lineRule="exact"/>
              <w:jc w:val="center"/>
              <w:rPr>
                <w:rFonts w:hint="eastAsia" w:eastAsia="仿宋_GB2312"/>
                <w:sz w:val="24"/>
                <w:lang w:val="en-US" w:eastAsia="zh-CN"/>
              </w:rPr>
            </w:pPr>
            <w:r>
              <w:rPr>
                <w:rFonts w:hint="eastAsia" w:eastAsia="仿宋_GB2312"/>
                <w:sz w:val="24"/>
                <w:lang w:val="en-US" w:eastAsia="zh-CN"/>
              </w:rPr>
              <w:t>5</w:t>
            </w:r>
          </w:p>
        </w:tc>
        <w:tc>
          <w:tcPr>
            <w:tcW w:w="862" w:type="dxa"/>
            <w:tcMar>
              <w:top w:w="15" w:type="dxa"/>
              <w:left w:w="15" w:type="dxa"/>
              <w:bottom w:w="15" w:type="dxa"/>
              <w:right w:w="15" w:type="dxa"/>
            </w:tcMar>
            <w:vAlign w:val="center"/>
          </w:tcPr>
          <w:p>
            <w:pPr>
              <w:spacing w:line="300" w:lineRule="exact"/>
              <w:jc w:val="center"/>
              <w:rPr>
                <w:rFonts w:hint="eastAsia" w:eastAsia="仿宋_GB2312"/>
                <w:sz w:val="24"/>
                <w:lang w:val="en-US" w:eastAsia="zh-CN"/>
              </w:rPr>
            </w:pPr>
            <w:r>
              <w:rPr>
                <w:rFonts w:hint="eastAsia" w:eastAsia="仿宋_GB2312"/>
                <w:sz w:val="24"/>
                <w:lang w:val="en-US" w:eastAsia="zh-CN"/>
              </w:rPr>
              <w:t>5</w:t>
            </w:r>
          </w:p>
        </w:tc>
        <w:tc>
          <w:tcPr>
            <w:tcW w:w="992" w:type="dxa"/>
            <w:tcMar>
              <w:top w:w="15" w:type="dxa"/>
              <w:left w:w="15" w:type="dxa"/>
              <w:bottom w:w="15" w:type="dxa"/>
              <w:right w:w="15" w:type="dxa"/>
            </w:tcMar>
            <w:vAlign w:val="center"/>
          </w:tcPr>
          <w:p>
            <w:pPr>
              <w:spacing w:line="300" w:lineRule="exact"/>
              <w:jc w:val="center"/>
              <w:rPr>
                <w:rFonts w:hint="eastAsia" w:eastAsia="仿宋_GB2312"/>
                <w:sz w:val="24"/>
                <w:lang w:val="en-US" w:eastAsia="zh-CN"/>
              </w:rPr>
            </w:pPr>
            <w:r>
              <w:rPr>
                <w:rFonts w:hint="eastAsia" w:eastAsia="仿宋_GB2312"/>
                <w:sz w:val="24"/>
                <w:lang w:val="en-US" w:eastAsia="zh-CN"/>
              </w:rPr>
              <w:t>5</w:t>
            </w:r>
          </w:p>
        </w:tc>
        <w:tc>
          <w:tcPr>
            <w:tcW w:w="733" w:type="dxa"/>
            <w:tcMar>
              <w:top w:w="15" w:type="dxa"/>
              <w:left w:w="15" w:type="dxa"/>
              <w:bottom w:w="15" w:type="dxa"/>
              <w:right w:w="15" w:type="dxa"/>
            </w:tcMar>
            <w:vAlign w:val="center"/>
          </w:tcPr>
          <w:p>
            <w:pPr>
              <w:spacing w:line="300" w:lineRule="exact"/>
              <w:jc w:val="center"/>
              <w:rPr>
                <w:rFonts w:hint="default" w:eastAsia="仿宋_GB2312"/>
                <w:sz w:val="24"/>
                <w:lang w:val="en-US" w:eastAsia="zh-CN"/>
              </w:rPr>
            </w:pPr>
            <w:r>
              <w:rPr>
                <w:rFonts w:hint="eastAsia" w:eastAsia="仿宋_GB2312"/>
                <w:sz w:val="24"/>
                <w:lang w:val="en-US" w:eastAsia="zh-CN"/>
              </w:rPr>
              <w:t>92</w:t>
            </w:r>
          </w:p>
        </w:tc>
        <w:tc>
          <w:tcPr>
            <w:tcW w:w="777" w:type="dxa"/>
            <w:tcMar>
              <w:top w:w="15" w:type="dxa"/>
              <w:left w:w="15" w:type="dxa"/>
              <w:bottom w:w="15" w:type="dxa"/>
              <w:right w:w="15" w:type="dxa"/>
            </w:tcMar>
            <w:vAlign w:val="center"/>
          </w:tcPr>
          <w:p>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67"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pPr>
              <w:spacing w:line="300" w:lineRule="exact"/>
              <w:jc w:val="center"/>
              <w:rPr>
                <w:rFonts w:hint="eastAsia" w:eastAsia="仿宋_GB2312"/>
                <w:sz w:val="24"/>
                <w:lang w:val="en-US" w:eastAsia="zh-CN"/>
              </w:rPr>
            </w:pPr>
            <w:r>
              <w:rPr>
                <w:rFonts w:hint="eastAsia" w:eastAsia="仿宋_GB2312"/>
                <w:sz w:val="24"/>
                <w:lang w:val="en-US" w:eastAsia="zh-CN"/>
              </w:rPr>
              <w:t>8</w:t>
            </w:r>
          </w:p>
        </w:tc>
        <w:tc>
          <w:tcPr>
            <w:tcW w:w="1894" w:type="dxa"/>
            <w:tcMar>
              <w:top w:w="15" w:type="dxa"/>
              <w:left w:w="15" w:type="dxa"/>
              <w:bottom w:w="15" w:type="dxa"/>
              <w:right w:w="15" w:type="dxa"/>
            </w:tcMar>
            <w:vAlign w:val="center"/>
          </w:tcPr>
          <w:p>
            <w:pPr>
              <w:spacing w:line="300" w:lineRule="exact"/>
              <w:jc w:val="center"/>
              <w:rPr>
                <w:rFonts w:eastAsia="仿宋_GB2312"/>
                <w:sz w:val="24"/>
              </w:rPr>
            </w:pPr>
            <w:r>
              <w:rPr>
                <w:rFonts w:hint="eastAsia" w:ascii="仿宋_GB2312" w:hAnsi="仿宋_GB2312" w:eastAsia="仿宋_GB2312" w:cs="仿宋_GB2312"/>
                <w:szCs w:val="21"/>
              </w:rPr>
              <w:t>城市管理和综合执法局</w:t>
            </w:r>
          </w:p>
        </w:tc>
        <w:tc>
          <w:tcPr>
            <w:tcW w:w="2410" w:type="dxa"/>
            <w:tcMar>
              <w:top w:w="15" w:type="dxa"/>
              <w:left w:w="15" w:type="dxa"/>
              <w:bottom w:w="15" w:type="dxa"/>
              <w:right w:w="1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一非两违项目</w:t>
            </w:r>
          </w:p>
        </w:tc>
        <w:tc>
          <w:tcPr>
            <w:tcW w:w="776" w:type="dxa"/>
            <w:tcMar>
              <w:top w:w="15" w:type="dxa"/>
              <w:left w:w="15" w:type="dxa"/>
              <w:bottom w:w="15" w:type="dxa"/>
              <w:right w:w="15" w:type="dxa"/>
            </w:tcMar>
            <w:vAlign w:val="center"/>
          </w:tcPr>
          <w:p>
            <w:pPr>
              <w:spacing w:line="300" w:lineRule="exact"/>
              <w:jc w:val="center"/>
              <w:rPr>
                <w:rFonts w:hint="default" w:eastAsia="仿宋_GB2312"/>
                <w:sz w:val="24"/>
                <w:lang w:val="en-US" w:eastAsia="zh-CN"/>
              </w:rPr>
            </w:pPr>
            <w:r>
              <w:rPr>
                <w:rFonts w:hint="eastAsia" w:eastAsia="仿宋_GB2312"/>
                <w:sz w:val="24"/>
                <w:lang w:val="en-US" w:eastAsia="zh-CN"/>
              </w:rPr>
              <w:t>25</w:t>
            </w:r>
          </w:p>
        </w:tc>
        <w:tc>
          <w:tcPr>
            <w:tcW w:w="862" w:type="dxa"/>
            <w:tcMar>
              <w:top w:w="15" w:type="dxa"/>
              <w:left w:w="15" w:type="dxa"/>
              <w:bottom w:w="15" w:type="dxa"/>
              <w:right w:w="15" w:type="dxa"/>
            </w:tcMar>
            <w:vAlign w:val="center"/>
          </w:tcPr>
          <w:p>
            <w:pPr>
              <w:spacing w:line="300" w:lineRule="exact"/>
              <w:jc w:val="center"/>
              <w:rPr>
                <w:rFonts w:hint="default" w:eastAsia="仿宋_GB2312"/>
                <w:sz w:val="24"/>
                <w:lang w:val="en-US" w:eastAsia="zh-CN"/>
              </w:rPr>
            </w:pPr>
            <w:r>
              <w:rPr>
                <w:rFonts w:hint="eastAsia" w:eastAsia="仿宋_GB2312"/>
                <w:sz w:val="24"/>
                <w:lang w:val="en-US" w:eastAsia="zh-CN"/>
              </w:rPr>
              <w:t>25</w:t>
            </w:r>
          </w:p>
        </w:tc>
        <w:tc>
          <w:tcPr>
            <w:tcW w:w="992" w:type="dxa"/>
            <w:tcMar>
              <w:top w:w="15" w:type="dxa"/>
              <w:left w:w="15" w:type="dxa"/>
              <w:bottom w:w="15" w:type="dxa"/>
              <w:right w:w="15" w:type="dxa"/>
            </w:tcMar>
            <w:vAlign w:val="center"/>
          </w:tcPr>
          <w:p>
            <w:pPr>
              <w:spacing w:line="300" w:lineRule="exact"/>
              <w:jc w:val="center"/>
              <w:rPr>
                <w:rFonts w:hint="default" w:eastAsia="仿宋_GB2312"/>
                <w:sz w:val="24"/>
                <w:lang w:val="en-US" w:eastAsia="zh-CN"/>
              </w:rPr>
            </w:pPr>
            <w:r>
              <w:rPr>
                <w:rFonts w:hint="eastAsia" w:eastAsia="仿宋_GB2312"/>
                <w:sz w:val="24"/>
                <w:lang w:val="en-US" w:eastAsia="zh-CN"/>
              </w:rPr>
              <w:t>25</w:t>
            </w:r>
          </w:p>
        </w:tc>
        <w:tc>
          <w:tcPr>
            <w:tcW w:w="733" w:type="dxa"/>
            <w:tcMar>
              <w:top w:w="15" w:type="dxa"/>
              <w:left w:w="15" w:type="dxa"/>
              <w:bottom w:w="15" w:type="dxa"/>
              <w:right w:w="15" w:type="dxa"/>
            </w:tcMar>
            <w:vAlign w:val="center"/>
          </w:tcPr>
          <w:p>
            <w:pPr>
              <w:spacing w:line="300" w:lineRule="exact"/>
              <w:jc w:val="center"/>
              <w:rPr>
                <w:rFonts w:hint="default" w:eastAsia="仿宋_GB2312"/>
                <w:sz w:val="24"/>
                <w:lang w:val="en-US" w:eastAsia="zh-CN"/>
              </w:rPr>
            </w:pPr>
            <w:r>
              <w:rPr>
                <w:rFonts w:hint="eastAsia" w:eastAsia="仿宋_GB2312"/>
                <w:sz w:val="24"/>
                <w:lang w:val="en-US" w:eastAsia="zh-CN"/>
              </w:rPr>
              <w:t>91</w:t>
            </w:r>
            <w:bookmarkStart w:id="0" w:name="_GoBack"/>
            <w:bookmarkEnd w:id="0"/>
          </w:p>
        </w:tc>
        <w:tc>
          <w:tcPr>
            <w:tcW w:w="777" w:type="dxa"/>
            <w:tcMar>
              <w:top w:w="15" w:type="dxa"/>
              <w:left w:w="15" w:type="dxa"/>
              <w:bottom w:w="15" w:type="dxa"/>
              <w:right w:w="15" w:type="dxa"/>
            </w:tcMar>
            <w:vAlign w:val="center"/>
          </w:tcPr>
          <w:p>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67"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pPr>
              <w:spacing w:line="300" w:lineRule="exact"/>
              <w:jc w:val="center"/>
              <w:rPr>
                <w:rFonts w:hint="eastAsia" w:eastAsia="仿宋_GB2312"/>
                <w:sz w:val="24"/>
                <w:lang w:val="en-US" w:eastAsia="zh-CN"/>
              </w:rPr>
            </w:pPr>
            <w:r>
              <w:rPr>
                <w:rFonts w:hint="eastAsia" w:eastAsia="仿宋_GB2312"/>
                <w:sz w:val="24"/>
                <w:lang w:val="en-US" w:eastAsia="zh-CN"/>
              </w:rPr>
              <w:t>9</w:t>
            </w:r>
          </w:p>
        </w:tc>
        <w:tc>
          <w:tcPr>
            <w:tcW w:w="1894" w:type="dxa"/>
            <w:tcMar>
              <w:top w:w="15" w:type="dxa"/>
              <w:left w:w="15" w:type="dxa"/>
              <w:bottom w:w="15" w:type="dxa"/>
              <w:right w:w="15" w:type="dxa"/>
            </w:tcMar>
            <w:vAlign w:val="center"/>
          </w:tcPr>
          <w:p>
            <w:pPr>
              <w:spacing w:line="300" w:lineRule="exact"/>
              <w:jc w:val="center"/>
              <w:rPr>
                <w:rFonts w:eastAsia="仿宋_GB2312"/>
                <w:sz w:val="24"/>
              </w:rPr>
            </w:pPr>
            <w:r>
              <w:rPr>
                <w:rFonts w:hint="eastAsia" w:ascii="仿宋_GB2312" w:hAnsi="仿宋_GB2312" w:eastAsia="仿宋_GB2312" w:cs="仿宋_GB2312"/>
                <w:szCs w:val="21"/>
              </w:rPr>
              <w:t>城市管理和综合执法局</w:t>
            </w:r>
          </w:p>
        </w:tc>
        <w:tc>
          <w:tcPr>
            <w:tcW w:w="2410" w:type="dxa"/>
            <w:tcMar>
              <w:top w:w="15" w:type="dxa"/>
              <w:left w:w="15" w:type="dxa"/>
              <w:bottom w:w="15" w:type="dxa"/>
              <w:right w:w="1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创建国家森林城市项目</w:t>
            </w:r>
          </w:p>
        </w:tc>
        <w:tc>
          <w:tcPr>
            <w:tcW w:w="776" w:type="dxa"/>
            <w:tcMar>
              <w:top w:w="15" w:type="dxa"/>
              <w:left w:w="15" w:type="dxa"/>
              <w:bottom w:w="15" w:type="dxa"/>
              <w:right w:w="15" w:type="dxa"/>
            </w:tcMar>
            <w:vAlign w:val="center"/>
          </w:tcPr>
          <w:p>
            <w:pPr>
              <w:spacing w:line="300" w:lineRule="exact"/>
              <w:jc w:val="center"/>
              <w:rPr>
                <w:rFonts w:hint="default" w:eastAsia="仿宋_GB2312"/>
                <w:sz w:val="24"/>
                <w:lang w:val="en-US" w:eastAsia="zh-CN"/>
              </w:rPr>
            </w:pPr>
            <w:r>
              <w:rPr>
                <w:rFonts w:hint="eastAsia" w:eastAsia="仿宋_GB2312"/>
                <w:sz w:val="24"/>
                <w:lang w:val="en-US" w:eastAsia="zh-CN"/>
              </w:rPr>
              <w:t>12</w:t>
            </w:r>
          </w:p>
        </w:tc>
        <w:tc>
          <w:tcPr>
            <w:tcW w:w="862" w:type="dxa"/>
            <w:tcMar>
              <w:top w:w="15" w:type="dxa"/>
              <w:left w:w="15" w:type="dxa"/>
              <w:bottom w:w="15" w:type="dxa"/>
              <w:right w:w="15" w:type="dxa"/>
            </w:tcMar>
            <w:vAlign w:val="center"/>
          </w:tcPr>
          <w:p>
            <w:pPr>
              <w:spacing w:line="300" w:lineRule="exact"/>
              <w:jc w:val="center"/>
              <w:rPr>
                <w:rFonts w:hint="default" w:eastAsia="仿宋_GB2312"/>
                <w:sz w:val="24"/>
                <w:lang w:val="en-US" w:eastAsia="zh-CN"/>
              </w:rPr>
            </w:pPr>
            <w:r>
              <w:rPr>
                <w:rFonts w:hint="eastAsia" w:eastAsia="仿宋_GB2312"/>
                <w:sz w:val="24"/>
                <w:lang w:val="en-US" w:eastAsia="zh-CN"/>
              </w:rPr>
              <w:t>12</w:t>
            </w:r>
          </w:p>
        </w:tc>
        <w:tc>
          <w:tcPr>
            <w:tcW w:w="992" w:type="dxa"/>
            <w:tcMar>
              <w:top w:w="15" w:type="dxa"/>
              <w:left w:w="15" w:type="dxa"/>
              <w:bottom w:w="15" w:type="dxa"/>
              <w:right w:w="15" w:type="dxa"/>
            </w:tcMar>
            <w:vAlign w:val="center"/>
          </w:tcPr>
          <w:p>
            <w:pPr>
              <w:spacing w:line="300" w:lineRule="exact"/>
              <w:jc w:val="center"/>
              <w:rPr>
                <w:rFonts w:hint="default" w:eastAsia="仿宋_GB2312"/>
                <w:sz w:val="24"/>
                <w:lang w:val="en-US" w:eastAsia="zh-CN"/>
              </w:rPr>
            </w:pPr>
            <w:r>
              <w:rPr>
                <w:rFonts w:hint="eastAsia" w:eastAsia="仿宋_GB2312"/>
                <w:sz w:val="24"/>
                <w:lang w:val="en-US" w:eastAsia="zh-CN"/>
              </w:rPr>
              <w:t>12</w:t>
            </w:r>
          </w:p>
        </w:tc>
        <w:tc>
          <w:tcPr>
            <w:tcW w:w="733" w:type="dxa"/>
            <w:tcMar>
              <w:top w:w="15" w:type="dxa"/>
              <w:left w:w="15" w:type="dxa"/>
              <w:bottom w:w="15" w:type="dxa"/>
              <w:right w:w="15" w:type="dxa"/>
            </w:tcMar>
            <w:vAlign w:val="center"/>
          </w:tcPr>
          <w:p>
            <w:pPr>
              <w:spacing w:line="300" w:lineRule="exact"/>
              <w:jc w:val="center"/>
              <w:rPr>
                <w:rFonts w:hint="default" w:eastAsia="仿宋_GB2312"/>
                <w:sz w:val="24"/>
                <w:lang w:val="en-US" w:eastAsia="zh-CN"/>
              </w:rPr>
            </w:pPr>
            <w:r>
              <w:rPr>
                <w:rFonts w:hint="eastAsia" w:eastAsia="仿宋_GB2312"/>
                <w:sz w:val="24"/>
                <w:lang w:val="en-US" w:eastAsia="zh-CN"/>
              </w:rPr>
              <w:t>89</w:t>
            </w:r>
          </w:p>
        </w:tc>
        <w:tc>
          <w:tcPr>
            <w:tcW w:w="777" w:type="dxa"/>
            <w:tcMar>
              <w:top w:w="15" w:type="dxa"/>
              <w:left w:w="15" w:type="dxa"/>
              <w:bottom w:w="15" w:type="dxa"/>
              <w:right w:w="15" w:type="dxa"/>
            </w:tcMar>
            <w:vAlign w:val="center"/>
          </w:tcPr>
          <w:p>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67"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p>
        </w:tc>
        <w:tc>
          <w:tcPr>
            <w:tcW w:w="1894" w:type="dxa"/>
            <w:tcMar>
              <w:top w:w="15" w:type="dxa"/>
              <w:left w:w="15" w:type="dxa"/>
              <w:bottom w:w="15" w:type="dxa"/>
              <w:right w:w="15" w:type="dxa"/>
            </w:tcMar>
            <w:vAlign w:val="center"/>
          </w:tcPr>
          <w:p>
            <w:pPr>
              <w:spacing w:line="300" w:lineRule="exact"/>
              <w:jc w:val="center"/>
              <w:rPr>
                <w:rFonts w:eastAsia="仿宋_GB2312"/>
                <w:sz w:val="24"/>
              </w:rPr>
            </w:pPr>
          </w:p>
        </w:tc>
        <w:tc>
          <w:tcPr>
            <w:tcW w:w="2410" w:type="dxa"/>
            <w:tcMar>
              <w:top w:w="15" w:type="dxa"/>
              <w:left w:w="15" w:type="dxa"/>
              <w:bottom w:w="15" w:type="dxa"/>
              <w:right w:w="15" w:type="dxa"/>
            </w:tcMar>
            <w:vAlign w:val="center"/>
          </w:tcPr>
          <w:p>
            <w:pPr>
              <w:spacing w:line="300" w:lineRule="exact"/>
              <w:jc w:val="center"/>
              <w:rPr>
                <w:rFonts w:eastAsia="仿宋_GB2312"/>
                <w:sz w:val="24"/>
              </w:rPr>
            </w:pPr>
          </w:p>
        </w:tc>
        <w:tc>
          <w:tcPr>
            <w:tcW w:w="776" w:type="dxa"/>
            <w:tcMar>
              <w:top w:w="15" w:type="dxa"/>
              <w:left w:w="15" w:type="dxa"/>
              <w:bottom w:w="15" w:type="dxa"/>
              <w:right w:w="15" w:type="dxa"/>
            </w:tcMar>
            <w:vAlign w:val="center"/>
          </w:tcPr>
          <w:p>
            <w:pPr>
              <w:spacing w:line="300" w:lineRule="exact"/>
              <w:jc w:val="center"/>
              <w:rPr>
                <w:rFonts w:eastAsia="仿宋_GB2312"/>
                <w:sz w:val="24"/>
              </w:rPr>
            </w:pPr>
          </w:p>
        </w:tc>
        <w:tc>
          <w:tcPr>
            <w:tcW w:w="862" w:type="dxa"/>
            <w:tcMar>
              <w:top w:w="15" w:type="dxa"/>
              <w:left w:w="15" w:type="dxa"/>
              <w:bottom w:w="15" w:type="dxa"/>
              <w:right w:w="15" w:type="dxa"/>
            </w:tcMar>
            <w:vAlign w:val="center"/>
          </w:tcPr>
          <w:p>
            <w:pPr>
              <w:spacing w:line="300" w:lineRule="exact"/>
              <w:jc w:val="center"/>
              <w:rPr>
                <w:rFonts w:eastAsia="仿宋_GB2312"/>
                <w:sz w:val="24"/>
              </w:rPr>
            </w:pPr>
          </w:p>
        </w:tc>
        <w:tc>
          <w:tcPr>
            <w:tcW w:w="992" w:type="dxa"/>
            <w:tcMar>
              <w:top w:w="15" w:type="dxa"/>
              <w:left w:w="15" w:type="dxa"/>
              <w:bottom w:w="15" w:type="dxa"/>
              <w:right w:w="15" w:type="dxa"/>
            </w:tcMar>
            <w:vAlign w:val="center"/>
          </w:tcPr>
          <w:p>
            <w:pPr>
              <w:spacing w:line="300" w:lineRule="exact"/>
              <w:jc w:val="center"/>
              <w:rPr>
                <w:rFonts w:eastAsia="仿宋_GB2312"/>
                <w:sz w:val="24"/>
              </w:rPr>
            </w:pPr>
          </w:p>
        </w:tc>
        <w:tc>
          <w:tcPr>
            <w:tcW w:w="733" w:type="dxa"/>
            <w:tcMar>
              <w:top w:w="15" w:type="dxa"/>
              <w:left w:w="15" w:type="dxa"/>
              <w:bottom w:w="15" w:type="dxa"/>
              <w:right w:w="15" w:type="dxa"/>
            </w:tcMar>
            <w:vAlign w:val="center"/>
          </w:tcPr>
          <w:p>
            <w:pPr>
              <w:spacing w:line="300" w:lineRule="exact"/>
              <w:jc w:val="center"/>
              <w:rPr>
                <w:rFonts w:eastAsia="仿宋_GB2312"/>
                <w:sz w:val="24"/>
              </w:rPr>
            </w:pPr>
          </w:p>
        </w:tc>
        <w:tc>
          <w:tcPr>
            <w:tcW w:w="777" w:type="dxa"/>
            <w:tcMar>
              <w:top w:w="15" w:type="dxa"/>
              <w:left w:w="15" w:type="dxa"/>
              <w:bottom w:w="15" w:type="dxa"/>
              <w:right w:w="15" w:type="dxa"/>
            </w:tcMar>
            <w:vAlign w:val="center"/>
          </w:tcPr>
          <w:p>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67"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p>
        </w:tc>
        <w:tc>
          <w:tcPr>
            <w:tcW w:w="1894" w:type="dxa"/>
            <w:tcMar>
              <w:top w:w="15" w:type="dxa"/>
              <w:left w:w="15" w:type="dxa"/>
              <w:bottom w:w="15" w:type="dxa"/>
              <w:right w:w="15" w:type="dxa"/>
            </w:tcMar>
            <w:vAlign w:val="center"/>
          </w:tcPr>
          <w:p>
            <w:pPr>
              <w:spacing w:line="300" w:lineRule="exact"/>
              <w:jc w:val="center"/>
              <w:rPr>
                <w:rFonts w:eastAsia="仿宋_GB2312"/>
                <w:sz w:val="24"/>
              </w:rPr>
            </w:pPr>
          </w:p>
        </w:tc>
        <w:tc>
          <w:tcPr>
            <w:tcW w:w="2410" w:type="dxa"/>
            <w:tcMar>
              <w:top w:w="15" w:type="dxa"/>
              <w:left w:w="15" w:type="dxa"/>
              <w:bottom w:w="15" w:type="dxa"/>
              <w:right w:w="15" w:type="dxa"/>
            </w:tcMar>
            <w:vAlign w:val="center"/>
          </w:tcPr>
          <w:p>
            <w:pPr>
              <w:spacing w:line="300" w:lineRule="exact"/>
              <w:jc w:val="center"/>
              <w:rPr>
                <w:rFonts w:eastAsia="仿宋_GB2312"/>
                <w:sz w:val="24"/>
              </w:rPr>
            </w:pPr>
          </w:p>
        </w:tc>
        <w:tc>
          <w:tcPr>
            <w:tcW w:w="776" w:type="dxa"/>
            <w:tcMar>
              <w:top w:w="15" w:type="dxa"/>
              <w:left w:w="15" w:type="dxa"/>
              <w:bottom w:w="15" w:type="dxa"/>
              <w:right w:w="15" w:type="dxa"/>
            </w:tcMar>
            <w:vAlign w:val="center"/>
          </w:tcPr>
          <w:p>
            <w:pPr>
              <w:spacing w:line="300" w:lineRule="exact"/>
              <w:jc w:val="center"/>
              <w:rPr>
                <w:rFonts w:eastAsia="仿宋_GB2312"/>
                <w:sz w:val="24"/>
              </w:rPr>
            </w:pPr>
          </w:p>
        </w:tc>
        <w:tc>
          <w:tcPr>
            <w:tcW w:w="862" w:type="dxa"/>
            <w:tcMar>
              <w:top w:w="15" w:type="dxa"/>
              <w:left w:w="15" w:type="dxa"/>
              <w:bottom w:w="15" w:type="dxa"/>
              <w:right w:w="15" w:type="dxa"/>
            </w:tcMar>
            <w:vAlign w:val="center"/>
          </w:tcPr>
          <w:p>
            <w:pPr>
              <w:spacing w:line="300" w:lineRule="exact"/>
              <w:jc w:val="center"/>
              <w:rPr>
                <w:rFonts w:eastAsia="仿宋_GB2312"/>
                <w:sz w:val="24"/>
              </w:rPr>
            </w:pPr>
          </w:p>
        </w:tc>
        <w:tc>
          <w:tcPr>
            <w:tcW w:w="992" w:type="dxa"/>
            <w:tcMar>
              <w:top w:w="15" w:type="dxa"/>
              <w:left w:w="15" w:type="dxa"/>
              <w:bottom w:w="15" w:type="dxa"/>
              <w:right w:w="15" w:type="dxa"/>
            </w:tcMar>
            <w:vAlign w:val="center"/>
          </w:tcPr>
          <w:p>
            <w:pPr>
              <w:spacing w:line="300" w:lineRule="exact"/>
              <w:jc w:val="center"/>
              <w:rPr>
                <w:rFonts w:eastAsia="仿宋_GB2312"/>
                <w:sz w:val="24"/>
              </w:rPr>
            </w:pPr>
          </w:p>
        </w:tc>
        <w:tc>
          <w:tcPr>
            <w:tcW w:w="733" w:type="dxa"/>
            <w:tcMar>
              <w:top w:w="15" w:type="dxa"/>
              <w:left w:w="15" w:type="dxa"/>
              <w:bottom w:w="15" w:type="dxa"/>
              <w:right w:w="15" w:type="dxa"/>
            </w:tcMar>
            <w:vAlign w:val="center"/>
          </w:tcPr>
          <w:p>
            <w:pPr>
              <w:spacing w:line="300" w:lineRule="exact"/>
              <w:jc w:val="center"/>
              <w:rPr>
                <w:rFonts w:eastAsia="仿宋_GB2312"/>
                <w:sz w:val="24"/>
              </w:rPr>
            </w:pPr>
          </w:p>
        </w:tc>
        <w:tc>
          <w:tcPr>
            <w:tcW w:w="777" w:type="dxa"/>
            <w:tcMar>
              <w:top w:w="15" w:type="dxa"/>
              <w:left w:w="15" w:type="dxa"/>
              <w:bottom w:w="15" w:type="dxa"/>
              <w:right w:w="15" w:type="dxa"/>
            </w:tcMar>
            <w:vAlign w:val="center"/>
          </w:tcPr>
          <w:p>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51" w:hRule="atLeast"/>
          <w:tblCellSpacing w:w="0" w:type="dxa"/>
          <w:jc w:val="center"/>
        </w:trPr>
        <w:tc>
          <w:tcPr>
            <w:tcW w:w="9680" w:type="dxa"/>
            <w:gridSpan w:val="9"/>
            <w:tcBorders>
              <w:left w:val="single" w:color="auto" w:sz="2" w:space="0"/>
              <w:bottom w:val="single" w:color="auto" w:sz="2" w:space="0"/>
              <w:right w:val="single" w:color="auto" w:sz="2" w:space="0"/>
            </w:tcBorders>
            <w:tcMar>
              <w:top w:w="15" w:type="dxa"/>
              <w:left w:w="15" w:type="dxa"/>
              <w:bottom w:w="15" w:type="dxa"/>
              <w:right w:w="15" w:type="dxa"/>
            </w:tcMar>
            <w:vAlign w:val="center"/>
          </w:tcPr>
          <w:p>
            <w:pPr>
              <w:spacing w:line="300" w:lineRule="exact"/>
              <w:rPr>
                <w:rFonts w:eastAsia="仿宋_GB2312"/>
                <w:sz w:val="24"/>
              </w:rPr>
            </w:pPr>
            <w:r>
              <w:rPr>
                <w:rFonts w:eastAsia="仿宋_GB2312"/>
                <w:sz w:val="24"/>
              </w:rPr>
              <w:t>二、部门（单位）整体支出绩效自评：</w:t>
            </w:r>
          </w:p>
          <w:p>
            <w:pPr>
              <w:spacing w:line="300" w:lineRule="exact"/>
              <w:rPr>
                <w:rFonts w:eastAsia="仿宋_GB2312"/>
                <w:sz w:val="24"/>
              </w:rPr>
            </w:pPr>
          </w:p>
          <w:p>
            <w:pPr>
              <w:spacing w:line="300" w:lineRule="exact"/>
              <w:ind w:firstLine="360" w:firstLineChars="150"/>
              <w:rPr>
                <w:rFonts w:eastAsia="仿宋_GB2312"/>
                <w:sz w:val="24"/>
              </w:rPr>
            </w:pPr>
            <w:r>
              <w:rPr>
                <w:rFonts w:eastAsia="仿宋_GB2312"/>
                <w:sz w:val="24"/>
              </w:rPr>
              <w:t>部门（单位）：    </w:t>
            </w:r>
            <w:r>
              <w:rPr>
                <w:rFonts w:hint="eastAsia" w:ascii="仿宋_GB2312" w:hAnsi="仿宋_GB2312" w:eastAsia="仿宋_GB2312" w:cs="仿宋_GB2312"/>
                <w:szCs w:val="21"/>
              </w:rPr>
              <w:t>城市管理和综合执法局</w:t>
            </w:r>
            <w:r>
              <w:rPr>
                <w:rFonts w:eastAsia="仿宋_GB2312"/>
                <w:sz w:val="24"/>
              </w:rPr>
              <w:t xml:space="preserve">    </w:t>
            </w:r>
            <w:r>
              <w:rPr>
                <w:rFonts w:hint="eastAsia" w:eastAsia="仿宋_GB2312"/>
                <w:sz w:val="24"/>
              </w:rPr>
              <w:t xml:space="preserve"> </w:t>
            </w:r>
            <w:r>
              <w:rPr>
                <w:rFonts w:eastAsia="仿宋_GB2312"/>
                <w:sz w:val="24"/>
              </w:rPr>
              <w:t xml:space="preserve"> </w:t>
            </w:r>
            <w:r>
              <w:rPr>
                <w:rFonts w:hint="eastAsia" w:eastAsia="仿宋_GB2312"/>
                <w:sz w:val="24"/>
              </w:rPr>
              <w:t xml:space="preserve"> </w:t>
            </w:r>
            <w:r>
              <w:rPr>
                <w:rFonts w:eastAsia="仿宋_GB2312"/>
                <w:sz w:val="24"/>
              </w:rPr>
              <w:t xml:space="preserve">  自评分数：</w:t>
            </w:r>
            <w:r>
              <w:rPr>
                <w:rFonts w:hint="eastAsia" w:eastAsia="仿宋_GB2312"/>
                <w:sz w:val="24"/>
              </w:rPr>
              <w:t>8</w:t>
            </w:r>
            <w:r>
              <w:rPr>
                <w:rFonts w:hint="eastAsia" w:eastAsia="仿宋_GB2312"/>
                <w:sz w:val="24"/>
                <w:lang w:val="en-US" w:eastAsia="zh-CN"/>
              </w:rPr>
              <w:t>3</w:t>
            </w:r>
            <w:r>
              <w:rPr>
                <w:rFonts w:eastAsia="仿宋_GB2312"/>
                <w:sz w:val="24"/>
              </w:rPr>
              <w:t xml:space="preserve">      </w:t>
            </w:r>
            <w:r>
              <w:rPr>
                <w:rFonts w:hint="eastAsia" w:eastAsia="仿宋_GB2312"/>
                <w:sz w:val="24"/>
              </w:rPr>
              <w:t xml:space="preserve"> </w:t>
            </w:r>
            <w:r>
              <w:rPr>
                <w:rFonts w:eastAsia="仿宋_GB2312"/>
                <w:sz w:val="24"/>
              </w:rPr>
              <w:t xml:space="preserve">    自评等级：</w:t>
            </w:r>
            <w:r>
              <w:rPr>
                <w:rFonts w:hint="eastAsia" w:eastAsia="仿宋_GB2312"/>
                <w:sz w:val="24"/>
              </w:rPr>
              <w:t>良好</w:t>
            </w:r>
          </w:p>
        </w:tc>
      </w:tr>
    </w:tbl>
    <w:p>
      <w:pPr>
        <w:spacing w:line="400" w:lineRule="exact"/>
        <w:jc w:val="left"/>
        <w:rPr>
          <w:rFonts w:eastAsia="仿宋_GB2312"/>
          <w:sz w:val="24"/>
        </w:rPr>
      </w:pPr>
      <w:r>
        <w:rPr>
          <w:rFonts w:eastAsia="仿宋_GB2312"/>
          <w:sz w:val="24"/>
        </w:rPr>
        <w:t>备注：评价等级划分如下</w:t>
      </w:r>
    </w:p>
    <w:p>
      <w:pPr>
        <w:spacing w:line="400" w:lineRule="exact"/>
        <w:jc w:val="left"/>
        <w:rPr>
          <w:rFonts w:eastAsia="仿宋_GB2312"/>
          <w:sz w:val="24"/>
        </w:rPr>
      </w:pPr>
      <w:r>
        <w:rPr>
          <w:rFonts w:eastAsia="仿宋_GB2312"/>
          <w:sz w:val="24"/>
        </w:rPr>
        <w:t>优秀  9</w:t>
      </w:r>
      <w:r>
        <w:rPr>
          <w:rFonts w:hint="eastAsia" w:eastAsia="仿宋_GB2312"/>
          <w:sz w:val="24"/>
        </w:rPr>
        <w:t>0</w:t>
      </w:r>
      <w:r>
        <w:rPr>
          <w:rFonts w:eastAsia="仿宋_GB2312"/>
          <w:sz w:val="24"/>
        </w:rPr>
        <w:t>分≤得分≤100分；良好  80分≤得分＜9</w:t>
      </w:r>
      <w:r>
        <w:rPr>
          <w:rFonts w:hint="eastAsia" w:eastAsia="仿宋_GB2312"/>
          <w:sz w:val="24"/>
        </w:rPr>
        <w:t>0</w:t>
      </w:r>
      <w:r>
        <w:rPr>
          <w:rFonts w:eastAsia="仿宋_GB2312"/>
          <w:sz w:val="24"/>
        </w:rPr>
        <w:t>分；</w:t>
      </w:r>
      <w:r>
        <w:rPr>
          <w:rFonts w:hint="eastAsia" w:eastAsia="仿宋_GB2312"/>
          <w:sz w:val="24"/>
        </w:rPr>
        <w:t>较差</w:t>
      </w:r>
      <w:r>
        <w:rPr>
          <w:rFonts w:eastAsia="仿宋_GB2312"/>
          <w:sz w:val="24"/>
        </w:rPr>
        <w:t xml:space="preserve"> 60分≤得分＜80分；差 </w:t>
      </w:r>
      <w:r>
        <w:rPr>
          <w:rFonts w:hint="eastAsia" w:eastAsia="仿宋_GB2312"/>
          <w:sz w:val="24"/>
        </w:rPr>
        <w:t xml:space="preserve">  </w:t>
      </w:r>
      <w:r>
        <w:rPr>
          <w:rFonts w:eastAsia="仿宋_GB2312"/>
          <w:sz w:val="24"/>
        </w:rPr>
        <w:t xml:space="preserve"> 得分＜60分</w:t>
      </w:r>
    </w:p>
    <w:sectPr>
      <w:pgSz w:w="11906" w:h="16838"/>
      <w:pgMar w:top="1440" w:right="1689" w:bottom="1440" w:left="1689"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C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方正粗宋简体">
    <w:altName w:val="宋体"/>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楷体">
    <w:panose1 w:val="02010609060101010101"/>
    <w:charset w:val="86"/>
    <w:family w:val="modern"/>
    <w:pitch w:val="default"/>
    <w:sig w:usb0="800002BF" w:usb1="38CF7CFA" w:usb2="00000016" w:usb3="00000000" w:csb0="00040001" w:csb1="00000000"/>
  </w:font>
  <w:font w:name="Dotum">
    <w:altName w:val="Malgun Gothic"/>
    <w:panose1 w:val="020B0600000101010101"/>
    <w:charset w:val="81"/>
    <w:family w:val="swiss"/>
    <w:pitch w:val="default"/>
    <w:sig w:usb0="00000000" w:usb1="00000000" w:usb2="00000030" w:usb3="00000000" w:csb0="0008009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3"/>
                  <w:jc w:val="center"/>
                  <w:rPr>
                    <w:rStyle w:val="10"/>
                  </w:rPr>
                </w:pPr>
                <w:r>
                  <w:rPr>
                    <w:rStyle w:val="10"/>
                  </w:rPr>
                  <w:fldChar w:fldCharType="begin"/>
                </w:r>
                <w:r>
                  <w:rPr>
                    <w:rStyle w:val="10"/>
                  </w:rPr>
                  <w:instrText xml:space="preserve">PAGE  </w:instrText>
                </w:r>
                <w:r>
                  <w:rPr>
                    <w:rStyle w:val="10"/>
                  </w:rPr>
                  <w:fldChar w:fldCharType="separate"/>
                </w:r>
                <w:r>
                  <w:rPr>
                    <w:rStyle w:val="10"/>
                  </w:rPr>
                  <w:t>47</w:t>
                </w:r>
                <w:r>
                  <w:rPr>
                    <w:rStyle w:val="10"/>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97A8CB"/>
    <w:multiLevelType w:val="singleLevel"/>
    <w:tmpl w:val="3A97A8CB"/>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Tc2MDdmMDQ0OWUwOWQ0ZDk2NTkwMWQxOGZjZmZhNGEifQ=="/>
  </w:docVars>
  <w:rsids>
    <w:rsidRoot w:val="00B76EA6"/>
    <w:rsid w:val="00071232"/>
    <w:rsid w:val="00072761"/>
    <w:rsid w:val="00082D8C"/>
    <w:rsid w:val="00085FDA"/>
    <w:rsid w:val="00087765"/>
    <w:rsid w:val="000B74A1"/>
    <w:rsid w:val="000F62F6"/>
    <w:rsid w:val="00116218"/>
    <w:rsid w:val="00151AB6"/>
    <w:rsid w:val="00153EC7"/>
    <w:rsid w:val="001A685B"/>
    <w:rsid w:val="001C062E"/>
    <w:rsid w:val="001C6809"/>
    <w:rsid w:val="001C7D81"/>
    <w:rsid w:val="00220D1C"/>
    <w:rsid w:val="00227C9E"/>
    <w:rsid w:val="002440AF"/>
    <w:rsid w:val="00261615"/>
    <w:rsid w:val="002777C8"/>
    <w:rsid w:val="00287891"/>
    <w:rsid w:val="002A615C"/>
    <w:rsid w:val="002B4BFE"/>
    <w:rsid w:val="003008D4"/>
    <w:rsid w:val="00303D73"/>
    <w:rsid w:val="00343567"/>
    <w:rsid w:val="00346E02"/>
    <w:rsid w:val="00366C0A"/>
    <w:rsid w:val="0042596C"/>
    <w:rsid w:val="00426D87"/>
    <w:rsid w:val="004548A4"/>
    <w:rsid w:val="00454F73"/>
    <w:rsid w:val="00466FC4"/>
    <w:rsid w:val="004A4D23"/>
    <w:rsid w:val="004E2756"/>
    <w:rsid w:val="004E376E"/>
    <w:rsid w:val="004F21D2"/>
    <w:rsid w:val="004F599E"/>
    <w:rsid w:val="005028D9"/>
    <w:rsid w:val="00530F21"/>
    <w:rsid w:val="00534A0B"/>
    <w:rsid w:val="00540E1F"/>
    <w:rsid w:val="00561601"/>
    <w:rsid w:val="005E78F8"/>
    <w:rsid w:val="006216C1"/>
    <w:rsid w:val="006447DC"/>
    <w:rsid w:val="006B48F7"/>
    <w:rsid w:val="006B7340"/>
    <w:rsid w:val="006C1E49"/>
    <w:rsid w:val="006E6EFF"/>
    <w:rsid w:val="00700EA2"/>
    <w:rsid w:val="00762F07"/>
    <w:rsid w:val="00771BFA"/>
    <w:rsid w:val="0079640D"/>
    <w:rsid w:val="007B0039"/>
    <w:rsid w:val="007B74CF"/>
    <w:rsid w:val="007C6030"/>
    <w:rsid w:val="007F791A"/>
    <w:rsid w:val="00810482"/>
    <w:rsid w:val="0083682C"/>
    <w:rsid w:val="008421EC"/>
    <w:rsid w:val="008455BB"/>
    <w:rsid w:val="0085316D"/>
    <w:rsid w:val="0085344D"/>
    <w:rsid w:val="00853874"/>
    <w:rsid w:val="008627CA"/>
    <w:rsid w:val="00865824"/>
    <w:rsid w:val="008A18C2"/>
    <w:rsid w:val="008C7A48"/>
    <w:rsid w:val="008E1C64"/>
    <w:rsid w:val="009377E2"/>
    <w:rsid w:val="009429A6"/>
    <w:rsid w:val="00964273"/>
    <w:rsid w:val="00972BFB"/>
    <w:rsid w:val="00973F8D"/>
    <w:rsid w:val="009A7A12"/>
    <w:rsid w:val="009C512B"/>
    <w:rsid w:val="00A358C8"/>
    <w:rsid w:val="00A50A7C"/>
    <w:rsid w:val="00A61ED1"/>
    <w:rsid w:val="00A753FA"/>
    <w:rsid w:val="00A824FC"/>
    <w:rsid w:val="00A93761"/>
    <w:rsid w:val="00B00C2D"/>
    <w:rsid w:val="00B16B57"/>
    <w:rsid w:val="00B27CE7"/>
    <w:rsid w:val="00B62BD3"/>
    <w:rsid w:val="00B67500"/>
    <w:rsid w:val="00B76EA6"/>
    <w:rsid w:val="00B833BE"/>
    <w:rsid w:val="00B94A3B"/>
    <w:rsid w:val="00BE1F96"/>
    <w:rsid w:val="00BE2129"/>
    <w:rsid w:val="00C24A74"/>
    <w:rsid w:val="00C31504"/>
    <w:rsid w:val="00C31999"/>
    <w:rsid w:val="00C40E71"/>
    <w:rsid w:val="00C55E2E"/>
    <w:rsid w:val="00CA3872"/>
    <w:rsid w:val="00CC15CB"/>
    <w:rsid w:val="00D0079E"/>
    <w:rsid w:val="00D124C5"/>
    <w:rsid w:val="00D23056"/>
    <w:rsid w:val="00D301FB"/>
    <w:rsid w:val="00D41182"/>
    <w:rsid w:val="00D840BE"/>
    <w:rsid w:val="00DA49D4"/>
    <w:rsid w:val="00DB7419"/>
    <w:rsid w:val="00DE3518"/>
    <w:rsid w:val="00DE633A"/>
    <w:rsid w:val="00E101A8"/>
    <w:rsid w:val="00E3790A"/>
    <w:rsid w:val="00E413AD"/>
    <w:rsid w:val="00E647FB"/>
    <w:rsid w:val="00E8655B"/>
    <w:rsid w:val="00E94418"/>
    <w:rsid w:val="00E97B8B"/>
    <w:rsid w:val="00EB073A"/>
    <w:rsid w:val="00EB7B52"/>
    <w:rsid w:val="00EF1D67"/>
    <w:rsid w:val="00F00ECC"/>
    <w:rsid w:val="00F01DC6"/>
    <w:rsid w:val="00F37467"/>
    <w:rsid w:val="00F45436"/>
    <w:rsid w:val="00FD1296"/>
    <w:rsid w:val="00FE06A7"/>
    <w:rsid w:val="02C31095"/>
    <w:rsid w:val="034076C4"/>
    <w:rsid w:val="069A0002"/>
    <w:rsid w:val="06A85A15"/>
    <w:rsid w:val="06F141E7"/>
    <w:rsid w:val="07100621"/>
    <w:rsid w:val="08322FC0"/>
    <w:rsid w:val="0854453D"/>
    <w:rsid w:val="092C1016"/>
    <w:rsid w:val="0CD81BE1"/>
    <w:rsid w:val="0DE16873"/>
    <w:rsid w:val="0DF06AB6"/>
    <w:rsid w:val="0FA43FFC"/>
    <w:rsid w:val="109220A6"/>
    <w:rsid w:val="12E3308D"/>
    <w:rsid w:val="13141499"/>
    <w:rsid w:val="16895CFA"/>
    <w:rsid w:val="17B648CC"/>
    <w:rsid w:val="18014675"/>
    <w:rsid w:val="191915B7"/>
    <w:rsid w:val="1928388F"/>
    <w:rsid w:val="1A5B0635"/>
    <w:rsid w:val="1ABC5AA3"/>
    <w:rsid w:val="1BF9747E"/>
    <w:rsid w:val="1C3B62C4"/>
    <w:rsid w:val="1D4806BC"/>
    <w:rsid w:val="1F4A485F"/>
    <w:rsid w:val="209E05F3"/>
    <w:rsid w:val="215326A4"/>
    <w:rsid w:val="22877591"/>
    <w:rsid w:val="228B7D11"/>
    <w:rsid w:val="23996B76"/>
    <w:rsid w:val="24343749"/>
    <w:rsid w:val="250F64F2"/>
    <w:rsid w:val="255045B2"/>
    <w:rsid w:val="26600825"/>
    <w:rsid w:val="26BE19EF"/>
    <w:rsid w:val="274E68CF"/>
    <w:rsid w:val="27C9321A"/>
    <w:rsid w:val="28902F18"/>
    <w:rsid w:val="29316F93"/>
    <w:rsid w:val="296F1E2E"/>
    <w:rsid w:val="299D769A"/>
    <w:rsid w:val="29C55868"/>
    <w:rsid w:val="29E96D83"/>
    <w:rsid w:val="2A54710E"/>
    <w:rsid w:val="2A6E404E"/>
    <w:rsid w:val="2AE01F34"/>
    <w:rsid w:val="2EC21707"/>
    <w:rsid w:val="2F756F0F"/>
    <w:rsid w:val="30E16D58"/>
    <w:rsid w:val="31327262"/>
    <w:rsid w:val="31CA7D66"/>
    <w:rsid w:val="32160058"/>
    <w:rsid w:val="326571C3"/>
    <w:rsid w:val="32FE389F"/>
    <w:rsid w:val="33180CDC"/>
    <w:rsid w:val="34B1049E"/>
    <w:rsid w:val="356C2617"/>
    <w:rsid w:val="356D4F9D"/>
    <w:rsid w:val="35780FBB"/>
    <w:rsid w:val="362D1DA6"/>
    <w:rsid w:val="3711163C"/>
    <w:rsid w:val="374F52B2"/>
    <w:rsid w:val="37573087"/>
    <w:rsid w:val="37BF2ED1"/>
    <w:rsid w:val="37C30C14"/>
    <w:rsid w:val="3862042D"/>
    <w:rsid w:val="39D23390"/>
    <w:rsid w:val="3D377FE8"/>
    <w:rsid w:val="3F081602"/>
    <w:rsid w:val="400B7D72"/>
    <w:rsid w:val="40700133"/>
    <w:rsid w:val="408F0F86"/>
    <w:rsid w:val="414867C0"/>
    <w:rsid w:val="415428DD"/>
    <w:rsid w:val="4199221E"/>
    <w:rsid w:val="41DE284D"/>
    <w:rsid w:val="422A188F"/>
    <w:rsid w:val="42E34DC3"/>
    <w:rsid w:val="439E6A72"/>
    <w:rsid w:val="4467501D"/>
    <w:rsid w:val="45C85647"/>
    <w:rsid w:val="45E85A95"/>
    <w:rsid w:val="47721D0E"/>
    <w:rsid w:val="49AE42D7"/>
    <w:rsid w:val="4A506004"/>
    <w:rsid w:val="4ACC3E2B"/>
    <w:rsid w:val="4B11098D"/>
    <w:rsid w:val="4B885FA4"/>
    <w:rsid w:val="4BDA60D4"/>
    <w:rsid w:val="4BDE0746"/>
    <w:rsid w:val="4BEC7B31"/>
    <w:rsid w:val="4BFE3E36"/>
    <w:rsid w:val="4C0C0983"/>
    <w:rsid w:val="4C405B5F"/>
    <w:rsid w:val="4D6E2A5C"/>
    <w:rsid w:val="4E0F6509"/>
    <w:rsid w:val="4EBF1D12"/>
    <w:rsid w:val="4F6F4222"/>
    <w:rsid w:val="51AF590F"/>
    <w:rsid w:val="51DC1903"/>
    <w:rsid w:val="52FB52AE"/>
    <w:rsid w:val="537C375A"/>
    <w:rsid w:val="545F5FDC"/>
    <w:rsid w:val="548E64A2"/>
    <w:rsid w:val="55222FC6"/>
    <w:rsid w:val="558F1CDD"/>
    <w:rsid w:val="55A57753"/>
    <w:rsid w:val="55DD6EED"/>
    <w:rsid w:val="561623FF"/>
    <w:rsid w:val="566070FF"/>
    <w:rsid w:val="566E3FE9"/>
    <w:rsid w:val="57743AE9"/>
    <w:rsid w:val="57AF493F"/>
    <w:rsid w:val="58EE3AE1"/>
    <w:rsid w:val="59BF1AF3"/>
    <w:rsid w:val="5A3612C1"/>
    <w:rsid w:val="5AB75F5E"/>
    <w:rsid w:val="5C1F7B6D"/>
    <w:rsid w:val="5DAF5613"/>
    <w:rsid w:val="5E714C5D"/>
    <w:rsid w:val="5F0059FA"/>
    <w:rsid w:val="5F15160F"/>
    <w:rsid w:val="5F4F0E5B"/>
    <w:rsid w:val="5F6339FE"/>
    <w:rsid w:val="5FB01262"/>
    <w:rsid w:val="60641C99"/>
    <w:rsid w:val="61F33B70"/>
    <w:rsid w:val="62DC1442"/>
    <w:rsid w:val="63CB65D6"/>
    <w:rsid w:val="646802C9"/>
    <w:rsid w:val="659D1DBC"/>
    <w:rsid w:val="67B0620F"/>
    <w:rsid w:val="68570D81"/>
    <w:rsid w:val="68614CFA"/>
    <w:rsid w:val="68727968"/>
    <w:rsid w:val="691602F4"/>
    <w:rsid w:val="6B52582F"/>
    <w:rsid w:val="6C450EF0"/>
    <w:rsid w:val="6C4E6E90"/>
    <w:rsid w:val="6C6D6230"/>
    <w:rsid w:val="6CCE7137"/>
    <w:rsid w:val="6D785A21"/>
    <w:rsid w:val="6FD9651F"/>
    <w:rsid w:val="70495D5B"/>
    <w:rsid w:val="70A16506"/>
    <w:rsid w:val="70F857E7"/>
    <w:rsid w:val="71F4319C"/>
    <w:rsid w:val="72C45265"/>
    <w:rsid w:val="73373C88"/>
    <w:rsid w:val="73722F12"/>
    <w:rsid w:val="73D90FE2"/>
    <w:rsid w:val="73DE5EB2"/>
    <w:rsid w:val="74151E00"/>
    <w:rsid w:val="748922C2"/>
    <w:rsid w:val="74FF2112"/>
    <w:rsid w:val="75653BFE"/>
    <w:rsid w:val="76326989"/>
    <w:rsid w:val="7773308B"/>
    <w:rsid w:val="77C6382D"/>
    <w:rsid w:val="78EC72C3"/>
    <w:rsid w:val="79C142AC"/>
    <w:rsid w:val="79F521A7"/>
    <w:rsid w:val="7AE13994"/>
    <w:rsid w:val="7AEA7832"/>
    <w:rsid w:val="7C4A39BD"/>
    <w:rsid w:val="7CB37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uiPriority w:val="0"/>
    <w:pPr>
      <w:ind w:left="100" w:leftChars="2500"/>
    </w:pPr>
  </w:style>
  <w:style w:type="paragraph" w:styleId="3">
    <w:name w:val="footer"/>
    <w:basedOn w:val="1"/>
    <w:uiPriority w:val="0"/>
    <w:pPr>
      <w:tabs>
        <w:tab w:val="center" w:pos="4153"/>
        <w:tab w:val="right" w:pos="8306"/>
      </w:tabs>
      <w:snapToGrid w:val="0"/>
      <w:spacing w:line="240" w:lineRule="atLeast"/>
      <w:jc w:val="left"/>
    </w:pPr>
    <w:rPr>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5">
    <w:name w:val="Normal (Web)"/>
    <w:basedOn w:val="1"/>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qFormat/>
    <w:uiPriority w:val="0"/>
    <w:rPr>
      <w:b/>
      <w:bCs/>
    </w:rPr>
  </w:style>
  <w:style w:type="character" w:styleId="10">
    <w:name w:val="page number"/>
    <w:basedOn w:val="8"/>
    <w:qFormat/>
    <w:uiPriority w:val="0"/>
  </w:style>
  <w:style w:type="character" w:styleId="11">
    <w:name w:val="Hyperlink"/>
    <w:qFormat/>
    <w:uiPriority w:val="0"/>
    <w:rPr>
      <w:color w:val="0000FF"/>
      <w:u w:val="single"/>
    </w:rPr>
  </w:style>
  <w:style w:type="character" w:customStyle="1" w:styleId="12">
    <w:name w:val="日期 Char"/>
    <w:basedOn w:val="8"/>
    <w:link w:val="2"/>
    <w:qFormat/>
    <w:uiPriority w:val="0"/>
  </w:style>
  <w:style w:type="paragraph" w:styleId="13">
    <w:name w:val="List Paragraph"/>
    <w:basedOn w:val="1"/>
    <w:qFormat/>
    <w:uiPriority w:val="99"/>
    <w:pPr>
      <w:spacing w:line="240" w:lineRule="auto"/>
      <w:ind w:left="0" w:firstLine="420" w:firstLineChars="200"/>
      <w:textAlignment w:val="auto"/>
    </w:pPr>
    <w:rPr>
      <w:kern w:val="2"/>
      <w:sz w:val="21"/>
      <w:szCs w:val="24"/>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5">
    <w:name w:val="No Spacing"/>
    <w:qFormat/>
    <w:uiPriority w:val="1"/>
    <w:pPr>
      <w:adjustRightInd w:val="0"/>
      <w:snapToGrid w:val="0"/>
    </w:pPr>
    <w:rPr>
      <w:rFonts w:ascii="Tahoma" w:hAnsi="Tahoma" w:eastAsia="微软雅黑" w:cs="Times New Roman"/>
      <w:sz w:val="22"/>
      <w:szCs w:val="22"/>
      <w:lang w:val="en-US" w:eastAsia="zh-CN" w:bidi="ar-SA"/>
    </w:rPr>
  </w:style>
  <w:style w:type="character" w:customStyle="1" w:styleId="16">
    <w:name w:val="15"/>
    <w:basedOn w:val="8"/>
    <w:qFormat/>
    <w:uiPriority w:val="0"/>
    <w:rPr>
      <w:rFonts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836BD4-6012-4A02-9ED8-CD48CF5B9886}">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59</Pages>
  <Words>24208</Words>
  <Characters>25978</Characters>
  <Lines>193</Lines>
  <Paragraphs>54</Paragraphs>
  <TotalTime>5</TotalTime>
  <ScaleCrop>false</ScaleCrop>
  <LinksUpToDate>false</LinksUpToDate>
  <CharactersWithSpaces>27642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2022-05-25T07:08:00Z</dcterms:created>
  <dc:creator>User</dc:creator>
  <cp:lastModifiedBy>冰冻西瓜</cp:lastModifiedBy>
  <cp:lastPrinted>2003-12-31T16:07:00Z</cp:lastPrinted>
  <dcterms:modified xsi:type="dcterms:W3CDTF">2023-06-02T03:41:00Z</dcterms:modified>
  <dc:title>新晃侗族自治县财政局</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0A5A49ABA8E44E5D8B9A66611A443629</vt:lpwstr>
  </property>
</Properties>
</file>