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jc w:val="left"/>
        <w:rPr>
          <w:sz w:val="24"/>
        </w:rPr>
      </w:pPr>
      <w:r>
        <w:rPr>
          <w:rFonts w:hint="eastAsia" w:ascii="仿宋_GB2312" w:hAnsi="仿宋_GB2312" w:eastAsia="仿宋_GB2312" w:cs="仿宋_GB2312"/>
          <w:sz w:val="24"/>
        </w:rPr>
        <w:t>附件1-1</w:t>
      </w:r>
    </w:p>
    <w:p>
      <w:pPr>
        <w:spacing w:line="500" w:lineRule="exact"/>
        <w:jc w:val="center"/>
        <w:rPr>
          <w:rFonts w:eastAsia="方正粗宋简体"/>
          <w:w w:val="85"/>
          <w:sz w:val="36"/>
          <w:szCs w:val="36"/>
        </w:rPr>
      </w:pPr>
      <w:r>
        <w:rPr>
          <w:rFonts w:eastAsia="方正粗宋简体"/>
          <w:w w:val="85"/>
          <w:sz w:val="36"/>
          <w:szCs w:val="36"/>
        </w:rPr>
        <w:t>202</w:t>
      </w:r>
      <w:r>
        <w:rPr>
          <w:rFonts w:hint="eastAsia" w:eastAsia="方正粗宋简体"/>
          <w:w w:val="85"/>
          <w:sz w:val="36"/>
          <w:szCs w:val="36"/>
        </w:rPr>
        <w:t>1</w:t>
      </w:r>
      <w:r>
        <w:rPr>
          <w:rFonts w:hAnsi="方正粗宋简体" w:eastAsia="方正粗宋简体"/>
          <w:w w:val="85"/>
          <w:sz w:val="36"/>
          <w:szCs w:val="36"/>
        </w:rPr>
        <w:t>年度新晃县</w:t>
      </w:r>
      <w:r>
        <w:rPr>
          <w:rFonts w:hint="eastAsia" w:hAnsi="方正粗宋简体" w:eastAsia="方正粗宋简体"/>
          <w:w w:val="85"/>
          <w:sz w:val="36"/>
          <w:szCs w:val="36"/>
        </w:rPr>
        <w:t>城市管理和综合执法局</w:t>
      </w:r>
      <w:r>
        <w:rPr>
          <w:rFonts w:hAnsi="方正粗宋简体" w:eastAsia="方正粗宋简体"/>
          <w:w w:val="85"/>
          <w:sz w:val="36"/>
          <w:szCs w:val="36"/>
        </w:rPr>
        <w:t>部门（单位）整体支出绩效</w:t>
      </w:r>
      <w:r>
        <w:rPr>
          <w:rFonts w:hint="eastAsia" w:hAnsi="方正粗宋简体" w:eastAsia="方正粗宋简体"/>
          <w:w w:val="85"/>
          <w:sz w:val="36"/>
          <w:szCs w:val="36"/>
        </w:rPr>
        <w:t>自评表</w:t>
      </w:r>
    </w:p>
    <w:tbl>
      <w:tblPr>
        <w:tblStyle w:val="6"/>
        <w:tblW w:w="14417"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79"/>
        <w:gridCol w:w="1179"/>
        <w:gridCol w:w="1226"/>
        <w:gridCol w:w="701"/>
        <w:gridCol w:w="4750"/>
        <w:gridCol w:w="3123"/>
        <w:gridCol w:w="1614"/>
        <w:gridCol w:w="7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8" w:hRule="atLeast"/>
          <w:tblHeader/>
          <w:tblCellSpacing w:w="0" w:type="dxa"/>
          <w:jc w:val="center"/>
        </w:trPr>
        <w:tc>
          <w:tcPr>
            <w:tcW w:w="1079"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一级指标</w:t>
            </w:r>
          </w:p>
        </w:tc>
        <w:tc>
          <w:tcPr>
            <w:tcW w:w="1179"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二级指标</w:t>
            </w:r>
          </w:p>
        </w:tc>
        <w:tc>
          <w:tcPr>
            <w:tcW w:w="1226"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三级指标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分值</w:t>
            </w:r>
          </w:p>
        </w:tc>
        <w:tc>
          <w:tcPr>
            <w:tcW w:w="4750"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指标内容</w:t>
            </w:r>
          </w:p>
        </w:tc>
        <w:tc>
          <w:tcPr>
            <w:tcW w:w="3123"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指标评价标</w:t>
            </w:r>
            <w:r>
              <w:rPr>
                <w:rFonts w:hint="eastAsia" w:eastAsia="楷体_GB2312"/>
              </w:rPr>
              <w:t>准</w:t>
            </w:r>
            <w:r>
              <w:rPr>
                <w:rFonts w:eastAsia="楷体_GB2312"/>
              </w:rPr>
              <w:t>及对应分值</w:t>
            </w:r>
          </w:p>
        </w:tc>
        <w:tc>
          <w:tcPr>
            <w:tcW w:w="1614"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指标实际完成情况及依据</w:t>
            </w:r>
          </w:p>
        </w:tc>
        <w:tc>
          <w:tcPr>
            <w:tcW w:w="745"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CellSpacing w:w="0" w:type="dxa"/>
          <w:jc w:val="center"/>
        </w:trPr>
        <w:tc>
          <w:tcPr>
            <w:tcW w:w="10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投入</w:t>
            </w:r>
          </w:p>
          <w:p>
            <w:pPr>
              <w:spacing w:before="100" w:beforeAutospacing="1" w:after="100" w:afterAutospacing="1"/>
              <w:jc w:val="center"/>
              <w:rPr>
                <w:rFonts w:eastAsia="楷体_GB2312"/>
                <w:sz w:val="18"/>
                <w:szCs w:val="18"/>
              </w:rPr>
            </w:pPr>
            <w:r>
              <w:rPr>
                <w:rFonts w:eastAsia="楷体_GB2312"/>
                <w:sz w:val="18"/>
                <w:szCs w:val="18"/>
              </w:rPr>
              <w:t>(共</w:t>
            </w:r>
            <w:r>
              <w:rPr>
                <w:rFonts w:hint="eastAsia" w:eastAsia="楷体_GB2312"/>
                <w:sz w:val="18"/>
                <w:szCs w:val="18"/>
              </w:rPr>
              <w:t>14</w:t>
            </w:r>
            <w:r>
              <w:rPr>
                <w:rFonts w:eastAsia="楷体_GB2312"/>
                <w:sz w:val="18"/>
                <w:szCs w:val="18"/>
              </w:rPr>
              <w:t>分)</w:t>
            </w: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预算编制(共</w:t>
            </w:r>
            <w:r>
              <w:rPr>
                <w:rFonts w:hint="eastAsia" w:eastAsia="楷体_GB2312"/>
                <w:sz w:val="18"/>
                <w:szCs w:val="18"/>
              </w:rPr>
              <w:t>5</w:t>
            </w:r>
            <w:r>
              <w:rPr>
                <w:rFonts w:eastAsia="楷体_GB2312"/>
                <w:sz w:val="18"/>
                <w:szCs w:val="18"/>
              </w:rPr>
              <w:t>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整体绩效</w:t>
            </w:r>
          </w:p>
          <w:p>
            <w:pPr>
              <w:spacing w:line="300" w:lineRule="exact"/>
              <w:jc w:val="center"/>
              <w:rPr>
                <w:rFonts w:eastAsia="楷体_GB2312"/>
                <w:sz w:val="18"/>
                <w:szCs w:val="18"/>
              </w:rPr>
            </w:pPr>
            <w:r>
              <w:rPr>
                <w:rFonts w:eastAsia="楷体_GB2312"/>
                <w:sz w:val="18"/>
                <w:szCs w:val="18"/>
              </w:rPr>
              <w:t>目标设定</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r>
              <w:rPr>
                <w:rFonts w:eastAsia="楷体_GB2312"/>
                <w:sz w:val="18"/>
                <w:szCs w:val="18"/>
              </w:rPr>
              <w:t>5</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部门（含所属二级预算单位，下同）或单位是否制定了年度预算整体绩效目标；整体绩效目标制定依据是否充分，是否与部门履职、年度工作任务相符；整体绩效目标是否清晰、细化、可衡量。</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设有整体绩效目标</w:t>
            </w:r>
            <w:r>
              <w:rPr>
                <w:rFonts w:hint="eastAsia" w:eastAsia="楷体_GB2312"/>
                <w:sz w:val="18"/>
                <w:szCs w:val="18"/>
              </w:rPr>
              <w:t>1</w:t>
            </w:r>
            <w:r>
              <w:rPr>
                <w:rFonts w:eastAsia="楷体_GB2312"/>
                <w:sz w:val="18"/>
                <w:szCs w:val="18"/>
              </w:rPr>
              <w:t>分；目标设定依据充分符合客观实际</w:t>
            </w:r>
            <w:r>
              <w:rPr>
                <w:rFonts w:hint="eastAsia" w:eastAsia="楷体_GB2312"/>
                <w:sz w:val="18"/>
                <w:szCs w:val="18"/>
              </w:rPr>
              <w:t>0.5</w:t>
            </w:r>
            <w:r>
              <w:rPr>
                <w:rFonts w:eastAsia="楷体_GB2312"/>
                <w:sz w:val="18"/>
                <w:szCs w:val="18"/>
              </w:rPr>
              <w:t>分；目标清晰、细化</w:t>
            </w:r>
            <w:r>
              <w:rPr>
                <w:rFonts w:hint="eastAsia" w:eastAsia="楷体_GB2312"/>
                <w:sz w:val="18"/>
                <w:szCs w:val="18"/>
              </w:rPr>
              <w:t>0.5</w:t>
            </w:r>
            <w:r>
              <w:rPr>
                <w:rFonts w:eastAsia="楷体_GB2312"/>
                <w:sz w:val="18"/>
                <w:szCs w:val="18"/>
              </w:rPr>
              <w:t>分；目标可衡量</w:t>
            </w:r>
            <w:r>
              <w:rPr>
                <w:rFonts w:hint="eastAsia" w:eastAsia="楷体_GB2312"/>
                <w:sz w:val="18"/>
                <w:szCs w:val="18"/>
              </w:rPr>
              <w:t>0.5</w:t>
            </w:r>
            <w:r>
              <w:rPr>
                <w:rFonts w:eastAsia="楷体_GB2312"/>
                <w:sz w:val="18"/>
                <w:szCs w:val="18"/>
              </w:rPr>
              <w:t>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1"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项目绩效</w:t>
            </w:r>
          </w:p>
          <w:p>
            <w:pPr>
              <w:spacing w:line="300" w:lineRule="exact"/>
              <w:jc w:val="center"/>
              <w:rPr>
                <w:rFonts w:eastAsia="楷体_GB2312"/>
                <w:sz w:val="18"/>
                <w:szCs w:val="18"/>
              </w:rPr>
            </w:pPr>
            <w:r>
              <w:rPr>
                <w:rFonts w:eastAsia="楷体_GB2312"/>
                <w:sz w:val="18"/>
                <w:szCs w:val="18"/>
              </w:rPr>
              <w:t>目标设定</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r>
              <w:rPr>
                <w:rFonts w:eastAsia="楷体_GB2312"/>
                <w:sz w:val="18"/>
                <w:szCs w:val="18"/>
              </w:rPr>
              <w:t>5</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是否科学、合理设立了项目绩效目标；目标明确；目标细化；目标量化。</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项目均设有绩效目标</w:t>
            </w:r>
            <w:r>
              <w:rPr>
                <w:rFonts w:hint="eastAsia" w:eastAsia="楷体_GB2312"/>
                <w:sz w:val="18"/>
                <w:szCs w:val="18"/>
              </w:rPr>
              <w:t>0.5</w:t>
            </w:r>
            <w:r>
              <w:rPr>
                <w:rFonts w:eastAsia="楷体_GB2312"/>
                <w:sz w:val="18"/>
                <w:szCs w:val="18"/>
              </w:rPr>
              <w:t>分；目标科学合理</w:t>
            </w:r>
            <w:r>
              <w:rPr>
                <w:rFonts w:hint="eastAsia" w:eastAsia="楷体_GB2312"/>
                <w:sz w:val="18"/>
                <w:szCs w:val="18"/>
              </w:rPr>
              <w:t>0.5</w:t>
            </w:r>
            <w:r>
              <w:rPr>
                <w:rFonts w:eastAsia="楷体_GB2312"/>
                <w:sz w:val="18"/>
                <w:szCs w:val="18"/>
              </w:rPr>
              <w:t>分；目标明确</w:t>
            </w:r>
            <w:r>
              <w:rPr>
                <w:rFonts w:hint="eastAsia" w:eastAsia="楷体_GB2312"/>
                <w:sz w:val="18"/>
                <w:szCs w:val="18"/>
              </w:rPr>
              <w:t>0.5</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目标细化</w:t>
            </w:r>
            <w:r>
              <w:rPr>
                <w:rFonts w:hint="eastAsia" w:eastAsia="楷体_GB2312"/>
                <w:sz w:val="18"/>
                <w:szCs w:val="18"/>
              </w:rPr>
              <w:t>0.5</w:t>
            </w:r>
            <w:r>
              <w:rPr>
                <w:rFonts w:eastAsia="楷体_GB2312"/>
                <w:sz w:val="18"/>
                <w:szCs w:val="18"/>
              </w:rPr>
              <w:t>分；目标量化</w:t>
            </w:r>
            <w:r>
              <w:rPr>
                <w:rFonts w:hint="eastAsia" w:eastAsia="楷体_GB2312"/>
                <w:sz w:val="18"/>
                <w:szCs w:val="18"/>
              </w:rPr>
              <w:t>0.5</w:t>
            </w:r>
            <w:r>
              <w:rPr>
                <w:rFonts w:eastAsia="楷体_GB2312"/>
                <w:sz w:val="18"/>
                <w:szCs w:val="18"/>
              </w:rPr>
              <w:t>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27"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预算配置(共</w:t>
            </w:r>
            <w:r>
              <w:rPr>
                <w:rFonts w:hint="eastAsia" w:eastAsia="楷体_GB2312"/>
                <w:sz w:val="18"/>
                <w:szCs w:val="18"/>
              </w:rPr>
              <w:t>9</w:t>
            </w:r>
            <w:r>
              <w:rPr>
                <w:rFonts w:eastAsia="楷体_GB2312"/>
                <w:sz w:val="18"/>
                <w:szCs w:val="18"/>
              </w:rPr>
              <w:t>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在职人员</w:t>
            </w:r>
          </w:p>
          <w:p>
            <w:pPr>
              <w:spacing w:line="300" w:lineRule="exact"/>
              <w:jc w:val="center"/>
              <w:rPr>
                <w:rFonts w:eastAsia="楷体_GB2312"/>
                <w:sz w:val="18"/>
                <w:szCs w:val="18"/>
              </w:rPr>
            </w:pPr>
            <w:r>
              <w:rPr>
                <w:rFonts w:eastAsia="楷体_GB2312"/>
                <w:sz w:val="18"/>
                <w:szCs w:val="18"/>
              </w:rPr>
              <w:t>控制率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在职人员控制率=[在职人员数/编制数]×100%</w:t>
            </w:r>
          </w:p>
          <w:p>
            <w:pPr>
              <w:spacing w:line="300" w:lineRule="exact"/>
              <w:jc w:val="left"/>
              <w:rPr>
                <w:rFonts w:eastAsia="楷体_GB2312"/>
                <w:sz w:val="18"/>
                <w:szCs w:val="18"/>
              </w:rPr>
            </w:pPr>
            <w:r>
              <w:rPr>
                <w:rFonts w:eastAsia="楷体_GB2312"/>
                <w:sz w:val="18"/>
                <w:szCs w:val="18"/>
              </w:rPr>
              <w:t>在职人员数：部门实际在职人数，以财政确定的部门决算编制口径为准，结合工资发放表上的年平均人数。</w:t>
            </w:r>
          </w:p>
          <w:p>
            <w:pPr>
              <w:spacing w:line="300" w:lineRule="exact"/>
              <w:jc w:val="left"/>
              <w:rPr>
                <w:rFonts w:eastAsia="楷体_GB2312"/>
                <w:sz w:val="18"/>
                <w:szCs w:val="18"/>
              </w:rPr>
            </w:pPr>
            <w:r>
              <w:rPr>
                <w:rFonts w:eastAsia="楷体_GB2312"/>
                <w:sz w:val="18"/>
                <w:szCs w:val="18"/>
              </w:rPr>
              <w:t>编制数：机构编制部门核定批复的部门的人员编制数(含临时人员)。</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结果≤100%，得3分；</w:t>
            </w:r>
          </w:p>
          <w:p>
            <w:pPr>
              <w:spacing w:line="300" w:lineRule="exact"/>
              <w:jc w:val="left"/>
              <w:rPr>
                <w:rFonts w:eastAsia="楷体_GB2312"/>
                <w:sz w:val="18"/>
                <w:szCs w:val="18"/>
              </w:rPr>
            </w:pPr>
            <w:r>
              <w:rPr>
                <w:rFonts w:eastAsia="楷体_GB2312"/>
                <w:sz w:val="18"/>
                <w:szCs w:val="18"/>
              </w:rPr>
              <w:t>结果＞100%，得0分。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1"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三公经费</w:t>
            </w:r>
          </w:p>
          <w:p>
            <w:pPr>
              <w:spacing w:line="300" w:lineRule="exact"/>
              <w:jc w:val="center"/>
              <w:rPr>
                <w:rFonts w:eastAsia="楷体_GB2312"/>
                <w:sz w:val="18"/>
                <w:szCs w:val="18"/>
              </w:rPr>
            </w:pPr>
            <w:r>
              <w:rPr>
                <w:rFonts w:eastAsia="楷体_GB2312"/>
                <w:sz w:val="18"/>
                <w:szCs w:val="18"/>
              </w:rPr>
              <w:t>变动率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“三公经费”变动率=[本年度“三公经费”预算总额/上年度“三公经费”预算总额] ×100%</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结果≤100%，得3分；</w:t>
            </w:r>
          </w:p>
          <w:p>
            <w:pPr>
              <w:spacing w:line="300" w:lineRule="exact"/>
              <w:jc w:val="left"/>
              <w:rPr>
                <w:rFonts w:eastAsia="楷体_GB2312"/>
                <w:sz w:val="18"/>
                <w:szCs w:val="18"/>
              </w:rPr>
            </w:pPr>
            <w:r>
              <w:rPr>
                <w:rFonts w:eastAsia="楷体_GB2312"/>
                <w:sz w:val="18"/>
                <w:szCs w:val="18"/>
              </w:rPr>
              <w:t>结果＞100%，得0分。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28"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重点项目预算保障率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重点项目预算保障率=（重点项目预算/项目总预算）×100%。</w:t>
            </w:r>
          </w:p>
          <w:p>
            <w:pPr>
              <w:spacing w:line="300" w:lineRule="exact"/>
              <w:jc w:val="left"/>
              <w:rPr>
                <w:rFonts w:eastAsia="楷体_GB2312"/>
                <w:sz w:val="18"/>
                <w:szCs w:val="18"/>
              </w:rPr>
            </w:pPr>
            <w:r>
              <w:rPr>
                <w:rFonts w:eastAsia="楷体_GB2312"/>
                <w:sz w:val="18"/>
                <w:szCs w:val="18"/>
              </w:rPr>
              <w:t>重点项目预算：部门年度预算安排的，与本部门履职和发展密切相关、具有明显社会和经济影响、党委政府关心或社会比较关注的，列入政府重点项目的预算总额。</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结果≥80%，得</w:t>
            </w:r>
            <w:r>
              <w:rPr>
                <w:rFonts w:hint="eastAsia" w:eastAsia="楷体_GB2312"/>
                <w:sz w:val="18"/>
                <w:szCs w:val="18"/>
              </w:rPr>
              <w:t>3</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80%＞结果≥60%，得2分；</w:t>
            </w:r>
          </w:p>
          <w:p>
            <w:pPr>
              <w:spacing w:line="300" w:lineRule="exact"/>
              <w:jc w:val="left"/>
              <w:rPr>
                <w:rFonts w:eastAsia="楷体_GB2312"/>
                <w:sz w:val="18"/>
                <w:szCs w:val="18"/>
              </w:rPr>
            </w:pPr>
            <w:r>
              <w:rPr>
                <w:rFonts w:eastAsia="楷体_GB2312"/>
                <w:sz w:val="18"/>
                <w:szCs w:val="18"/>
              </w:rPr>
              <w:t>结果＜60%，得0分。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9" w:hRule="atLeast"/>
          <w:tblCellSpacing w:w="0" w:type="dxa"/>
          <w:jc w:val="center"/>
        </w:trPr>
        <w:tc>
          <w:tcPr>
            <w:tcW w:w="10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过程</w:t>
            </w:r>
          </w:p>
          <w:p>
            <w:pPr>
              <w:spacing w:before="100" w:beforeAutospacing="1" w:after="100" w:afterAutospacing="1"/>
              <w:jc w:val="center"/>
              <w:rPr>
                <w:rFonts w:eastAsia="楷体_GB2312"/>
                <w:sz w:val="18"/>
                <w:szCs w:val="18"/>
              </w:rPr>
            </w:pPr>
            <w:r>
              <w:rPr>
                <w:rFonts w:eastAsia="楷体_GB2312"/>
                <w:sz w:val="18"/>
                <w:szCs w:val="18"/>
              </w:rPr>
              <w:t>(共</w:t>
            </w:r>
            <w:r>
              <w:rPr>
                <w:rFonts w:hint="eastAsia" w:eastAsia="楷体_GB2312"/>
                <w:sz w:val="18"/>
                <w:szCs w:val="18"/>
              </w:rPr>
              <w:t>26</w:t>
            </w:r>
            <w:r>
              <w:rPr>
                <w:rFonts w:eastAsia="楷体_GB2312"/>
                <w:sz w:val="18"/>
                <w:szCs w:val="18"/>
              </w:rPr>
              <w:t>分)</w:t>
            </w: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预算执行（1</w:t>
            </w:r>
            <w:r>
              <w:rPr>
                <w:rFonts w:hint="eastAsia" w:eastAsia="楷体_GB2312"/>
                <w:sz w:val="18"/>
                <w:szCs w:val="18"/>
              </w:rPr>
              <w:t>2</w:t>
            </w:r>
            <w:r>
              <w:rPr>
                <w:rFonts w:eastAsia="楷体_GB2312"/>
                <w:sz w:val="18"/>
                <w:szCs w:val="18"/>
              </w:rPr>
              <w:t>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项目预算执行率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项目预算执行率=[项目预算执行数/项目预算]×100%。</w:t>
            </w:r>
          </w:p>
          <w:p>
            <w:pPr>
              <w:spacing w:line="300" w:lineRule="exact"/>
              <w:jc w:val="left"/>
              <w:rPr>
                <w:rFonts w:eastAsia="楷体_GB2312"/>
                <w:sz w:val="18"/>
                <w:szCs w:val="18"/>
              </w:rPr>
            </w:pPr>
            <w:r>
              <w:rPr>
                <w:rFonts w:eastAsia="楷体_GB2312"/>
                <w:sz w:val="18"/>
                <w:szCs w:val="18"/>
              </w:rPr>
              <w:t>项目预算执行数：部门本年度实际执行的项目预算。</w:t>
            </w:r>
          </w:p>
          <w:p>
            <w:pPr>
              <w:spacing w:line="300" w:lineRule="exact"/>
              <w:jc w:val="left"/>
              <w:rPr>
                <w:rFonts w:eastAsia="楷体_GB2312"/>
                <w:sz w:val="18"/>
                <w:szCs w:val="18"/>
              </w:rPr>
            </w:pPr>
            <w:r>
              <w:rPr>
                <w:rFonts w:eastAsia="楷体_GB2312"/>
                <w:sz w:val="18"/>
                <w:szCs w:val="18"/>
              </w:rPr>
              <w:t>项目预算数：财政部门批复的本年度部门项目预算。</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95%≤结果≤100%，得</w:t>
            </w:r>
            <w:r>
              <w:rPr>
                <w:rFonts w:hint="eastAsia" w:eastAsia="楷体_GB2312"/>
                <w:sz w:val="18"/>
                <w:szCs w:val="18"/>
              </w:rPr>
              <w:t>3</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90%≤结果＜95%，得</w:t>
            </w:r>
            <w:r>
              <w:rPr>
                <w:rFonts w:hint="eastAsia" w:eastAsia="楷体_GB2312"/>
                <w:sz w:val="18"/>
                <w:szCs w:val="18"/>
              </w:rPr>
              <w:t>2</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80%≤结果＜90%，得1分；</w:t>
            </w:r>
          </w:p>
          <w:p>
            <w:pPr>
              <w:spacing w:line="300" w:lineRule="exact"/>
              <w:jc w:val="left"/>
              <w:rPr>
                <w:rFonts w:eastAsia="楷体_GB2312"/>
                <w:spacing w:val="-20"/>
                <w:sz w:val="18"/>
                <w:szCs w:val="18"/>
              </w:rPr>
            </w:pPr>
            <w:r>
              <w:rPr>
                <w:rFonts w:eastAsia="楷体_GB2312"/>
                <w:sz w:val="18"/>
                <w:szCs w:val="18"/>
              </w:rPr>
              <w:t>结果＜80%，得0分。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90"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预算</w:t>
            </w:r>
          </w:p>
          <w:p>
            <w:pPr>
              <w:spacing w:line="300" w:lineRule="exact"/>
              <w:jc w:val="center"/>
              <w:rPr>
                <w:rFonts w:eastAsia="楷体_GB2312"/>
                <w:sz w:val="18"/>
                <w:szCs w:val="18"/>
              </w:rPr>
            </w:pPr>
            <w:r>
              <w:rPr>
                <w:rFonts w:eastAsia="楷体_GB2312"/>
                <w:sz w:val="18"/>
                <w:szCs w:val="18"/>
              </w:rPr>
              <w:t>调整率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预算调整率=[预算调整数/预算数]×100%</w:t>
            </w:r>
          </w:p>
          <w:p>
            <w:pPr>
              <w:spacing w:line="300" w:lineRule="exact"/>
              <w:jc w:val="left"/>
              <w:rPr>
                <w:rFonts w:eastAsia="楷体_GB2312"/>
                <w:sz w:val="18"/>
                <w:szCs w:val="18"/>
              </w:rPr>
            </w:pPr>
            <w:r>
              <w:rPr>
                <w:rFonts w:eastAsia="楷体_GB2312"/>
                <w:sz w:val="18"/>
                <w:szCs w:val="18"/>
              </w:rPr>
              <w:t>预算调整数：部门在本年度内涉及预算的追加、追减或结构调整的资金总和（因落实国家政策、发生不可抗力、上级部门或党委政府临时交办而产生的调整除外）。</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结果≤5%，得</w:t>
            </w:r>
            <w:r>
              <w:rPr>
                <w:rFonts w:hint="eastAsia" w:eastAsia="楷体_GB2312"/>
                <w:sz w:val="18"/>
                <w:szCs w:val="18"/>
              </w:rPr>
              <w:t>2</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5%＜结果≤10%，得1分；</w:t>
            </w:r>
          </w:p>
          <w:p>
            <w:pPr>
              <w:spacing w:line="300" w:lineRule="exact"/>
              <w:jc w:val="left"/>
              <w:rPr>
                <w:rFonts w:eastAsia="楷体_GB2312"/>
                <w:sz w:val="18"/>
                <w:szCs w:val="18"/>
              </w:rPr>
            </w:pPr>
            <w:r>
              <w:rPr>
                <w:rFonts w:eastAsia="楷体_GB2312"/>
                <w:sz w:val="18"/>
                <w:szCs w:val="18"/>
              </w:rPr>
              <w:t>结果＞10%，得0分。</w:t>
            </w:r>
          </w:p>
        </w:tc>
        <w:tc>
          <w:tcPr>
            <w:tcW w:w="1614" w:type="dxa"/>
            <w:tcMar>
              <w:top w:w="0" w:type="dxa"/>
              <w:left w:w="105" w:type="dxa"/>
              <w:bottom w:w="0" w:type="dxa"/>
              <w:right w:w="105" w:type="dxa"/>
            </w:tcMar>
            <w:vAlign w:val="center"/>
          </w:tcPr>
          <w:p>
            <w:pPr>
              <w:ind w:right="238" w:rightChars="119"/>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2"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公用经费控制率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公用经费控制率=[公用经费实际支出总额/公用经费预算安排总额]×100%</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w:t>
            </w:r>
            <w:r>
              <w:rPr>
                <w:rFonts w:hint="eastAsia" w:eastAsia="楷体_GB2312"/>
                <w:sz w:val="18"/>
                <w:szCs w:val="18"/>
              </w:rPr>
              <w:t>3</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结果＞100%，得0分。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pacing w:val="-20"/>
                <w:sz w:val="18"/>
                <w:szCs w:val="18"/>
              </w:rPr>
            </w:pPr>
            <w:r>
              <w:rPr>
                <w:rFonts w:eastAsia="楷体_GB2312"/>
                <w:spacing w:val="-20"/>
                <w:sz w:val="18"/>
                <w:szCs w:val="18"/>
              </w:rPr>
              <w:t>“</w:t>
            </w:r>
            <w:r>
              <w:rPr>
                <w:rFonts w:eastAsia="楷体_GB2312"/>
                <w:sz w:val="18"/>
                <w:szCs w:val="18"/>
              </w:rPr>
              <w:t>三公经费”控制率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“三公经费”控制率=[“三公经费”实际支出总额/“三公经费”预算安排总额]×100%</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w:t>
            </w:r>
            <w:r>
              <w:rPr>
                <w:rFonts w:hint="eastAsia" w:eastAsia="楷体_GB2312"/>
                <w:sz w:val="18"/>
                <w:szCs w:val="18"/>
              </w:rPr>
              <w:t>2</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结果＞100%，得0分。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2"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政府采购</w:t>
            </w:r>
          </w:p>
          <w:p>
            <w:pPr>
              <w:spacing w:line="300" w:lineRule="exact"/>
              <w:jc w:val="center"/>
              <w:rPr>
                <w:rFonts w:eastAsia="楷体_GB2312"/>
                <w:sz w:val="18"/>
                <w:szCs w:val="18"/>
              </w:rPr>
            </w:pPr>
            <w:r>
              <w:rPr>
                <w:rFonts w:eastAsia="楷体_GB2312"/>
                <w:sz w:val="18"/>
                <w:szCs w:val="18"/>
              </w:rPr>
              <w:t>完成率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政府采购完成率=（政府采购完成项目数/政府采购预算项目数）×100%；</w:t>
            </w:r>
          </w:p>
          <w:p>
            <w:pPr>
              <w:spacing w:line="300" w:lineRule="exact"/>
              <w:jc w:val="left"/>
              <w:rPr>
                <w:rFonts w:eastAsia="楷体_GB2312"/>
                <w:sz w:val="18"/>
                <w:szCs w:val="18"/>
              </w:rPr>
            </w:pPr>
            <w:r>
              <w:rPr>
                <w:rFonts w:eastAsia="楷体_GB2312"/>
                <w:sz w:val="18"/>
                <w:szCs w:val="18"/>
              </w:rPr>
              <w:t>政府采购预算项目：采购机关根据事业发展计划和行政任务编制的、并经过规定程序批准的年度政府采购计划项目。</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完成率</w:t>
            </w:r>
            <w:r>
              <w:rPr>
                <w:rFonts w:hint="eastAsia" w:ascii="宋体" w:hAnsi="宋体" w:cs="宋体"/>
                <w:sz w:val="18"/>
                <w:szCs w:val="18"/>
              </w:rPr>
              <w:t>≧</w:t>
            </w:r>
            <w:r>
              <w:rPr>
                <w:rFonts w:hint="eastAsia" w:eastAsia="楷体_GB2312"/>
                <w:sz w:val="18"/>
                <w:szCs w:val="18"/>
              </w:rPr>
              <w:t>8</w:t>
            </w:r>
            <w:r>
              <w:rPr>
                <w:rFonts w:eastAsia="楷体_GB2312"/>
                <w:sz w:val="18"/>
                <w:szCs w:val="18"/>
              </w:rPr>
              <w:t>0%，得</w:t>
            </w:r>
            <w:r>
              <w:rPr>
                <w:rFonts w:hint="eastAsia" w:eastAsia="楷体_GB2312"/>
                <w:sz w:val="18"/>
                <w:szCs w:val="18"/>
              </w:rPr>
              <w:t>2</w:t>
            </w:r>
            <w:r>
              <w:rPr>
                <w:rFonts w:eastAsia="楷体_GB2312"/>
                <w:sz w:val="18"/>
                <w:szCs w:val="18"/>
              </w:rPr>
              <w:t>分</w:t>
            </w:r>
            <w:r>
              <w:rPr>
                <w:rFonts w:hint="eastAsia" w:eastAsia="楷体_GB2312"/>
                <w:sz w:val="18"/>
                <w:szCs w:val="18"/>
              </w:rPr>
              <w:t>；</w:t>
            </w:r>
          </w:p>
          <w:p>
            <w:pPr>
              <w:spacing w:line="300" w:lineRule="exact"/>
              <w:jc w:val="left"/>
              <w:rPr>
                <w:rFonts w:eastAsia="楷体_GB2312"/>
                <w:sz w:val="18"/>
                <w:szCs w:val="18"/>
              </w:rPr>
            </w:pPr>
            <w:r>
              <w:rPr>
                <w:rFonts w:hint="eastAsia" w:eastAsia="楷体_GB2312"/>
                <w:sz w:val="18"/>
                <w:szCs w:val="18"/>
              </w:rPr>
              <w:t>80%</w:t>
            </w:r>
            <w:r>
              <w:rPr>
                <w:rFonts w:eastAsia="楷体_GB2312"/>
                <w:sz w:val="18"/>
                <w:szCs w:val="18"/>
              </w:rPr>
              <w:t>&gt;完成率</w:t>
            </w:r>
            <w:r>
              <w:rPr>
                <w:rFonts w:hint="eastAsia" w:eastAsia="楷体_GB2312"/>
                <w:sz w:val="18"/>
                <w:szCs w:val="18"/>
              </w:rPr>
              <w:t>≧60%，得1分；</w:t>
            </w:r>
          </w:p>
          <w:p>
            <w:pPr>
              <w:spacing w:line="300" w:lineRule="exact"/>
              <w:jc w:val="left"/>
              <w:rPr>
                <w:rFonts w:eastAsia="楷体_GB2312"/>
                <w:sz w:val="18"/>
                <w:szCs w:val="18"/>
              </w:rPr>
            </w:pPr>
            <w:r>
              <w:rPr>
                <w:rFonts w:eastAsia="楷体_GB2312"/>
                <w:sz w:val="18"/>
                <w:szCs w:val="18"/>
              </w:rPr>
              <w:t>完成率＜</w:t>
            </w:r>
            <w:r>
              <w:rPr>
                <w:rFonts w:hint="eastAsia" w:eastAsia="楷体_GB2312"/>
                <w:sz w:val="18"/>
                <w:szCs w:val="18"/>
              </w:rPr>
              <w:t>6</w:t>
            </w:r>
            <w:r>
              <w:rPr>
                <w:rFonts w:eastAsia="楷体_GB2312"/>
                <w:sz w:val="18"/>
                <w:szCs w:val="18"/>
              </w:rPr>
              <w:t>0%，得0分。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4"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w:t>
            </w:r>
          </w:p>
          <w:p>
            <w:pPr>
              <w:spacing w:before="100" w:beforeAutospacing="1" w:after="100" w:afterAutospacing="1"/>
              <w:jc w:val="center"/>
              <w:rPr>
                <w:rFonts w:eastAsia="楷体_GB2312"/>
                <w:sz w:val="18"/>
                <w:szCs w:val="18"/>
              </w:rPr>
            </w:pPr>
            <w:r>
              <w:rPr>
                <w:rFonts w:eastAsia="楷体_GB2312"/>
                <w:sz w:val="18"/>
                <w:szCs w:val="18"/>
              </w:rPr>
              <w:t>管理（</w:t>
            </w:r>
            <w:r>
              <w:rPr>
                <w:rFonts w:hint="eastAsia" w:eastAsia="楷体_GB2312"/>
                <w:sz w:val="18"/>
                <w:szCs w:val="18"/>
              </w:rPr>
              <w:t>9</w:t>
            </w:r>
            <w:r>
              <w:rPr>
                <w:rFonts w:eastAsia="楷体_GB2312"/>
                <w:sz w:val="18"/>
                <w:szCs w:val="18"/>
              </w:rPr>
              <w:t>分）</w:t>
            </w:r>
          </w:p>
        </w:tc>
        <w:tc>
          <w:tcPr>
            <w:tcW w:w="1226" w:type="dxa"/>
            <w:tcMar>
              <w:top w:w="0" w:type="dxa"/>
              <w:left w:w="105" w:type="dxa"/>
              <w:bottom w:w="0" w:type="dxa"/>
              <w:right w:w="105" w:type="dxa"/>
            </w:tcMar>
            <w:vAlign w:val="center"/>
          </w:tcPr>
          <w:p>
            <w:pPr>
              <w:spacing w:line="280" w:lineRule="exact"/>
              <w:jc w:val="center"/>
              <w:rPr>
                <w:rFonts w:eastAsia="楷体_GB2312"/>
                <w:sz w:val="18"/>
                <w:szCs w:val="18"/>
              </w:rPr>
            </w:pPr>
            <w:r>
              <w:rPr>
                <w:rFonts w:eastAsia="楷体_GB2312"/>
                <w:sz w:val="18"/>
                <w:szCs w:val="18"/>
              </w:rPr>
              <w:t>资金管理</w:t>
            </w:r>
          </w:p>
          <w:p>
            <w:pPr>
              <w:spacing w:line="280" w:lineRule="exact"/>
              <w:jc w:val="center"/>
              <w:rPr>
                <w:rFonts w:eastAsia="楷体_GB2312"/>
                <w:sz w:val="18"/>
                <w:szCs w:val="18"/>
              </w:rPr>
            </w:pPr>
            <w:r>
              <w:rPr>
                <w:rFonts w:eastAsia="楷体_GB2312"/>
                <w:sz w:val="18"/>
                <w:szCs w:val="18"/>
              </w:rPr>
              <w:t>制度健全性</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制定预算资金管理办法、内部财务管理制度、内控制度、会计核算制度等是否完整，是否执行到位。</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每发现一项问题，扣1分，扣完为止。</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vMerge w:val="restart"/>
            <w:tcMar>
              <w:top w:w="0" w:type="dxa"/>
              <w:left w:w="105" w:type="dxa"/>
              <w:bottom w:w="0" w:type="dxa"/>
              <w:right w:w="105" w:type="dxa"/>
            </w:tcMar>
            <w:vAlign w:val="center"/>
          </w:tcPr>
          <w:p>
            <w:pPr>
              <w:jc w:val="center"/>
              <w:rPr>
                <w:rFonts w:eastAsia="楷体_GB2312"/>
              </w:rPr>
            </w:pPr>
            <w:r>
              <w:rPr>
                <w:rFonts w:hint="eastAsia" w:eastAsia="楷体_GB2312"/>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27"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资金使用</w:t>
            </w:r>
          </w:p>
          <w:p>
            <w:pPr>
              <w:spacing w:line="300" w:lineRule="exact"/>
              <w:jc w:val="center"/>
              <w:rPr>
                <w:rFonts w:eastAsia="楷体_GB2312"/>
                <w:sz w:val="18"/>
                <w:szCs w:val="18"/>
              </w:rPr>
            </w:pPr>
            <w:r>
              <w:rPr>
                <w:rFonts w:eastAsia="楷体_GB2312"/>
                <w:sz w:val="18"/>
                <w:szCs w:val="18"/>
              </w:rPr>
              <w:t>合规性</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pacing w:val="-20"/>
                <w:sz w:val="18"/>
                <w:szCs w:val="18"/>
              </w:rPr>
            </w:pPr>
            <w:r>
              <w:rPr>
                <w:rFonts w:eastAsia="楷体_GB2312"/>
                <w:sz w:val="18"/>
                <w:szCs w:val="18"/>
              </w:rPr>
              <w:t>部门预算资金使用是否符合相关的预算财务管理制度的规定。如①是否符合国家财经法规和财务管理制度规定，以及有关专项资金管理办法的规定；②资金的拨付是否有完整的审批程序和手续；③项目的重大开支是否经过评估论证；④是否存在截留、挤占、挪用、虚列支出等情况。</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合规率100%得</w:t>
            </w:r>
            <w:r>
              <w:rPr>
                <w:rFonts w:hint="eastAsia" w:eastAsia="楷体_GB2312"/>
                <w:sz w:val="18"/>
                <w:szCs w:val="18"/>
              </w:rPr>
              <w:t>3</w:t>
            </w:r>
            <w:r>
              <w:rPr>
                <w:rFonts w:eastAsia="楷体_GB2312"/>
                <w:sz w:val="18"/>
                <w:szCs w:val="18"/>
              </w:rPr>
              <w:t>分；合规率每下降1%，扣0.5分，扣完为止。</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vMerge w:val="continue"/>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5"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资金使用</w:t>
            </w:r>
          </w:p>
          <w:p>
            <w:pPr>
              <w:spacing w:line="300" w:lineRule="exact"/>
              <w:jc w:val="center"/>
              <w:rPr>
                <w:rFonts w:eastAsia="楷体_GB2312"/>
                <w:sz w:val="18"/>
                <w:szCs w:val="18"/>
              </w:rPr>
            </w:pPr>
            <w:r>
              <w:rPr>
                <w:rFonts w:eastAsia="楷体_GB2312"/>
                <w:sz w:val="18"/>
                <w:szCs w:val="18"/>
              </w:rPr>
              <w:t>合理性</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部门预算资金使用是否与批准的预算及其预算内容相符合。</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相符率100%得2分；相符率每下降1%，扣0.5分，扣完为止。</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9"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整改</w:t>
            </w:r>
          </w:p>
          <w:p>
            <w:pPr>
              <w:spacing w:line="300" w:lineRule="exact"/>
              <w:jc w:val="center"/>
              <w:rPr>
                <w:rFonts w:eastAsia="楷体_GB2312"/>
                <w:sz w:val="18"/>
                <w:szCs w:val="18"/>
              </w:rPr>
            </w:pPr>
            <w:r>
              <w:rPr>
                <w:rFonts w:eastAsia="楷体_GB2312"/>
                <w:sz w:val="18"/>
                <w:szCs w:val="18"/>
              </w:rPr>
              <w:t>落实</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是否对近三年内审计、财政等部门各项检查中、绩效评价发现违法违规问题已经进行有效整改。</w:t>
            </w:r>
          </w:p>
        </w:tc>
        <w:tc>
          <w:tcPr>
            <w:tcW w:w="3123" w:type="dxa"/>
            <w:tcMar>
              <w:top w:w="0" w:type="dxa"/>
              <w:left w:w="105" w:type="dxa"/>
              <w:bottom w:w="0" w:type="dxa"/>
              <w:right w:w="105" w:type="dxa"/>
            </w:tcMar>
            <w:vAlign w:val="center"/>
          </w:tcPr>
          <w:p>
            <w:pPr>
              <w:spacing w:line="300" w:lineRule="exact"/>
              <w:jc w:val="left"/>
              <w:rPr>
                <w:rFonts w:eastAsia="楷体_GB2312"/>
                <w:spacing w:val="-20"/>
                <w:sz w:val="18"/>
                <w:szCs w:val="18"/>
              </w:rPr>
            </w:pPr>
            <w:r>
              <w:rPr>
                <w:rFonts w:eastAsia="楷体_GB2312"/>
                <w:sz w:val="18"/>
                <w:szCs w:val="18"/>
              </w:rPr>
              <w:t>没发现违法违规问题或发现违法违纪行为并积极制定措施全部整改的，得</w:t>
            </w:r>
            <w:r>
              <w:rPr>
                <w:rFonts w:hint="eastAsia" w:eastAsia="楷体_GB2312"/>
                <w:sz w:val="18"/>
                <w:szCs w:val="18"/>
              </w:rPr>
              <w:t>2</w:t>
            </w:r>
            <w:r>
              <w:rPr>
                <w:rFonts w:eastAsia="楷体_GB2312"/>
                <w:sz w:val="18"/>
                <w:szCs w:val="18"/>
              </w:rPr>
              <w:t>分；部分整改的，视整改情况得</w:t>
            </w:r>
            <w:r>
              <w:rPr>
                <w:rFonts w:hint="eastAsia" w:eastAsia="楷体_GB2312"/>
                <w:sz w:val="18"/>
                <w:szCs w:val="18"/>
              </w:rPr>
              <w:t>0.5至1</w:t>
            </w:r>
            <w:r>
              <w:rPr>
                <w:rFonts w:eastAsia="楷体_GB2312"/>
                <w:sz w:val="18"/>
                <w:szCs w:val="18"/>
              </w:rPr>
              <w:t>分；未整改的，得0分。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2"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资产管理（5分）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资产管理制度健全性</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1</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部门为加强资产管理、规范资产管理行为而制定的管理制度是否健全完整，是否合法合规，是否执行到位。</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每发现一项问题，扣0.5分，扣完为止。</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6"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资产管理</w:t>
            </w:r>
          </w:p>
          <w:p>
            <w:pPr>
              <w:spacing w:line="300" w:lineRule="exact"/>
              <w:jc w:val="center"/>
              <w:rPr>
                <w:rFonts w:eastAsia="楷体_GB2312"/>
                <w:sz w:val="18"/>
                <w:szCs w:val="18"/>
              </w:rPr>
            </w:pPr>
            <w:r>
              <w:rPr>
                <w:rFonts w:eastAsia="楷体_GB2312"/>
                <w:sz w:val="18"/>
                <w:szCs w:val="18"/>
              </w:rPr>
              <w:t>安全性</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部门的资产是否保存完整、使用合规、配置合理、处置规范、收入及时足额上缴。</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每发现一项问题，扣0.5分，扣完为止。</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固定资产</w:t>
            </w:r>
          </w:p>
          <w:p>
            <w:pPr>
              <w:spacing w:line="300" w:lineRule="exact"/>
              <w:jc w:val="center"/>
              <w:rPr>
                <w:rFonts w:eastAsia="楷体_GB2312"/>
                <w:sz w:val="18"/>
                <w:szCs w:val="18"/>
              </w:rPr>
            </w:pPr>
            <w:r>
              <w:rPr>
                <w:rFonts w:eastAsia="楷体_GB2312"/>
                <w:sz w:val="18"/>
                <w:szCs w:val="18"/>
              </w:rPr>
              <w:t>利用率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固定资产利用率=（实际在用固定资产总额/所有固定资产总额）×100%</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99%≤结果≤100%，得2分；</w:t>
            </w:r>
          </w:p>
          <w:p>
            <w:pPr>
              <w:spacing w:line="300" w:lineRule="exact"/>
              <w:jc w:val="left"/>
              <w:rPr>
                <w:rFonts w:eastAsia="楷体_GB2312"/>
                <w:sz w:val="18"/>
                <w:szCs w:val="18"/>
              </w:rPr>
            </w:pPr>
            <w:r>
              <w:rPr>
                <w:rFonts w:eastAsia="楷体_GB2312"/>
                <w:sz w:val="18"/>
                <w:szCs w:val="18"/>
              </w:rPr>
              <w:t>90%≤结果＜99%，得1分；</w:t>
            </w:r>
          </w:p>
          <w:p>
            <w:pPr>
              <w:spacing w:line="300" w:lineRule="exact"/>
              <w:jc w:val="left"/>
              <w:rPr>
                <w:rFonts w:eastAsia="楷体_GB2312"/>
                <w:spacing w:val="-20"/>
                <w:sz w:val="18"/>
                <w:szCs w:val="18"/>
              </w:rPr>
            </w:pPr>
            <w:r>
              <w:rPr>
                <w:rFonts w:eastAsia="楷体_GB2312"/>
                <w:sz w:val="18"/>
                <w:szCs w:val="18"/>
              </w:rPr>
              <w:t>结果＜90%，得0分。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94" w:hRule="atLeast"/>
          <w:tblCellSpacing w:w="0" w:type="dxa"/>
          <w:jc w:val="center"/>
        </w:trPr>
        <w:tc>
          <w:tcPr>
            <w:tcW w:w="10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产出与效果(共</w:t>
            </w:r>
            <w:r>
              <w:rPr>
                <w:rFonts w:hint="eastAsia" w:eastAsia="楷体_GB2312"/>
                <w:sz w:val="18"/>
                <w:szCs w:val="18"/>
              </w:rPr>
              <w:t>6</w:t>
            </w:r>
            <w:r>
              <w:rPr>
                <w:rFonts w:eastAsia="楷体_GB2312"/>
                <w:sz w:val="18"/>
                <w:szCs w:val="18"/>
              </w:rPr>
              <w:t>0分)</w:t>
            </w: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p>
          <w:p>
            <w:pPr>
              <w:spacing w:before="100" w:beforeAutospacing="1" w:after="100" w:afterAutospacing="1"/>
              <w:jc w:val="center"/>
              <w:rPr>
                <w:rFonts w:eastAsia="楷体_GB2312"/>
                <w:sz w:val="18"/>
                <w:szCs w:val="18"/>
              </w:rPr>
            </w:pPr>
            <w:r>
              <w:rPr>
                <w:rFonts w:eastAsia="楷体_GB2312"/>
                <w:sz w:val="18"/>
                <w:szCs w:val="18"/>
              </w:rPr>
              <w:t>产出指标（30分）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数量</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对照整体绩效目标评价。未设置整体绩效目标，或整体绩效目标设置不完善的，根据部门年度履行职责主要工作和重点工作计划任务数与实际完成任务数的比率评价得分。</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对照绩效目标，按实际产出数量率计算得分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9"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质量</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对照整体绩效目标评价。未设置整体绩效目标，或整体绩效目标设置不完善的，根据部门年度履行职责主要工作和重点工作，标识具体明确的产出质量。</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对照绩效目标，按实际产出质量计算得分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4"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时效</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对照整体绩效目标评价。未设置整体绩效目标，或整体绩效目标设置不完善的，根据部门年度履行职责主要工作和重点工作，标识具体明确的产出时效。</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对照绩效目标，按实际产出时效计算得分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效益指标（</w:t>
            </w:r>
            <w:r>
              <w:rPr>
                <w:rFonts w:hint="eastAsia" w:eastAsia="楷体_GB2312"/>
                <w:sz w:val="18"/>
                <w:szCs w:val="18"/>
              </w:rPr>
              <w:t>3</w:t>
            </w:r>
            <w:r>
              <w:rPr>
                <w:rFonts w:eastAsia="楷体_GB2312"/>
                <w:sz w:val="18"/>
                <w:szCs w:val="18"/>
              </w:rPr>
              <w:t>0分）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经济</w:t>
            </w:r>
          </w:p>
          <w:p>
            <w:pPr>
              <w:spacing w:line="300" w:lineRule="exact"/>
              <w:jc w:val="center"/>
              <w:rPr>
                <w:rFonts w:eastAsia="楷体_GB2312"/>
                <w:sz w:val="18"/>
                <w:szCs w:val="18"/>
              </w:rPr>
            </w:pPr>
            <w:r>
              <w:rPr>
                <w:rFonts w:eastAsia="楷体_GB2312"/>
                <w:sz w:val="18"/>
                <w:szCs w:val="18"/>
              </w:rPr>
              <w:t>效益</w:t>
            </w:r>
          </w:p>
        </w:tc>
        <w:tc>
          <w:tcPr>
            <w:tcW w:w="701" w:type="dxa"/>
            <w:vMerge w:val="restart"/>
            <w:tcBorders>
              <w:top w:val="single" w:color="auto" w:sz="4" w:space="0"/>
            </w:tcBorders>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20</w:t>
            </w:r>
          </w:p>
        </w:tc>
        <w:tc>
          <w:tcPr>
            <w:tcW w:w="4750" w:type="dxa"/>
            <w:tcBorders>
              <w:top w:val="single" w:color="auto" w:sz="4" w:space="0"/>
            </w:tcBorders>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对照整体绩效目标评价。未设置整体绩效目标，或整体绩效目标设置不完善的，根据部门年度履行职责主要工作和重点工作，标识所产生的直接或间接的经济效益</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对照绩效目标，按经济效益实现程度计算得分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Borders>
              <w:right w:val="single" w:color="auto" w:sz="4" w:space="0"/>
            </w:tcBorders>
            <w:vAlign w:val="center"/>
          </w:tcPr>
          <w:p>
            <w:pPr>
              <w:spacing w:line="300" w:lineRule="exact"/>
              <w:jc w:val="center"/>
              <w:rPr>
                <w:rFonts w:eastAsia="楷体_GB2312"/>
                <w:sz w:val="18"/>
                <w:szCs w:val="18"/>
              </w:rPr>
            </w:pPr>
            <w:r>
              <w:rPr>
                <w:rFonts w:eastAsia="楷体_GB2312"/>
                <w:sz w:val="18"/>
                <w:szCs w:val="18"/>
              </w:rPr>
              <w:t>社会</w:t>
            </w:r>
          </w:p>
          <w:p>
            <w:pPr>
              <w:spacing w:line="300" w:lineRule="exact"/>
              <w:jc w:val="center"/>
              <w:rPr>
                <w:rFonts w:eastAsia="楷体_GB2312"/>
                <w:sz w:val="18"/>
                <w:szCs w:val="18"/>
              </w:rPr>
            </w:pPr>
            <w:r>
              <w:rPr>
                <w:rFonts w:eastAsia="楷体_GB2312"/>
                <w:sz w:val="18"/>
                <w:szCs w:val="18"/>
              </w:rPr>
              <w:t>效益</w:t>
            </w:r>
          </w:p>
        </w:tc>
        <w:tc>
          <w:tcPr>
            <w:tcW w:w="701" w:type="dxa"/>
            <w:vMerge w:val="continue"/>
            <w:vAlign w:val="center"/>
          </w:tcPr>
          <w:p>
            <w:pPr>
              <w:jc w:val="center"/>
              <w:rPr>
                <w:rFonts w:eastAsia="楷体_GB2312"/>
                <w:sz w:val="18"/>
                <w:szCs w:val="18"/>
              </w:rPr>
            </w:pPr>
          </w:p>
        </w:tc>
        <w:tc>
          <w:tcPr>
            <w:tcW w:w="4750" w:type="dxa"/>
            <w:tcBorders>
              <w:top w:val="single" w:color="auto" w:sz="4" w:space="0"/>
            </w:tcBorders>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对照整体绩效目标评价。未设置整体绩效目标，或整体绩效目标设置不完善的，根据部门年度履行职责主要工作和重点工作，标识所产生的社会效益</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对照绩效目标，按社会效益实现程度计算得分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30"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vAlign w:val="center"/>
          </w:tcPr>
          <w:p>
            <w:pPr>
              <w:spacing w:line="300" w:lineRule="exact"/>
              <w:jc w:val="center"/>
              <w:rPr>
                <w:rFonts w:eastAsia="楷体_GB2312"/>
                <w:sz w:val="18"/>
                <w:szCs w:val="18"/>
              </w:rPr>
            </w:pPr>
            <w:r>
              <w:rPr>
                <w:rFonts w:eastAsia="楷体_GB2312"/>
                <w:sz w:val="18"/>
                <w:szCs w:val="18"/>
              </w:rPr>
              <w:t>环境</w:t>
            </w:r>
          </w:p>
          <w:p>
            <w:pPr>
              <w:spacing w:line="300" w:lineRule="exact"/>
              <w:jc w:val="center"/>
              <w:rPr>
                <w:rFonts w:eastAsia="楷体_GB2312"/>
                <w:sz w:val="18"/>
                <w:szCs w:val="18"/>
              </w:rPr>
            </w:pPr>
            <w:r>
              <w:rPr>
                <w:rFonts w:eastAsia="楷体_GB2312"/>
                <w:sz w:val="18"/>
                <w:szCs w:val="18"/>
              </w:rPr>
              <w:t>效益</w:t>
            </w:r>
          </w:p>
        </w:tc>
        <w:tc>
          <w:tcPr>
            <w:tcW w:w="701" w:type="dxa"/>
            <w:vMerge w:val="continue"/>
            <w:vAlign w:val="center"/>
          </w:tcPr>
          <w:p>
            <w:pPr>
              <w:jc w:val="center"/>
              <w:rPr>
                <w:rFonts w:eastAsia="楷体_GB2312"/>
                <w:sz w:val="18"/>
                <w:szCs w:val="18"/>
              </w:rPr>
            </w:pPr>
          </w:p>
        </w:tc>
        <w:tc>
          <w:tcPr>
            <w:tcW w:w="4750" w:type="dxa"/>
            <w:tcBorders>
              <w:right w:val="nil"/>
            </w:tcBorders>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w:t>
            </w:r>
          </w:p>
          <w:p>
            <w:pPr>
              <w:spacing w:line="300" w:lineRule="exact"/>
              <w:jc w:val="left"/>
              <w:rPr>
                <w:rFonts w:eastAsia="楷体_GB2312"/>
                <w:sz w:val="18"/>
                <w:szCs w:val="18"/>
              </w:rPr>
            </w:pPr>
            <w:r>
              <w:rPr>
                <w:rFonts w:eastAsia="楷体_GB2312"/>
                <w:sz w:val="18"/>
                <w:szCs w:val="18"/>
              </w:rPr>
              <w:t>置整体绩效目标，或整体绩效目标设置不完善的，根据部门年度履行职责主要工作和重点工作，标识对环境所产生的积极或消极影响</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对照绩效目标，按对环境所产生的实际影响程度计算得分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3"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vAlign w:val="center"/>
          </w:tcPr>
          <w:p>
            <w:pPr>
              <w:spacing w:line="300" w:lineRule="exact"/>
              <w:jc w:val="center"/>
              <w:rPr>
                <w:rFonts w:eastAsia="楷体_GB2312"/>
                <w:sz w:val="18"/>
                <w:szCs w:val="18"/>
              </w:rPr>
            </w:pPr>
            <w:r>
              <w:rPr>
                <w:rFonts w:eastAsia="楷体_GB2312"/>
                <w:sz w:val="18"/>
                <w:szCs w:val="18"/>
              </w:rPr>
              <w:t>可持续性</w:t>
            </w:r>
          </w:p>
        </w:tc>
        <w:tc>
          <w:tcPr>
            <w:tcW w:w="701" w:type="dxa"/>
            <w:vMerge w:val="continue"/>
            <w:vAlign w:val="center"/>
          </w:tcPr>
          <w:p>
            <w:pPr>
              <w:jc w:val="center"/>
              <w:rPr>
                <w:rFonts w:eastAsia="楷体_GB2312"/>
                <w:sz w:val="18"/>
                <w:szCs w:val="18"/>
              </w:rPr>
            </w:pP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对照整体绩效目标评价。未设置整体绩效目标，或整体绩效目标设置不完善的，根据部门年度履行职责主要工作和重点工作，标识可持续性</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对照绩效目标，按实际情况计算得分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260" w:lineRule="exact"/>
              <w:jc w:val="center"/>
              <w:rPr>
                <w:rFonts w:eastAsia="楷体_GB2312"/>
                <w:sz w:val="18"/>
                <w:szCs w:val="18"/>
              </w:rPr>
            </w:pPr>
            <w:r>
              <w:rPr>
                <w:rFonts w:eastAsia="楷体_GB2312"/>
                <w:sz w:val="18"/>
                <w:szCs w:val="18"/>
              </w:rPr>
              <w:t>社会公众与服务对象满意度</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社会公众、服务对象对部门主要工作实施的满意程度</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hint="eastAsia" w:eastAsia="楷体_GB2312"/>
                <w:sz w:val="18"/>
                <w:szCs w:val="18"/>
              </w:rPr>
              <w:t>90%≤满意度≤100%记10分，</w:t>
            </w:r>
          </w:p>
          <w:p>
            <w:pPr>
              <w:spacing w:line="300" w:lineRule="exact"/>
              <w:jc w:val="left"/>
              <w:rPr>
                <w:rFonts w:eastAsia="楷体_GB2312"/>
                <w:sz w:val="18"/>
                <w:szCs w:val="18"/>
              </w:rPr>
            </w:pPr>
            <w:r>
              <w:rPr>
                <w:rFonts w:hint="eastAsia" w:eastAsia="楷体_GB2312"/>
                <w:sz w:val="18"/>
                <w:szCs w:val="18"/>
              </w:rPr>
              <w:t>80%≤满意度&lt;90%记8分，</w:t>
            </w:r>
          </w:p>
          <w:p>
            <w:pPr>
              <w:spacing w:line="300" w:lineRule="exact"/>
              <w:jc w:val="left"/>
              <w:rPr>
                <w:rFonts w:eastAsia="楷体_GB2312"/>
                <w:sz w:val="18"/>
                <w:szCs w:val="18"/>
              </w:rPr>
            </w:pPr>
            <w:r>
              <w:rPr>
                <w:rFonts w:hint="eastAsia" w:eastAsia="楷体_GB2312"/>
                <w:sz w:val="18"/>
                <w:szCs w:val="18"/>
              </w:rPr>
              <w:t>70%≤满意度&lt;80%  记6分，</w:t>
            </w:r>
          </w:p>
          <w:p>
            <w:pPr>
              <w:spacing w:line="300" w:lineRule="exact"/>
              <w:jc w:val="left"/>
              <w:rPr>
                <w:rFonts w:eastAsia="楷体_GB2312"/>
                <w:sz w:val="18"/>
                <w:szCs w:val="18"/>
              </w:rPr>
            </w:pPr>
            <w:r>
              <w:rPr>
                <w:rFonts w:hint="eastAsia" w:eastAsia="楷体_GB2312"/>
                <w:sz w:val="18"/>
                <w:szCs w:val="18"/>
              </w:rPr>
              <w:t>60%≤满意度&lt;70%记4分，</w:t>
            </w:r>
          </w:p>
          <w:p>
            <w:pPr>
              <w:spacing w:line="300" w:lineRule="exact"/>
              <w:jc w:val="left"/>
              <w:rPr>
                <w:rFonts w:eastAsia="楷体_GB2312"/>
                <w:sz w:val="18"/>
                <w:szCs w:val="18"/>
              </w:rPr>
            </w:pPr>
            <w:r>
              <w:rPr>
                <w:rFonts w:hint="eastAsia" w:eastAsia="楷体_GB2312"/>
                <w:sz w:val="18"/>
                <w:szCs w:val="18"/>
              </w:rPr>
              <w:t>满意度&lt;60%记0分。</w:t>
            </w:r>
          </w:p>
        </w:tc>
        <w:tc>
          <w:tcPr>
            <w:tcW w:w="1614" w:type="dxa"/>
            <w:tcMar>
              <w:top w:w="0" w:type="dxa"/>
              <w:left w:w="105" w:type="dxa"/>
              <w:bottom w:w="0" w:type="dxa"/>
              <w:right w:w="105" w:type="dxa"/>
            </w:tcMar>
            <w:vAlign w:val="center"/>
          </w:tcPr>
          <w:p>
            <w:pPr>
              <w:jc w:val="center"/>
              <w:rPr>
                <w:rFonts w:eastAsia="楷体_GB2312"/>
                <w:sz w:val="18"/>
                <w:szCs w:val="18"/>
              </w:rPr>
            </w:pP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6" w:hRule="atLeast"/>
          <w:tblCellSpacing w:w="0" w:type="dxa"/>
          <w:jc w:val="center"/>
        </w:trPr>
        <w:tc>
          <w:tcPr>
            <w:tcW w:w="1079" w:type="dxa"/>
            <w:tcMar>
              <w:top w:w="0" w:type="dxa"/>
              <w:left w:w="105" w:type="dxa"/>
              <w:bottom w:w="0" w:type="dxa"/>
              <w:right w:w="105" w:type="dxa"/>
            </w:tcMar>
            <w:vAlign w:val="center"/>
          </w:tcPr>
          <w:p>
            <w:pPr>
              <w:spacing w:before="100" w:beforeAutospacing="1" w:after="100" w:afterAutospacing="1"/>
              <w:jc w:val="center"/>
              <w:rPr>
                <w:rFonts w:eastAsia="楷体_GB2312"/>
                <w:sz w:val="22"/>
                <w:szCs w:val="22"/>
              </w:rPr>
            </w:pPr>
            <w:r>
              <w:rPr>
                <w:rFonts w:eastAsia="楷体_GB2312"/>
                <w:sz w:val="22"/>
                <w:szCs w:val="22"/>
              </w:rPr>
              <w:t>合计</w:t>
            </w:r>
          </w:p>
        </w:tc>
        <w:tc>
          <w:tcPr>
            <w:tcW w:w="1179" w:type="dxa"/>
            <w:tcMar>
              <w:top w:w="0" w:type="dxa"/>
              <w:left w:w="105" w:type="dxa"/>
              <w:bottom w:w="0" w:type="dxa"/>
              <w:right w:w="105" w:type="dxa"/>
            </w:tcMar>
            <w:vAlign w:val="center"/>
          </w:tcPr>
          <w:p>
            <w:pPr>
              <w:spacing w:before="100" w:beforeAutospacing="1" w:after="100" w:afterAutospacing="1"/>
              <w:rPr>
                <w:rFonts w:eastAsia="楷体_GB2312"/>
                <w:sz w:val="22"/>
                <w:szCs w:val="22"/>
              </w:rPr>
            </w:pPr>
            <w:r>
              <w:rPr>
                <w:rFonts w:eastAsia="楷体_GB2312"/>
                <w:sz w:val="22"/>
                <w:szCs w:val="22"/>
              </w:rPr>
              <w:t>—</w:t>
            </w:r>
          </w:p>
        </w:tc>
        <w:tc>
          <w:tcPr>
            <w:tcW w:w="1226" w:type="dxa"/>
            <w:tcMar>
              <w:top w:w="0" w:type="dxa"/>
              <w:left w:w="105" w:type="dxa"/>
              <w:bottom w:w="0" w:type="dxa"/>
              <w:right w:w="105" w:type="dxa"/>
            </w:tcMar>
            <w:vAlign w:val="center"/>
          </w:tcPr>
          <w:p>
            <w:pPr>
              <w:spacing w:before="100" w:beforeAutospacing="1" w:after="100" w:afterAutospacing="1"/>
              <w:rPr>
                <w:rFonts w:eastAsia="楷体_GB2312"/>
                <w:sz w:val="22"/>
                <w:szCs w:val="22"/>
              </w:rPr>
            </w:pPr>
            <w:r>
              <w:rPr>
                <w:rFonts w:eastAsia="楷体_GB2312"/>
                <w:sz w:val="22"/>
                <w:szCs w:val="22"/>
              </w:rPr>
              <w:t>——</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pacing w:val="-20"/>
                <w:sz w:val="22"/>
                <w:szCs w:val="22"/>
              </w:rPr>
            </w:pPr>
            <w:r>
              <w:rPr>
                <w:rFonts w:eastAsia="楷体_GB2312"/>
                <w:spacing w:val="-20"/>
                <w:sz w:val="22"/>
                <w:szCs w:val="22"/>
              </w:rPr>
              <w:t>100</w:t>
            </w:r>
          </w:p>
        </w:tc>
        <w:tc>
          <w:tcPr>
            <w:tcW w:w="4750" w:type="dxa"/>
            <w:tcMar>
              <w:top w:w="0" w:type="dxa"/>
              <w:left w:w="105" w:type="dxa"/>
              <w:bottom w:w="0" w:type="dxa"/>
              <w:right w:w="105" w:type="dxa"/>
            </w:tcMar>
            <w:vAlign w:val="center"/>
          </w:tcPr>
          <w:p>
            <w:pPr>
              <w:spacing w:line="300" w:lineRule="exact"/>
              <w:jc w:val="center"/>
              <w:rPr>
                <w:rFonts w:eastAsia="楷体_GB2312"/>
              </w:rPr>
            </w:pPr>
            <w:r>
              <w:rPr>
                <w:rFonts w:eastAsia="楷体_GB2312"/>
              </w:rPr>
              <w:t>——</w:t>
            </w:r>
          </w:p>
        </w:tc>
        <w:tc>
          <w:tcPr>
            <w:tcW w:w="3123" w:type="dxa"/>
            <w:tcMar>
              <w:top w:w="0" w:type="dxa"/>
              <w:left w:w="105" w:type="dxa"/>
              <w:bottom w:w="0" w:type="dxa"/>
              <w:right w:w="105" w:type="dxa"/>
            </w:tcMar>
            <w:vAlign w:val="center"/>
          </w:tcPr>
          <w:p>
            <w:pPr>
              <w:spacing w:line="300" w:lineRule="exact"/>
              <w:jc w:val="center"/>
              <w:rPr>
                <w:rFonts w:eastAsia="楷体_GB2312"/>
              </w:rPr>
            </w:pPr>
            <w:r>
              <w:rPr>
                <w:rFonts w:eastAsia="楷体_GB2312"/>
              </w:rPr>
              <w:t>——</w:t>
            </w:r>
          </w:p>
        </w:tc>
        <w:tc>
          <w:tcPr>
            <w:tcW w:w="1614"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w:t>
            </w:r>
          </w:p>
        </w:tc>
        <w:tc>
          <w:tcPr>
            <w:tcW w:w="745" w:type="dxa"/>
            <w:tcMar>
              <w:top w:w="0" w:type="dxa"/>
              <w:left w:w="105" w:type="dxa"/>
              <w:bottom w:w="0" w:type="dxa"/>
              <w:right w:w="105" w:type="dxa"/>
            </w:tcMar>
            <w:vAlign w:val="center"/>
          </w:tcPr>
          <w:p>
            <w:pPr>
              <w:rPr>
                <w:rFonts w:eastAsia="楷体_GB2312"/>
              </w:rPr>
            </w:pPr>
            <w:r>
              <w:rPr>
                <w:rFonts w:hint="eastAsia" w:eastAsia="楷体_GB2312"/>
              </w:rPr>
              <w:t>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0" w:hRule="atLeast"/>
          <w:tblCellSpacing w:w="0" w:type="dxa"/>
          <w:jc w:val="center"/>
        </w:trPr>
        <w:tc>
          <w:tcPr>
            <w:tcW w:w="1079" w:type="dxa"/>
            <w:tcMar>
              <w:top w:w="0" w:type="dxa"/>
              <w:left w:w="105" w:type="dxa"/>
              <w:bottom w:w="0" w:type="dxa"/>
              <w:right w:w="105" w:type="dxa"/>
            </w:tcMar>
            <w:vAlign w:val="center"/>
          </w:tcPr>
          <w:p>
            <w:pPr>
              <w:spacing w:before="100" w:beforeAutospacing="1" w:after="100" w:afterAutospacing="1"/>
              <w:jc w:val="center"/>
              <w:rPr>
                <w:rFonts w:ascii="楷体_GB2312" w:hAnsi="楷体_GB2312" w:eastAsia="楷体_GB2312" w:cs="楷体_GB2312"/>
                <w:sz w:val="21"/>
                <w:szCs w:val="16"/>
              </w:rPr>
            </w:pPr>
            <w:r>
              <w:rPr>
                <w:rFonts w:hint="eastAsia" w:ascii="楷体_GB2312" w:hAnsi="楷体_GB2312" w:eastAsia="楷体_GB2312" w:cs="楷体_GB2312"/>
                <w:sz w:val="21"/>
                <w:szCs w:val="16"/>
              </w:rPr>
              <w:t>评价</w:t>
            </w:r>
          </w:p>
          <w:p>
            <w:pPr>
              <w:spacing w:before="100" w:beforeAutospacing="1" w:after="100" w:afterAutospacing="1"/>
              <w:jc w:val="center"/>
              <w:rPr>
                <w:rFonts w:ascii="楷体_GB2312" w:hAnsi="楷体_GB2312" w:eastAsia="楷体_GB2312" w:cs="楷体_GB2312"/>
                <w:sz w:val="21"/>
                <w:szCs w:val="16"/>
              </w:rPr>
            </w:pPr>
            <w:r>
              <w:rPr>
                <w:rFonts w:hint="eastAsia" w:ascii="楷体_GB2312" w:hAnsi="楷体_GB2312" w:eastAsia="楷体_GB2312" w:cs="楷体_GB2312"/>
                <w:sz w:val="21"/>
                <w:szCs w:val="16"/>
              </w:rPr>
              <w:t>等级</w:t>
            </w:r>
          </w:p>
        </w:tc>
        <w:tc>
          <w:tcPr>
            <w:tcW w:w="13338" w:type="dxa"/>
            <w:gridSpan w:val="7"/>
            <w:tcMar>
              <w:top w:w="0" w:type="dxa"/>
              <w:left w:w="105" w:type="dxa"/>
              <w:bottom w:w="0" w:type="dxa"/>
              <w:right w:w="105" w:type="dxa"/>
            </w:tcMar>
            <w:vAlign w:val="center"/>
          </w:tcPr>
          <w:p>
            <w:pPr>
              <w:spacing w:line="400" w:lineRule="exact"/>
              <w:ind w:firstLine="210" w:firstLineChars="100"/>
              <w:rPr>
                <w:rFonts w:ascii="楷体_GB2312" w:hAnsi="楷体_GB2312" w:eastAsia="楷体_GB2312" w:cs="楷体_GB2312"/>
                <w:sz w:val="21"/>
                <w:szCs w:val="16"/>
              </w:rPr>
            </w:pPr>
            <w:r>
              <w:rPr>
                <w:rFonts w:hint="eastAsia" w:ascii="楷体_GB2312" w:hAnsi="楷体_GB2312" w:eastAsia="楷体_GB2312" w:cs="楷体_GB2312"/>
                <w:sz w:val="21"/>
                <w:szCs w:val="16"/>
              </w:rPr>
              <w:t xml:space="preserve">□优秀  90分≤得分≤100分；   □良好  </w:t>
            </w:r>
            <w:r>
              <w:rPr>
                <w:rFonts w:ascii="楷体_GB2312" w:hAnsi="楷体_GB2312" w:eastAsia="楷体_GB2312" w:cs="楷体_GB2312"/>
                <w:sz w:val="21"/>
                <w:szCs w:val="16"/>
              </w:rPr>
              <w:t>80</w:t>
            </w:r>
            <w:r>
              <w:rPr>
                <w:rFonts w:hint="eastAsia" w:ascii="楷体_GB2312" w:hAnsi="楷体_GB2312" w:eastAsia="楷体_GB2312" w:cs="楷体_GB2312"/>
                <w:sz w:val="21"/>
                <w:szCs w:val="16"/>
              </w:rPr>
              <w:t>分≤得分＜90分；   □较差  60分≤得分＜</w:t>
            </w:r>
            <w:r>
              <w:rPr>
                <w:rFonts w:ascii="楷体_GB2312" w:hAnsi="楷体_GB2312" w:eastAsia="楷体_GB2312" w:cs="楷体_GB2312"/>
                <w:sz w:val="21"/>
                <w:szCs w:val="16"/>
              </w:rPr>
              <w:t>80</w:t>
            </w:r>
            <w:r>
              <w:rPr>
                <w:rFonts w:hint="eastAsia" w:ascii="楷体_GB2312" w:hAnsi="楷体_GB2312" w:eastAsia="楷体_GB2312" w:cs="楷体_GB2312"/>
                <w:sz w:val="21"/>
                <w:szCs w:val="16"/>
              </w:rPr>
              <w:t>分；   □差  得分＜60分</w:t>
            </w:r>
          </w:p>
        </w:tc>
      </w:tr>
    </w:tbl>
    <w:p>
      <w:pPr>
        <w:spacing w:line="320" w:lineRule="exact"/>
        <w:ind w:firstLine="6490" w:firstLineChars="2950"/>
        <w:jc w:val="center"/>
        <w:rPr>
          <w:rFonts w:ascii="华文中宋" w:hAnsi="华文中宋" w:eastAsia="华文中宋"/>
          <w:sz w:val="22"/>
          <w:szCs w:val="24"/>
        </w:rPr>
      </w:pPr>
    </w:p>
    <w:p>
      <w:pPr>
        <w:spacing w:line="320" w:lineRule="exact"/>
        <w:ind w:firstLine="6490" w:firstLineChars="2950"/>
        <w:jc w:val="center"/>
        <w:rPr>
          <w:rFonts w:ascii="楷体" w:hAnsi="楷体" w:eastAsia="楷体" w:cs="楷体"/>
          <w:sz w:val="22"/>
          <w:szCs w:val="24"/>
        </w:rPr>
      </w:pPr>
      <w:r>
        <w:rPr>
          <w:rFonts w:hint="eastAsia" w:ascii="楷体" w:hAnsi="楷体" w:eastAsia="楷体" w:cs="楷体"/>
          <w:sz w:val="22"/>
          <w:szCs w:val="24"/>
        </w:rPr>
        <w:t>单位负责人（签字）：</w:t>
      </w:r>
    </w:p>
    <w:p>
      <w:pPr>
        <w:spacing w:line="320" w:lineRule="exact"/>
        <w:ind w:firstLine="6270" w:firstLineChars="2850"/>
        <w:jc w:val="center"/>
        <w:rPr>
          <w:rFonts w:ascii="楷体" w:hAnsi="楷体" w:eastAsia="楷体" w:cs="楷体"/>
          <w:sz w:val="22"/>
          <w:szCs w:val="24"/>
        </w:rPr>
        <w:sectPr>
          <w:footerReference r:id="rId5" w:type="default"/>
          <w:pgSz w:w="16838" w:h="11906" w:orient="landscape"/>
          <w:pgMar w:top="1800" w:right="1440" w:bottom="1800" w:left="1440" w:header="851" w:footer="992" w:gutter="0"/>
          <w:cols w:space="720" w:num="1"/>
          <w:docGrid w:type="lines" w:linePitch="312" w:charSpace="0"/>
        </w:sectPr>
      </w:pPr>
      <w:r>
        <w:rPr>
          <w:rFonts w:hint="eastAsia" w:ascii="楷体" w:hAnsi="楷体" w:eastAsia="楷体" w:cs="楷体"/>
          <w:sz w:val="22"/>
          <w:szCs w:val="24"/>
        </w:rPr>
        <w:t>填表日期： 2022 年  5 月 22  日</w:t>
      </w:r>
    </w:p>
    <w:p>
      <w:pPr>
        <w:spacing w:line="320" w:lineRule="exact"/>
        <w:ind w:firstLine="6270" w:firstLineChars="2850"/>
        <w:jc w:val="center"/>
        <w:rPr>
          <w:rFonts w:ascii="楷体" w:hAnsi="楷体" w:eastAsia="楷体" w:cs="楷体"/>
          <w:sz w:val="22"/>
          <w:szCs w:val="24"/>
        </w:rPr>
      </w:pPr>
    </w:p>
    <w:p>
      <w:pPr>
        <w:spacing w:before="100" w:beforeAutospacing="1" w:after="100" w:afterAutospacing="1"/>
        <w:jc w:val="left"/>
        <w:rPr>
          <w:rFonts w:ascii="仿宋_GB2312" w:hAnsi="仿宋_GB2312" w:eastAsia="仿宋_GB2312" w:cs="仿宋_GB2312"/>
          <w:sz w:val="24"/>
        </w:rPr>
      </w:pPr>
      <w:r>
        <w:rPr>
          <w:rFonts w:hint="eastAsia" w:ascii="仿宋_GB2312" w:hAnsi="仿宋_GB2312" w:eastAsia="仿宋_GB2312" w:cs="仿宋_GB2312"/>
          <w:sz w:val="24"/>
        </w:rPr>
        <w:t>附件1-2</w:t>
      </w:r>
    </w:p>
    <w:p>
      <w:pPr>
        <w:pStyle w:val="5"/>
        <w:widowControl w:val="0"/>
        <w:spacing w:before="0" w:beforeAutospacing="0" w:after="0" w:afterAutospacing="0" w:line="800" w:lineRule="exact"/>
        <w:jc w:val="center"/>
        <w:rPr>
          <w:rStyle w:val="9"/>
          <w:rFonts w:ascii="Times New Roman" w:hAnsi="Times New Roman" w:eastAsia="方正粗宋简体" w:cs="Times New Roman"/>
          <w:b w:val="0"/>
          <w:bCs w:val="0"/>
          <w:spacing w:val="-23"/>
          <w:sz w:val="36"/>
          <w:szCs w:val="36"/>
        </w:rPr>
      </w:pPr>
      <w:r>
        <w:rPr>
          <w:rStyle w:val="9"/>
          <w:rFonts w:ascii="Times New Roman" w:hAnsi="Times New Roman" w:eastAsia="方正粗宋简体" w:cs="Times New Roman"/>
          <w:b w:val="0"/>
          <w:bCs w:val="0"/>
          <w:spacing w:val="-23"/>
          <w:sz w:val="36"/>
          <w:szCs w:val="36"/>
        </w:rPr>
        <w:t>202</w:t>
      </w:r>
      <w:r>
        <w:rPr>
          <w:rStyle w:val="9"/>
          <w:rFonts w:hint="eastAsia" w:ascii="Times New Roman" w:hAnsi="Times New Roman" w:eastAsia="方正粗宋简体" w:cs="Times New Roman"/>
          <w:b w:val="0"/>
          <w:bCs w:val="0"/>
          <w:spacing w:val="-23"/>
          <w:sz w:val="36"/>
          <w:szCs w:val="36"/>
        </w:rPr>
        <w:t>1</w:t>
      </w:r>
      <w:r>
        <w:rPr>
          <w:rStyle w:val="9"/>
          <w:rFonts w:ascii="Times New Roman" w:hAnsi="Times New Roman" w:eastAsia="方正粗宋简体" w:cs="Times New Roman"/>
          <w:b w:val="0"/>
          <w:bCs w:val="0"/>
          <w:spacing w:val="-23"/>
          <w:sz w:val="36"/>
          <w:szCs w:val="36"/>
        </w:rPr>
        <w:t>年度</w:t>
      </w:r>
      <w:r>
        <w:rPr>
          <w:rFonts w:hint="eastAsia" w:hAnsi="方正粗宋简体" w:eastAsia="方正粗宋简体"/>
          <w:w w:val="85"/>
          <w:sz w:val="36"/>
          <w:szCs w:val="36"/>
        </w:rPr>
        <w:t>城市管理和综合执法局</w:t>
      </w:r>
      <w:r>
        <w:rPr>
          <w:rStyle w:val="9"/>
          <w:rFonts w:ascii="Times New Roman" w:hAnsi="Times New Roman" w:eastAsia="方正粗宋简体" w:cs="Times New Roman"/>
          <w:b w:val="0"/>
          <w:bCs w:val="0"/>
          <w:spacing w:val="-23"/>
          <w:sz w:val="36"/>
          <w:szCs w:val="36"/>
        </w:rPr>
        <w:t>部门（单位）整体支出绩效</w:t>
      </w:r>
    </w:p>
    <w:p>
      <w:pPr>
        <w:pStyle w:val="5"/>
        <w:widowControl w:val="0"/>
        <w:spacing w:before="0" w:beforeAutospacing="0" w:after="0" w:afterAutospacing="0" w:line="800" w:lineRule="exact"/>
        <w:jc w:val="center"/>
        <w:rPr>
          <w:rStyle w:val="9"/>
          <w:rFonts w:ascii="Times New Roman" w:hAnsi="Times New Roman" w:eastAsia="方正粗宋简体" w:cs="Times New Roman"/>
          <w:b w:val="0"/>
          <w:bCs w:val="0"/>
          <w:spacing w:val="-23"/>
          <w:sz w:val="36"/>
          <w:szCs w:val="36"/>
        </w:rPr>
      </w:pPr>
      <w:r>
        <w:rPr>
          <w:rStyle w:val="9"/>
          <w:rFonts w:ascii="Times New Roman" w:hAnsi="Times New Roman" w:eastAsia="方正粗宋简体" w:cs="Times New Roman"/>
          <w:b w:val="0"/>
          <w:bCs w:val="0"/>
          <w:spacing w:val="-23"/>
          <w:sz w:val="36"/>
          <w:szCs w:val="36"/>
        </w:rPr>
        <w:t>自评报告</w:t>
      </w:r>
    </w:p>
    <w:p>
      <w:pPr>
        <w:spacing w:before="240" w:line="560" w:lineRule="exact"/>
        <w:ind w:firstLine="400" w:firstLineChars="200"/>
        <w:jc w:val="left"/>
      </w:pPr>
      <w:r>
        <w:t xml:space="preserve">   </w:t>
      </w:r>
      <w:r>
        <w:rPr>
          <w:rFonts w:eastAsia="仿宋_GB2312"/>
          <w:sz w:val="32"/>
          <w:szCs w:val="32"/>
        </w:rPr>
        <w:t>一、部门（单位）基本概况</w:t>
      </w:r>
    </w:p>
    <w:p>
      <w:pPr>
        <w:spacing w:before="240" w:line="560" w:lineRule="exact"/>
        <w:ind w:firstLine="640" w:firstLineChars="200"/>
        <w:jc w:val="left"/>
        <w:rPr>
          <w:rFonts w:asciiTheme="minorEastAsia" w:hAnsiTheme="minorEastAsia" w:eastAsiaTheme="minorEastAsia"/>
          <w:sz w:val="32"/>
          <w:szCs w:val="32"/>
        </w:rPr>
      </w:pPr>
      <w:r>
        <w:rPr>
          <w:rFonts w:hint="eastAsia" w:cs="宋体" w:asciiTheme="minorEastAsia" w:hAnsiTheme="minorEastAsia" w:eastAsiaTheme="minorEastAsia"/>
          <w:sz w:val="32"/>
          <w:szCs w:val="32"/>
        </w:rPr>
        <w:t>1.负责贯彻执行国家、省、市有关城市管理和综合执法的法律、法规和政策；研究制定和组织实施环境卫生、园林绿化、给排水、污水处理、户外广告、城市照明设施、城市垃圾集中处置、市政基础设施管理与维护等行业的中长期规划和年度工作计划。</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2.负责对城区城市管理和综合执法工作的组织领导、指挥协调、考核监督与绩效评价。</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3.负责“智慧城市”数字城管平台的建设和管理。</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4.负责城市规划区内主次干道的城市市容、环境卫生的管理工作；负责组织实施国家制定的城市市容环境卫生标准定额和行业规范；负责城区生活垃圾的集中处置和垃圾处理场的管理。</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5.负责城市市政公用设施、市政道路、路灯、城市桥涵、城市排水系统的管理、执法和维护工作；负责市政基础设施的一般性改造和扩建工作；负责城市主次干道（包括人行道）因实际和维护需要的临时占用、挖掘管理工作，负责城区地下管网设施的监管工作，参与编制城区市政工程设施规划、计划和市政工程竣工验收。</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6.负责城市规划区园林、绿化的管理工作；负责城区城市雕塑的管理和维护工作；负责城区古树名木的保护和具体承办古树名木的移植审批工作；负责城市规划区内生物多样性保护工作；负责组织实施国家制定的城市园林绿化行业标准和行业规范。</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7.负责城市规划区内城市供水（含二次供水）、计划用水、节约用水的管理和执法工作；负责城市排水许可证的核发；负责城区供水企业的水质监测和指导，管理城市污水处理工作。</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8.负责城市辖区内户外广告设置管理和执法工作。</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9.负责监督管理城市辖区内车辆清洗站、场。</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10.负责城区建筑垃圾倾倒、运输、消纳、处置的管理和执法工作。</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11.负责城市规划区内临时占用道路两侧和公共场地的行政许可。</w:t>
      </w:r>
    </w:p>
    <w:p>
      <w:pPr>
        <w:snapToGrid w:val="0"/>
        <w:spacing w:line="520" w:lineRule="exact"/>
        <w:ind w:firstLine="640" w:firstLineChars="2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12.负责城市规划区内城市管理综合执法。</w:t>
      </w:r>
    </w:p>
    <w:p>
      <w:pPr>
        <w:spacing w:line="540" w:lineRule="exact"/>
        <w:rPr>
          <w:rFonts w:asciiTheme="minorEastAsia" w:hAnsiTheme="minorEastAsia" w:eastAsiaTheme="minorEastAsia"/>
          <w:sz w:val="32"/>
          <w:szCs w:val="32"/>
        </w:rPr>
      </w:pPr>
      <w:r>
        <w:rPr>
          <w:rFonts w:hint="eastAsia" w:cs="Arial" w:asciiTheme="minorEastAsia" w:hAnsiTheme="minorEastAsia" w:eastAsiaTheme="minorEastAsia"/>
          <w:color w:val="333333"/>
          <w:sz w:val="32"/>
          <w:szCs w:val="32"/>
        </w:rPr>
        <w:t>（二）机构设置 </w:t>
      </w:r>
    </w:p>
    <w:p>
      <w:pPr>
        <w:widowControl/>
        <w:ind w:firstLine="640" w:firstLineChars="200"/>
        <w:jc w:val="left"/>
        <w:rPr>
          <w:rFonts w:cs="Arial"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根据上级要求，我单位核定机关行政编制为10名，设局长1名，副局长2名，股室长职数7名， 2021年末实有人员数9人。我单位设下列内设股室：办公室、公用事业管理股（园林绿化管理股）、政策法规股、行政审批服务股、市政设施管理股、督查考评股、财务装备股。</w:t>
      </w:r>
    </w:p>
    <w:p>
      <w:pPr>
        <w:spacing w:line="560" w:lineRule="exact"/>
        <w:ind w:firstLine="640" w:firstLineChars="200"/>
        <w:jc w:val="left"/>
        <w:rPr>
          <w:rFonts w:eastAsia="仿宋_GB2312"/>
          <w:sz w:val="32"/>
          <w:szCs w:val="32"/>
        </w:rPr>
      </w:pPr>
      <w:r>
        <w:rPr>
          <w:rFonts w:eastAsia="仿宋_GB2312"/>
          <w:sz w:val="32"/>
          <w:szCs w:val="32"/>
        </w:rPr>
        <w:t>二、部门（单位）整体支出绩效状况</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w:t>
      </w:r>
      <w:r>
        <w:rPr>
          <w:rFonts w:asciiTheme="minorEastAsia" w:hAnsiTheme="minorEastAsia" w:eastAsiaTheme="minorEastAsia"/>
          <w:sz w:val="32"/>
          <w:szCs w:val="32"/>
        </w:rPr>
        <w:t>年度财政收支</w:t>
      </w:r>
      <w:r>
        <w:rPr>
          <w:rFonts w:hint="eastAsia" w:asciiTheme="minorEastAsia" w:hAnsiTheme="minorEastAsia" w:eastAsiaTheme="minorEastAsia"/>
          <w:sz w:val="32"/>
          <w:szCs w:val="32"/>
        </w:rPr>
        <w:t>情况总体情况说明：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666.55万元。与2020年1522.23万元相比，减少855.68万元，减少56.21%，主要是因为2020年城管局和城管执法大队的公用经费是一起预算收入的，而2021年城管局和城管执法大队的公用经费独立核算，所以2021年收入比2020年减少。</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2021年度支出合计1035.79万元。与2020年1044.56万元相比，减少8.77万元，减少0.84%，主要是因为厉行节约，控制支出。</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入合计666.55万元，与2020年1522.23万元相比，减少855.68万元，减少56.21%，主要是因为2020年城管局和城管执法大队的公用经费是一起预算收入的，而2021年城管局和城管执法大队的公用经费独立核算，所以2021年收入比2020年减少。</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2021年度财政拨款支出合计1035.79万元，与2020年1044.56万元相比，减少8.77万元，减少0.84%，主要是因为厉行节约，控制支出。</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2021年度财政拨款支出年初预算数为2105.78万元，支出决算数为1035.79万元，完成年初预算的49.19%，其中：</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1、科学技术支出（类）技术研究与开发（款）科技成果转化与扩散（项）。</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年初预算为0万元，支出决算为1.02万元，完成预算数的102%，决算数大于年初预算数的主要原因是：年初没有做此项经费的预算。</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2、社会保障和就业支出（类）社会福利（款）其他社会福利支出（项）。</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年初预算为0万元，支出决算为0.24万元，完成预算数的100%，决算数大于年初预算数的主要原因是：年初没有做此项经费的预算。</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社会保障和就业支出（类）其他社会保障和就业支出（款）其他社会保障和就业支出（项）。</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年初预算为60.7万元，支出决算为1.15万元，完成预算数的1.89%，决算数小于年初预算数的主要原因是：本年年初预算全部汇总到社会保障和就业支出。</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3、节能环保支出（类）其他节能环保支出（款）其他节能环保支出（项）。</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年初预算为0万元，支出决算数为171.98万元，完成预算数的17198%，决算数大于年初预算数的主要原因是：年初没有做此项经费的预算。</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4、城乡社区支出（类）城乡社区管理事务（款）行政运行（项）。</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年初预算为1960.36万元，支出决算数为659.55万元，完成预算数的33.64%，决算数小于年初预算数的主要原因是：本年年初预算全部汇总到城乡社区支出。</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城乡社区支出（类）城乡社区管理事务（款）城管执法（项）。</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年初预算为0万元，支出决算数为23.86万元，完成预算数的2386%，决算数大于年初预算数的主要原因是：年初没有做此项经费的预算。</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5、交通运输支出（类）公路水路运输（款） 公路养护（项）。</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年初预算为0万元，支出决算数为201.86万元，完成预算数的20186%，决算数大于年初预算数的主要原因是：年初没有做此项经费的预算。</w:t>
      </w:r>
    </w:p>
    <w:p>
      <w:pPr>
        <w:ind w:firstLine="640" w:firstLineChars="200"/>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国有资产占用情况</w:t>
      </w:r>
      <w:r>
        <w:rPr>
          <w:rFonts w:hint="eastAsia" w:asciiTheme="minorEastAsia" w:hAnsiTheme="minorEastAsia" w:eastAsiaTheme="minorEastAsia"/>
          <w:sz w:val="32"/>
          <w:szCs w:val="32"/>
        </w:rPr>
        <w:t>：</w:t>
      </w:r>
      <w:r>
        <w:rPr>
          <w:rFonts w:hint="eastAsia" w:cs="黑体" w:asciiTheme="minorEastAsia" w:hAnsiTheme="minorEastAsia" w:eastAsiaTheme="minorEastAsia"/>
          <w:color w:val="000000"/>
          <w:sz w:val="32"/>
          <w:szCs w:val="32"/>
        </w:rPr>
        <w:t>截至2021年12月31日，本单位共有车辆4辆，其中，领导干部用车0辆、机要通信用车0辆、应急保障用车0辆、执法执勤用车4辆、特种专业技术用车0辆、其他用车0辆；单位价值50万元以上通用设备0台（套）；单位价值100万元以上专用设备0台（套）。</w:t>
      </w:r>
    </w:p>
    <w:p>
      <w:pPr>
        <w:ind w:firstLine="640" w:firstLineChars="200"/>
        <w:rPr>
          <w:rFonts w:cs="仿宋_GB2312" w:asciiTheme="minorEastAsia" w:hAnsiTheme="minorEastAsia" w:eastAsiaTheme="minorEastAsia"/>
          <w:sz w:val="32"/>
          <w:szCs w:val="32"/>
        </w:rPr>
      </w:pPr>
      <w:r>
        <w:rPr>
          <w:rFonts w:hint="eastAsia" w:asciiTheme="minorEastAsia" w:hAnsiTheme="minorEastAsia" w:eastAsiaTheme="minorEastAsia"/>
          <w:sz w:val="32"/>
          <w:szCs w:val="32"/>
        </w:rPr>
        <w:t>我单位严格按照《预算法》和相关财经纪律要求，厉行节约，杜绝不合理开支，降低行政成本，努力让财政资金发挥最大效益，较好地完成了全年预算。</w:t>
      </w:r>
      <w:r>
        <w:rPr>
          <w:rFonts w:hint="eastAsia" w:cs="仿宋_GB2312" w:asciiTheme="minorEastAsia" w:hAnsiTheme="minorEastAsia" w:eastAsiaTheme="minorEastAsia"/>
          <w:sz w:val="32"/>
          <w:szCs w:val="32"/>
        </w:rPr>
        <w:t>我单位2021年的公务用车运行维护费到12月止支出1.86万元，公务接待费到12月止支出3.47万元。</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根据《部门整体支出绩效评价指标》评分表，自评得分86分，主要绩效如下：</w:t>
      </w:r>
    </w:p>
    <w:p>
      <w:pPr>
        <w:spacing w:line="560" w:lineRule="exact"/>
        <w:ind w:firstLine="472" w:firstLineChars="147"/>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（一）提高政治站位，强化理论武装</w:t>
      </w:r>
    </w:p>
    <w:p>
      <w:pPr>
        <w:spacing w:line="560" w:lineRule="exact"/>
        <w:ind w:firstLine="630" w:firstLineChars="196"/>
        <w:rPr>
          <w:rFonts w:asciiTheme="minorEastAsia" w:hAnsiTheme="minorEastAsia" w:eastAsiaTheme="minorEastAsia"/>
          <w:bCs/>
          <w:color w:val="000000"/>
          <w:sz w:val="32"/>
          <w:szCs w:val="32"/>
        </w:rPr>
      </w:pPr>
      <w:r>
        <w:rPr>
          <w:rFonts w:hint="eastAsia" w:asciiTheme="minorEastAsia" w:hAnsiTheme="minorEastAsia" w:eastAsiaTheme="minorEastAsia"/>
          <w:b/>
          <w:bCs/>
          <w:color w:val="000000"/>
          <w:sz w:val="32"/>
          <w:szCs w:val="32"/>
        </w:rPr>
        <w:t>1.加强思想政治建设。一是</w:t>
      </w:r>
      <w:r>
        <w:rPr>
          <w:rFonts w:hint="eastAsia" w:asciiTheme="minorEastAsia" w:hAnsiTheme="minorEastAsia" w:eastAsiaTheme="minorEastAsia"/>
          <w:bCs/>
          <w:color w:val="000000"/>
          <w:sz w:val="32"/>
          <w:szCs w:val="32"/>
        </w:rPr>
        <w:t>坚持以习近平新时代中国特色社会主义思想为指导，通过党组理论学习中心组、周一工作例会、“学习强国”等形式，认真学习习近平总书记关于疫情防控、乡村振兴和建党一百周年等系列重要讲话、指示、批示精神，深化党风廉政教育，增强“四个意识”，坚定“四个自信”，做到“两个维护”。</w:t>
      </w:r>
      <w:r>
        <w:rPr>
          <w:rFonts w:hint="eastAsia" w:cs="楷体" w:asciiTheme="minorEastAsia" w:hAnsiTheme="minorEastAsia" w:eastAsiaTheme="minorEastAsia"/>
          <w:b/>
          <w:bCs/>
          <w:color w:val="000000"/>
          <w:sz w:val="32"/>
          <w:szCs w:val="32"/>
        </w:rPr>
        <w:t>二是</w:t>
      </w:r>
      <w:r>
        <w:rPr>
          <w:rFonts w:hint="eastAsia" w:cs="楷体" w:asciiTheme="minorEastAsia" w:hAnsiTheme="minorEastAsia" w:eastAsiaTheme="minorEastAsia"/>
          <w:bCs/>
          <w:color w:val="000000"/>
          <w:sz w:val="32"/>
          <w:szCs w:val="32"/>
        </w:rPr>
        <w:t>牢固树立执法为民理念，建立健全“不忘初心、牢记使命”主题教育长效机制，抓紧抓实党史学习教育等党内集中教育。教育引导广大党员干部严守政治纪律和政治规矩，不断提高政治判断力、政治领悟力、政治执行力。注重融会贯通、学以致用，切实把学习成果转化为推动城市管理执法工作高质量发展的强大动力。</w:t>
      </w:r>
    </w:p>
    <w:p>
      <w:pPr>
        <w:spacing w:line="560" w:lineRule="exact"/>
        <w:ind w:firstLine="630" w:firstLineChars="196"/>
        <w:rPr>
          <w:rFonts w:asciiTheme="minorEastAsia" w:hAnsiTheme="minorEastAsia" w:eastAsiaTheme="minorEastAsia"/>
          <w:color w:val="000000"/>
          <w:sz w:val="32"/>
          <w:szCs w:val="32"/>
        </w:rPr>
      </w:pPr>
      <w:r>
        <w:rPr>
          <w:rFonts w:hint="eastAsia" w:asciiTheme="minorEastAsia" w:hAnsiTheme="minorEastAsia" w:eastAsiaTheme="minorEastAsia"/>
          <w:b/>
          <w:bCs/>
          <w:color w:val="000000"/>
          <w:sz w:val="32"/>
          <w:szCs w:val="32"/>
        </w:rPr>
        <w:t>2.</w:t>
      </w:r>
      <w:r>
        <w:rPr>
          <w:rFonts w:hint="eastAsia" w:cs="楷体" w:asciiTheme="minorEastAsia" w:hAnsiTheme="minorEastAsia" w:eastAsiaTheme="minorEastAsia"/>
          <w:b/>
          <w:bCs/>
          <w:color w:val="000000"/>
          <w:sz w:val="32"/>
          <w:szCs w:val="32"/>
        </w:rPr>
        <w:t>加强思想理论武装。</w:t>
      </w:r>
      <w:r>
        <w:rPr>
          <w:rFonts w:hint="eastAsia" w:asciiTheme="minorEastAsia" w:hAnsiTheme="minorEastAsia" w:eastAsiaTheme="minorEastAsia"/>
          <w:color w:val="000000"/>
          <w:sz w:val="32"/>
          <w:szCs w:val="32"/>
        </w:rPr>
        <w:t>制定《新晃侗族自治县城市管理和综合执法局关于开展党史学习教育的实施方案》《新晃侗族自治县城市管理和综合执法局关于开展我为群众办实事实施方案》，成立了党史学习教育领导小组；购置党史学习有关书籍284册。截</w:t>
      </w:r>
      <w:r>
        <w:rPr>
          <w:rFonts w:hint="eastAsia" w:asciiTheme="minorEastAsia" w:hAnsiTheme="minorEastAsia" w:eastAsiaTheme="minorEastAsia"/>
          <w:color w:val="000000"/>
          <w:sz w:val="32"/>
          <w:szCs w:val="32"/>
          <w:lang w:eastAsia="zh-CN"/>
        </w:rPr>
        <w:t>至</w:t>
      </w:r>
      <w:r>
        <w:rPr>
          <w:rFonts w:hint="eastAsia" w:asciiTheme="minorEastAsia" w:hAnsiTheme="minorEastAsia" w:eastAsiaTheme="minorEastAsia"/>
          <w:color w:val="000000"/>
          <w:sz w:val="32"/>
          <w:szCs w:val="32"/>
        </w:rPr>
        <w:t>目前，组织党史集中学习4次，开展专题研讨4次，撰写心得体会284篇，邀请县委党校资深讲师开展党史宣讲教育2次，召开党史学习教育全体党员大会2次，开展主题党日活动6次，主要领导讲授党课4次，开展网络党史知识学习竞赛15次，组织全体党员观看了《榜样5》、《1921》、《见证初心和使命的十一书》党史教育专题节目，开展“理论指引我成长，党的光辉照我心”征文活动，“七一”走访慰问老党员活动，积极参与社区防范金融诈骗宣传活动，帮助干部筑牢思想防线。</w:t>
      </w:r>
    </w:p>
    <w:p>
      <w:pPr>
        <w:spacing w:line="560" w:lineRule="exact"/>
        <w:ind w:firstLine="630" w:firstLineChars="196"/>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3.夯实基层党建基础。</w:t>
      </w:r>
      <w:r>
        <w:rPr>
          <w:rFonts w:hint="eastAsia" w:asciiTheme="minorEastAsia" w:hAnsiTheme="minorEastAsia" w:eastAsiaTheme="minorEastAsia"/>
          <w:color w:val="000000"/>
          <w:sz w:val="32"/>
          <w:szCs w:val="32"/>
        </w:rPr>
        <w:t>加强城市管理执法队伍基层党组织建设，推动党的基层组织在执法队伍中全覆盖。深入推进执法队伍基层党组织标准化规范化建设，严格落实“三会一课”等党的组织生活制度，创新基层党建工作，推动与社区、企业、社会组织党组织互联互动、联建共建。充分发挥基层党组织战斗堡垒和党员先锋模范作用，组织开展“争先创优”“我为群众办实事”等活动，通过典型引路、示范引领，创建一个基层党建示范点，打造一支基层示范执法队，树立先进模范典型，激励广大执法队员担当新使命、展现新作为。</w:t>
      </w:r>
    </w:p>
    <w:p>
      <w:pPr>
        <w:spacing w:line="560" w:lineRule="exact"/>
        <w:ind w:firstLine="643" w:firstLineChars="200"/>
        <w:rPr>
          <w:rFonts w:asciiTheme="minorEastAsia" w:hAnsiTheme="minorEastAsia" w:eastAsiaTheme="minorEastAsia"/>
          <w:color w:val="000000"/>
          <w:sz w:val="32"/>
          <w:szCs w:val="32"/>
        </w:rPr>
      </w:pPr>
      <w:r>
        <w:rPr>
          <w:rFonts w:hint="eastAsia" w:cs="楷体" w:asciiTheme="minorEastAsia" w:hAnsiTheme="minorEastAsia" w:eastAsiaTheme="minorEastAsia"/>
          <w:b/>
          <w:bCs/>
          <w:color w:val="000000"/>
          <w:sz w:val="32"/>
          <w:szCs w:val="32"/>
        </w:rPr>
        <w:t>4.党建引领乡村振兴。</w:t>
      </w:r>
      <w:r>
        <w:rPr>
          <w:rFonts w:hint="eastAsia" w:asciiTheme="minorEastAsia" w:hAnsiTheme="minorEastAsia" w:eastAsiaTheme="minorEastAsia"/>
          <w:color w:val="000000"/>
          <w:sz w:val="32"/>
          <w:szCs w:val="32"/>
        </w:rPr>
        <w:t>2021年是我县开展乡村振兴的开局之年。我局作为晃州镇新村、水洞村的后盾单位，共派驻4名工作队员参与乡村振兴工作。自乡村振兴工作开展以来，我局积极组织单位干部职工深入两村开展全覆盖情况摸底；局主要领导多次到两村开展调研、座谈，与工作队、村支两委领导共同谋划村产业发展。同时，组织单位工会会员购买当地农副产品（黄桃）共计1000余斤。力争走好“开局路”，保质保量完成各项工作任务。</w:t>
      </w:r>
    </w:p>
    <w:p>
      <w:pPr>
        <w:spacing w:line="560" w:lineRule="exact"/>
        <w:ind w:firstLine="482" w:firstLineChars="15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（二）加强疫情防控，深入开展爱国卫生运动</w:t>
      </w:r>
    </w:p>
    <w:p>
      <w:pPr>
        <w:spacing w:line="560" w:lineRule="exact"/>
        <w:ind w:firstLine="643" w:firstLineChars="200"/>
        <w:rPr>
          <w:rFonts w:asciiTheme="minorEastAsia" w:hAnsiTheme="minorEastAsia" w:eastAsiaTheme="minorEastAsia"/>
          <w:color w:val="000000"/>
          <w:sz w:val="32"/>
          <w:szCs w:val="32"/>
        </w:rPr>
      </w:pPr>
      <w:r>
        <w:rPr>
          <w:rFonts w:hint="eastAsia" w:cs="楷体" w:asciiTheme="minorEastAsia" w:hAnsiTheme="minorEastAsia" w:eastAsiaTheme="minorEastAsia"/>
          <w:b/>
          <w:bCs/>
          <w:color w:val="000000"/>
          <w:sz w:val="32"/>
          <w:szCs w:val="32"/>
        </w:rPr>
        <w:t>1.强化预防优先。</w:t>
      </w:r>
      <w:r>
        <w:rPr>
          <w:rFonts w:hint="eastAsia" w:asciiTheme="minorEastAsia" w:hAnsiTheme="minorEastAsia" w:eastAsiaTheme="minorEastAsia"/>
          <w:b/>
          <w:bCs/>
          <w:color w:val="000000"/>
          <w:sz w:val="32"/>
          <w:szCs w:val="32"/>
        </w:rPr>
        <w:t>一是</w:t>
      </w:r>
      <w:r>
        <w:rPr>
          <w:rFonts w:hint="eastAsia" w:asciiTheme="minorEastAsia" w:hAnsiTheme="minorEastAsia" w:eastAsiaTheme="minorEastAsia"/>
          <w:color w:val="000000"/>
          <w:sz w:val="32"/>
          <w:szCs w:val="32"/>
        </w:rPr>
        <w:t>我局始终将疫情防控工作作为重点工作来抓，每周例会必调度和安排疫情防控工作，夯实各二级机构疫情防控责任，全力做好责任区排查工作，</w:t>
      </w:r>
      <w:r>
        <w:rPr>
          <w:rFonts w:hint="eastAsia" w:cs="宋体" w:asciiTheme="minorEastAsia" w:hAnsiTheme="minorEastAsia" w:eastAsiaTheme="minorEastAsia"/>
          <w:color w:val="000000"/>
          <w:sz w:val="32"/>
          <w:szCs w:val="32"/>
        </w:rPr>
        <w:t>积极投入防疫工作一线，出色完成了城北安置区人员摸排</w:t>
      </w:r>
      <w:r>
        <w:rPr>
          <w:rFonts w:hint="eastAsia" w:asciiTheme="minorEastAsia" w:hAnsiTheme="minorEastAsia" w:eastAsiaTheme="minorEastAsia"/>
          <w:color w:val="000000"/>
          <w:sz w:val="32"/>
          <w:szCs w:val="32"/>
        </w:rPr>
        <w:t>。</w:t>
      </w:r>
      <w:r>
        <w:rPr>
          <w:rFonts w:hint="eastAsia" w:asciiTheme="minorEastAsia" w:hAnsiTheme="minorEastAsia" w:eastAsiaTheme="minorEastAsia"/>
          <w:b/>
          <w:bCs/>
          <w:color w:val="000000"/>
          <w:sz w:val="32"/>
          <w:szCs w:val="32"/>
        </w:rPr>
        <w:t>二是</w:t>
      </w:r>
      <w:r>
        <w:rPr>
          <w:rFonts w:hint="eastAsia" w:asciiTheme="minorEastAsia" w:hAnsiTheme="minorEastAsia" w:eastAsiaTheme="minorEastAsia"/>
          <w:color w:val="000000"/>
          <w:sz w:val="32"/>
          <w:szCs w:val="32"/>
        </w:rPr>
        <w:t>根据县防指工作要求，对广州、深圳、南京、张家界、凤凰等地返晃人员进行排查，始终做到每天必查，排查必报、不漏一人。</w:t>
      </w:r>
      <w:r>
        <w:rPr>
          <w:rFonts w:hint="eastAsia" w:asciiTheme="minorEastAsia" w:hAnsiTheme="minorEastAsia" w:eastAsiaTheme="minorEastAsia"/>
          <w:b/>
          <w:bCs/>
          <w:color w:val="000000"/>
          <w:sz w:val="32"/>
          <w:szCs w:val="32"/>
        </w:rPr>
        <w:t>三是</w:t>
      </w:r>
      <w:r>
        <w:rPr>
          <w:rFonts w:hint="eastAsia" w:asciiTheme="minorEastAsia" w:hAnsiTheme="minorEastAsia" w:eastAsiaTheme="minorEastAsia"/>
          <w:color w:val="000000"/>
          <w:sz w:val="32"/>
          <w:szCs w:val="32"/>
        </w:rPr>
        <w:t>组织全城管系统工作人员及时开展疫苗接种工作，目前我局干部职工可接种人员疫苗接种率达到100％。</w:t>
      </w:r>
      <w:r>
        <w:rPr>
          <w:rFonts w:hint="eastAsia" w:asciiTheme="minorEastAsia" w:hAnsiTheme="minorEastAsia" w:eastAsiaTheme="minorEastAsia"/>
          <w:b/>
          <w:bCs/>
          <w:color w:val="000000"/>
          <w:sz w:val="32"/>
          <w:szCs w:val="32"/>
        </w:rPr>
        <w:t>四是</w:t>
      </w:r>
      <w:r>
        <w:rPr>
          <w:rFonts w:hint="eastAsia" w:asciiTheme="minorEastAsia" w:hAnsiTheme="minorEastAsia" w:eastAsiaTheme="minorEastAsia"/>
          <w:color w:val="000000"/>
          <w:sz w:val="32"/>
          <w:szCs w:val="32"/>
        </w:rPr>
        <w:t>制定《新晃侗族自治县城市管理和综合执法局关于印发2021年夏季新冠肺炎疫情应急防控工作方案的通知》，积极应对疫情防控工作，做好“三类人员”摸排、环卫工人体温监测等疫情防控工作。</w:t>
      </w:r>
      <w:r>
        <w:rPr>
          <w:rFonts w:hint="eastAsia" w:asciiTheme="minorEastAsia" w:hAnsiTheme="minorEastAsia" w:eastAsiaTheme="minorEastAsia"/>
          <w:b/>
          <w:color w:val="000000"/>
          <w:sz w:val="32"/>
          <w:szCs w:val="32"/>
        </w:rPr>
        <w:t>五是</w:t>
      </w:r>
      <w:r>
        <w:rPr>
          <w:rFonts w:hint="eastAsia" w:asciiTheme="minorEastAsia" w:hAnsiTheme="minorEastAsia" w:eastAsiaTheme="minorEastAsia"/>
          <w:color w:val="000000"/>
          <w:sz w:val="32"/>
          <w:szCs w:val="32"/>
        </w:rPr>
        <w:t>组建疫情防控网格（太阳坪社区），形成局、社区和群众三道防线，建立网格化管理机制，及时发现防控隐患线索。</w:t>
      </w:r>
    </w:p>
    <w:p>
      <w:pPr>
        <w:spacing w:line="560" w:lineRule="exact"/>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2.打造健康环境。</w:t>
      </w:r>
      <w:r>
        <w:rPr>
          <w:rFonts w:hint="eastAsia" w:asciiTheme="minorEastAsia" w:hAnsiTheme="minorEastAsia" w:eastAsiaTheme="minorEastAsia"/>
          <w:color w:val="000000"/>
          <w:sz w:val="32"/>
          <w:szCs w:val="32"/>
        </w:rPr>
        <w:t>深入开展以清除卫生死角、整治脏乱为重点的爱国卫生运动，持续开展“洗城”、清洁家园活动，在做好主次干道清扫保洁的同时，重点加大对背街小巷、城乡结合部和沟渠沿线等薄弱环节的整治力度，开展全方位、无死角排查，清脏治乱，全面清除裸露垃圾和积存垃圾。集中开展公共区域清洁消毒，每天对全城区19座公厕、6座垃圾中转站进行消毒杀菌，对城区10余条道路人行道、窨井、垃圾桶、果皮箱进行洗刷，保持干净整洁。县城区80万m</w:t>
      </w:r>
      <w:r>
        <w:rPr>
          <w:rFonts w:hint="eastAsia" w:cs="宋体" w:asciiTheme="minorEastAsia" w:hAnsiTheme="minorEastAsia" w:eastAsiaTheme="minorEastAsia"/>
          <w:color w:val="000000"/>
          <w:sz w:val="32"/>
          <w:szCs w:val="32"/>
        </w:rPr>
        <w:t>²</w:t>
      </w:r>
      <w:r>
        <w:rPr>
          <w:rFonts w:hint="eastAsia" w:cs="仿宋_GB2312" w:asciiTheme="minorEastAsia" w:hAnsiTheme="minorEastAsia" w:eastAsiaTheme="minorEastAsia"/>
          <w:color w:val="000000"/>
          <w:sz w:val="32"/>
          <w:szCs w:val="32"/>
        </w:rPr>
        <w:t>清扫保洁面积全部实行市场化运行，机械化清扫率达</w:t>
      </w:r>
      <w:r>
        <w:rPr>
          <w:rFonts w:hint="eastAsia" w:asciiTheme="minorEastAsia" w:hAnsiTheme="minorEastAsia" w:eastAsiaTheme="minorEastAsia"/>
          <w:color w:val="000000"/>
          <w:sz w:val="32"/>
          <w:szCs w:val="32"/>
        </w:rPr>
        <w:t>82%；清运生活垃圾1.1万余吨，做到“两个100%”，即垃圾日产日清100%，密闭运输100%。</w:t>
      </w:r>
      <w:r>
        <w:rPr>
          <w:rFonts w:hint="eastAsia" w:cs="宋体" w:asciiTheme="minorEastAsia" w:hAnsiTheme="minorEastAsia" w:eastAsiaTheme="minorEastAsia"/>
          <w:color w:val="000000"/>
          <w:sz w:val="32"/>
          <w:szCs w:val="32"/>
        </w:rPr>
        <w:t>同时，加大资金投入更新移动垃圾桶200个，固定式果皮箱84个，更换破损果皮箱内胆100个。</w:t>
      </w:r>
    </w:p>
    <w:p>
      <w:pPr>
        <w:spacing w:line="560" w:lineRule="exact"/>
        <w:ind w:firstLine="482" w:firstLineChars="15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（三）完善制度建设，规范执法行为</w:t>
      </w:r>
    </w:p>
    <w:p>
      <w:pPr>
        <w:spacing w:line="560" w:lineRule="exact"/>
        <w:ind w:firstLine="630" w:firstLineChars="196"/>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1.狠抓机关效能建设。</w:t>
      </w:r>
      <w:r>
        <w:rPr>
          <w:rFonts w:hint="eastAsia" w:asciiTheme="minorEastAsia" w:hAnsiTheme="minorEastAsia" w:eastAsiaTheme="minorEastAsia"/>
          <w:color w:val="000000"/>
          <w:sz w:val="32"/>
          <w:szCs w:val="32"/>
        </w:rPr>
        <w:t>紧密结合机关效能建设和治理庸懒散等活动，成立了以党组书记、局长为组长，党组成员、副局长为副组长，各部门负责人为成员的效能建设领导小组，进一步完善考核制度，坚持脸部识别打卡制度，每个月召开一次工作汇报会，及时通报工作、交流情况、表扬先进、批评落后;不定期</w:t>
      </w:r>
      <w:r>
        <w:rPr>
          <w:rFonts w:hint="eastAsia" w:cs="宋体" w:asciiTheme="minorEastAsia" w:hAnsiTheme="minorEastAsia" w:eastAsiaTheme="minorEastAsia"/>
          <w:color w:val="000000"/>
          <w:sz w:val="32"/>
          <w:szCs w:val="32"/>
        </w:rPr>
        <w:t>组织局督查人员</w:t>
      </w:r>
      <w:r>
        <w:rPr>
          <w:rFonts w:hint="eastAsia" w:asciiTheme="minorEastAsia" w:hAnsiTheme="minorEastAsia" w:eastAsiaTheme="minorEastAsia"/>
          <w:color w:val="000000"/>
          <w:sz w:val="32"/>
          <w:szCs w:val="32"/>
        </w:rPr>
        <w:t>开展明查暗访，走访社会群众、服务对象，着力解决好群众反映的热点、难点问题。</w:t>
      </w:r>
    </w:p>
    <w:p>
      <w:pPr>
        <w:spacing w:line="560" w:lineRule="exact"/>
        <w:ind w:firstLine="630" w:firstLineChars="196"/>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2.建立绩效工作考评制度。</w:t>
      </w:r>
      <w:r>
        <w:rPr>
          <w:rFonts w:hint="eastAsia" w:asciiTheme="minorEastAsia" w:hAnsiTheme="minorEastAsia" w:eastAsiaTheme="minorEastAsia"/>
          <w:color w:val="000000"/>
          <w:sz w:val="32"/>
          <w:szCs w:val="32"/>
        </w:rPr>
        <w:t>为便于引导、帮助、激励和沟通工作，制定出台了《新晃侗族自治县城市管理和综合执法局绩效考核督查操作办法》以制度管理，奖优罚劣，不断提升服务能力。奖励重点向业务骨干、一线人员和做出突出业绩的工作人员倾斜，将绩效与工作完成情况挂钩，健全公平公正的分配制度，促进城市管理科学发展。截至目前，共下发督查通报11期，通报迟到、旷班、不在岗、在岗不履职等问题共计239人次，扣罚当事人年终绩效奖金共11480元，配合纪委派驻纪检组立案查处违法问题1件，查处办理纪委监委移交问题线索3件，目前已依法依规处理3人。</w:t>
      </w:r>
    </w:p>
    <w:p>
      <w:pPr>
        <w:spacing w:line="560" w:lineRule="exact"/>
        <w:ind w:firstLine="482" w:firstLineChars="15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（四）落实信访督办工作，维护社会安全稳定</w:t>
      </w:r>
    </w:p>
    <w:p>
      <w:pPr>
        <w:spacing w:line="560" w:lineRule="exact"/>
        <w:ind w:firstLine="482" w:firstLineChars="15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1.健全完善信访件办理制度。</w:t>
      </w:r>
      <w:r>
        <w:rPr>
          <w:rFonts w:hint="eastAsia" w:asciiTheme="minorEastAsia" w:hAnsiTheme="minorEastAsia" w:eastAsiaTheme="minorEastAsia"/>
          <w:color w:val="000000"/>
          <w:sz w:val="32"/>
          <w:szCs w:val="32"/>
        </w:rPr>
        <w:t>(1)建立领导定期接访制度。我局将每月星期三下午定为信访接待日。2021年，共接待群众来访50余人次。(2)依法依规办理各类信访案件。着重对群众举报件、县长热线、部门转办等各类信访件进行督办。经办人员认真开展调查取证工作，限期办理、限期反馈，做到快办快结。受理领导批示督办件6件，部门转办件1件， 12345县长热线、网络舆情50件，群众来电来访270次，办结率100%。(3)继续完善城市管理矛盾纠纷调处机制。针对城市管理出现的邻里纠纷问题，通过邀请相关部门、街道、人大代表、政协委员、社区、双方当事人等予以调解，既达到执法效果，又妥善解决双方之间的纠纷。</w:t>
      </w:r>
    </w:p>
    <w:p>
      <w:pPr>
        <w:spacing w:line="560" w:lineRule="exact"/>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2.认真办理人大、政协提案议案。</w:t>
      </w:r>
      <w:r>
        <w:rPr>
          <w:rFonts w:hint="eastAsia" w:asciiTheme="minorEastAsia" w:hAnsiTheme="minorEastAsia" w:eastAsiaTheme="minorEastAsia"/>
          <w:color w:val="000000"/>
          <w:sz w:val="32"/>
          <w:szCs w:val="32"/>
        </w:rPr>
        <w:t>经办人员以高度的责任感和使命感，深入调查，分析问题，做好建议、提案的办理工作。2021年办理人大议案3件（一般类1件，B类2件），政协提案7件,微建议21件，实现见面率、回复率、满意率三个100%。</w:t>
      </w:r>
    </w:p>
    <w:p>
      <w:pPr>
        <w:spacing w:line="560" w:lineRule="exact"/>
        <w:ind w:firstLine="482" w:firstLineChars="15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（五）强化法制建设，提升队伍整体素质</w:t>
      </w:r>
    </w:p>
    <w:p>
      <w:pPr>
        <w:spacing w:line="560" w:lineRule="exact"/>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1.加强法治教育培训。</w:t>
      </w:r>
      <w:r>
        <w:rPr>
          <w:rFonts w:hint="eastAsia" w:asciiTheme="minorEastAsia" w:hAnsiTheme="minorEastAsia" w:eastAsiaTheme="minorEastAsia"/>
          <w:color w:val="000000"/>
          <w:sz w:val="32"/>
          <w:szCs w:val="32"/>
        </w:rPr>
        <w:t>坚持领导干部带头遵法学法，带头讲法治课，做学法表率。健全行政执法人员岗位培训制度，不定期开展行政执法人员通用法律知识、专业法律知识、新法律法规等专题培训。同时，组织开展以案释法、旁听庭审、警示教育等，推进学法形式创新。把法治教育纳入新进人员入职培训，业务骨干晋职培训的必训内容。2021年7月26日组织全体执法人员开展《中华人民共和国行政处罚法》（2021修正），切实提升依法行政能力。</w:t>
      </w:r>
    </w:p>
    <w:p>
      <w:pPr>
        <w:spacing w:line="560" w:lineRule="exact"/>
        <w:ind w:firstLine="645"/>
        <w:rPr>
          <w:rFonts w:asciiTheme="minorEastAsia" w:hAnsiTheme="minorEastAsia" w:eastAsiaTheme="minorEastAsia"/>
          <w:bCs/>
          <w:color w:val="000000"/>
          <w:sz w:val="32"/>
          <w:szCs w:val="32"/>
        </w:rPr>
      </w:pPr>
      <w:r>
        <w:rPr>
          <w:rFonts w:hint="eastAsia" w:asciiTheme="minorEastAsia" w:hAnsiTheme="minorEastAsia" w:eastAsiaTheme="minorEastAsia"/>
          <w:b/>
          <w:bCs/>
          <w:color w:val="000000"/>
          <w:sz w:val="32"/>
          <w:szCs w:val="32"/>
        </w:rPr>
        <w:t>2.</w:t>
      </w:r>
      <w:r>
        <w:rPr>
          <w:rFonts w:hint="eastAsia" w:asciiTheme="minorEastAsia" w:hAnsiTheme="minorEastAsia" w:eastAsiaTheme="minorEastAsia"/>
          <w:b/>
          <w:color w:val="000000"/>
          <w:sz w:val="32"/>
          <w:szCs w:val="32"/>
        </w:rPr>
        <w:t>落实“八五”普法规划。</w:t>
      </w:r>
      <w:r>
        <w:rPr>
          <w:rFonts w:hint="eastAsia" w:asciiTheme="minorEastAsia" w:hAnsiTheme="minorEastAsia" w:eastAsiaTheme="minorEastAsia"/>
          <w:color w:val="000000"/>
          <w:sz w:val="32"/>
          <w:szCs w:val="32"/>
        </w:rPr>
        <w:t>深入学习宣传习近平总书记关于全面依法治国的重要论述，突出学习宣传宪法，深入学习宣传中国特色社会主义法律体系，大力学习宣传促进保障和改善民生的相关法律法规，大力学习宣传环境保护、资源能源节约利用等方面的法律法规，继续深化法治宣传教育主题活动。</w:t>
      </w:r>
      <w:r>
        <w:rPr>
          <w:rFonts w:hint="eastAsia" w:asciiTheme="minorEastAsia" w:hAnsiTheme="minorEastAsia" w:eastAsiaTheme="minorEastAsia"/>
          <w:bCs/>
          <w:color w:val="000000"/>
          <w:sz w:val="32"/>
          <w:szCs w:val="32"/>
        </w:rPr>
        <w:t>2021年全系统参加学习人员134人，参加考试人员122人（其中12人符合免考条件），达到学习、考试合格两个100％。</w:t>
      </w:r>
    </w:p>
    <w:p>
      <w:pPr>
        <w:spacing w:line="560" w:lineRule="exact"/>
        <w:ind w:firstLine="645"/>
        <w:rPr>
          <w:rFonts w:cs="仿宋_GB2312" w:asciiTheme="minorEastAsia" w:hAnsiTheme="minorEastAsia" w:eastAsiaTheme="minorEastAsia"/>
          <w:color w:val="000000"/>
          <w:sz w:val="32"/>
          <w:szCs w:val="32"/>
        </w:rPr>
      </w:pPr>
      <w:r>
        <w:rPr>
          <w:rFonts w:hint="eastAsia" w:asciiTheme="minorEastAsia" w:hAnsiTheme="minorEastAsia" w:eastAsiaTheme="minorEastAsia"/>
          <w:b/>
          <w:bCs/>
          <w:color w:val="000000"/>
          <w:sz w:val="32"/>
          <w:szCs w:val="32"/>
        </w:rPr>
        <w:t>3.</w:t>
      </w:r>
      <w:r>
        <w:rPr>
          <w:rFonts w:hint="eastAsia" w:cs="楷体" w:asciiTheme="minorEastAsia" w:hAnsiTheme="minorEastAsia" w:eastAsiaTheme="minorEastAsia"/>
          <w:b/>
          <w:bCs/>
          <w:color w:val="000000"/>
          <w:sz w:val="32"/>
          <w:szCs w:val="32"/>
        </w:rPr>
        <w:t>推进行政审批制度改革。</w:t>
      </w:r>
      <w:r>
        <w:rPr>
          <w:rFonts w:hint="eastAsia" w:cs="仿宋_GB2312" w:asciiTheme="minorEastAsia" w:hAnsiTheme="minorEastAsia" w:eastAsiaTheme="minorEastAsia"/>
          <w:color w:val="000000"/>
          <w:sz w:val="32"/>
          <w:szCs w:val="32"/>
        </w:rPr>
        <w:t>坚持把“服务内容、办事程序、审批依据、申报材料、承诺极限及收费标准”这六项内容作为公开的工作方式，深化</w:t>
      </w:r>
      <w:r>
        <w:rPr>
          <w:rFonts w:hint="eastAsia" w:asciiTheme="minorEastAsia" w:hAnsiTheme="minorEastAsia" w:eastAsiaTheme="minorEastAsia"/>
          <w:color w:val="000000"/>
          <w:sz w:val="32"/>
          <w:szCs w:val="32"/>
        </w:rPr>
        <w:t>行政审批制度改革的市场化、社会化、法治化、标准化、精准化、便民化。截</w:t>
      </w:r>
      <w:r>
        <w:rPr>
          <w:rFonts w:hint="eastAsia" w:asciiTheme="minorEastAsia" w:hAnsiTheme="minorEastAsia" w:eastAsiaTheme="minorEastAsia"/>
          <w:color w:val="000000"/>
          <w:sz w:val="32"/>
          <w:szCs w:val="32"/>
          <w:lang w:eastAsia="zh-CN"/>
        </w:rPr>
        <w:t>至</w:t>
      </w:r>
      <w:r>
        <w:rPr>
          <w:rFonts w:hint="eastAsia" w:asciiTheme="minorEastAsia" w:hAnsiTheme="minorEastAsia" w:eastAsiaTheme="minorEastAsia"/>
          <w:color w:val="000000"/>
          <w:sz w:val="32"/>
          <w:szCs w:val="32"/>
        </w:rPr>
        <w:t>目前，共</w:t>
      </w:r>
      <w:r>
        <w:rPr>
          <w:rFonts w:hint="eastAsia" w:cs="仿宋_GB2312" w:asciiTheme="minorEastAsia" w:hAnsiTheme="minorEastAsia" w:eastAsiaTheme="minorEastAsia"/>
          <w:color w:val="000000"/>
          <w:sz w:val="32"/>
          <w:szCs w:val="32"/>
        </w:rPr>
        <w:t>受理各类审批业务54件，办结件54，办结率均为100%。其中，户外广告设置许可审批受理9件，建筑垃圾（渣土）运输核准审批受理22件，临时占用挖掘城市街道两侧人行道23件，窗口共接待来电来访接待100余次，其中来访咨询40余次，电话咨询50余次。</w:t>
      </w:r>
    </w:p>
    <w:p>
      <w:pPr>
        <w:spacing w:line="560" w:lineRule="exact"/>
        <w:ind w:firstLine="482" w:firstLineChars="150"/>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（六）认真履职，努力提升城市管理综合执法水平</w:t>
      </w:r>
    </w:p>
    <w:p>
      <w:pPr>
        <w:spacing w:line="560" w:lineRule="exact"/>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1.推进网格精细化管理，提升市容市貌监管能力。聚焦市容市貌整洁有序，依托城市管理数字化平台（2021年7月底投入使用），推进县城区网格化管理，切实加强城区、广场、集贸市场及周边管控力度，坚决取缔占道经营、出店经营、乱泼乱倒等行为。严格落实“门前四包”责任制，规范户外广告牌匾设置，对陈旧、破损的督促业主进行更换，及时清理清除小广告“牛皮</w:t>
      </w:r>
      <w:r>
        <w:rPr>
          <w:rFonts w:hint="eastAsia" w:asciiTheme="minorEastAsia" w:hAnsiTheme="minorEastAsia" w:eastAsiaTheme="minorEastAsia"/>
          <w:color w:val="000000"/>
          <w:sz w:val="32"/>
          <w:szCs w:val="32"/>
          <w:lang w:eastAsia="zh-CN"/>
        </w:rPr>
        <w:t>癣</w:t>
      </w:r>
      <w:bookmarkStart w:id="0" w:name="_GoBack"/>
      <w:bookmarkEnd w:id="0"/>
      <w:r>
        <w:rPr>
          <w:rFonts w:hint="eastAsia" w:asciiTheme="minorEastAsia" w:hAnsiTheme="minorEastAsia" w:eastAsiaTheme="minorEastAsia"/>
          <w:color w:val="000000"/>
          <w:sz w:val="32"/>
          <w:szCs w:val="32"/>
        </w:rPr>
        <w:t>”。开展校园周边环境专项整治，建立和完善长效管理机制，有效维护学校周边环境秩序，切实为广大师生创造一个整洁有序的学习生活环境。截至目前，共办理各类执法案件753起（其中：简易程序735起，一般程序35起），整治出店经营16500次，流动摊贩违法占道经营9600余起，清理牛皮癣17800余处；拆除乱搭乱建行为700余处，清理无主乱堆乱放建筑垃圾200余车；规范门头招牌236处，拆除巨幅广告26幅；横幅110余条。</w:t>
      </w:r>
    </w:p>
    <w:p>
      <w:pPr>
        <w:spacing w:line="560" w:lineRule="exact"/>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2.强化渣土运输源头治理，提升渣土管理水平。</w:t>
      </w:r>
      <w:r>
        <w:rPr>
          <w:rFonts w:hint="eastAsia" w:asciiTheme="minorEastAsia" w:hAnsiTheme="minorEastAsia" w:eastAsiaTheme="minorEastAsia"/>
          <w:color w:val="000000"/>
          <w:sz w:val="32"/>
          <w:szCs w:val="32"/>
        </w:rPr>
        <w:t>全面</w:t>
      </w:r>
      <w:r>
        <w:rPr>
          <w:rFonts w:hint="eastAsia" w:asciiTheme="minorEastAsia" w:hAnsiTheme="minorEastAsia" w:eastAsiaTheme="minorEastAsia"/>
          <w:bCs/>
          <w:color w:val="000000"/>
          <w:sz w:val="32"/>
          <w:szCs w:val="32"/>
        </w:rPr>
        <w:t>加强渣土运输源头治理，促进建筑垃圾运输处置规范有序。</w:t>
      </w:r>
      <w:r>
        <w:rPr>
          <w:rFonts w:hint="eastAsia" w:asciiTheme="minorEastAsia" w:hAnsiTheme="minorEastAsia" w:eastAsiaTheme="minorEastAsia"/>
          <w:b/>
          <w:bCs/>
          <w:color w:val="000000"/>
          <w:sz w:val="32"/>
          <w:szCs w:val="32"/>
        </w:rPr>
        <w:t>一是</w:t>
      </w:r>
      <w:r>
        <w:rPr>
          <w:rFonts w:hint="eastAsia" w:asciiTheme="minorEastAsia" w:hAnsiTheme="minorEastAsia" w:eastAsiaTheme="minorEastAsia"/>
          <w:bCs/>
          <w:color w:val="000000"/>
          <w:sz w:val="32"/>
          <w:szCs w:val="32"/>
        </w:rPr>
        <w:t>加强车辆运输途中“监控”，指定渣土运输线路、运输时间，严禁乱倒和沿途抛、洒、滴、漏，特别</w:t>
      </w:r>
      <w:r>
        <w:rPr>
          <w:rFonts w:hint="eastAsia" w:asciiTheme="minorEastAsia" w:hAnsiTheme="minorEastAsia" w:eastAsiaTheme="minorEastAsia"/>
          <w:color w:val="000000"/>
          <w:sz w:val="32"/>
          <w:szCs w:val="32"/>
        </w:rPr>
        <w:t>对老晃城入口、高速公路出口、高铁西站、龙溪口大桥头、晃洲国际大酒店等重点路段进行重点、不定期巡查（采取“白＋黑”模式）</w:t>
      </w:r>
      <w:r>
        <w:rPr>
          <w:rFonts w:hint="eastAsia" w:cs="宋体" w:asciiTheme="minorEastAsia" w:hAnsiTheme="minorEastAsia" w:eastAsiaTheme="minorEastAsia"/>
          <w:color w:val="000000"/>
          <w:sz w:val="32"/>
          <w:szCs w:val="32"/>
        </w:rPr>
        <w:t>；</w:t>
      </w:r>
      <w:r>
        <w:rPr>
          <w:rFonts w:hint="eastAsia" w:cs="宋体" w:asciiTheme="minorEastAsia" w:hAnsiTheme="minorEastAsia" w:eastAsiaTheme="minorEastAsia"/>
          <w:b/>
          <w:bCs/>
          <w:color w:val="000000"/>
          <w:sz w:val="32"/>
          <w:szCs w:val="32"/>
        </w:rPr>
        <w:t>二是</w:t>
      </w:r>
      <w:r>
        <w:rPr>
          <w:rFonts w:hint="eastAsia" w:asciiTheme="minorEastAsia" w:hAnsiTheme="minorEastAsia" w:eastAsiaTheme="minorEastAsia"/>
          <w:color w:val="000000"/>
          <w:sz w:val="32"/>
          <w:szCs w:val="32"/>
        </w:rPr>
        <w:t>加强城区内重点在建工地（翡翠城、滨江一号、乐府廊庭等）监管。截至目前，共发放建筑渣土“准运证”111张，检查从事弃土运输的车辆500余台次，对未覆盖渣土车立案查处办结11起，超载30辆次（移交交通部门）。</w:t>
      </w:r>
    </w:p>
    <w:p>
      <w:pPr>
        <w:spacing w:line="560" w:lineRule="exact"/>
        <w:ind w:firstLine="645"/>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3.重拳拆除违建，铁腕推进治理。一是</w:t>
      </w:r>
      <w:r>
        <w:rPr>
          <w:rFonts w:hint="eastAsia" w:asciiTheme="minorEastAsia" w:hAnsiTheme="minorEastAsia" w:eastAsiaTheme="minorEastAsia"/>
          <w:color w:val="000000"/>
          <w:sz w:val="32"/>
          <w:szCs w:val="32"/>
        </w:rPr>
        <w:t>对于违法建筑，始终本着“强势拆违、惩防并举、加强监督“的原则，建立查封施工现场，供水、供电部门协助断水、断电等措施，做到“凡违建、必查处”；</w:t>
      </w:r>
      <w:r>
        <w:rPr>
          <w:rFonts w:hint="eastAsia" w:asciiTheme="minorEastAsia" w:hAnsiTheme="minorEastAsia" w:eastAsiaTheme="minorEastAsia"/>
          <w:b/>
          <w:color w:val="000000"/>
          <w:sz w:val="32"/>
          <w:szCs w:val="32"/>
        </w:rPr>
        <w:t>二是</w:t>
      </w:r>
      <w:r>
        <w:rPr>
          <w:rFonts w:hint="eastAsia" w:asciiTheme="minorEastAsia" w:hAnsiTheme="minorEastAsia" w:eastAsiaTheme="minorEastAsia"/>
          <w:color w:val="000000"/>
          <w:sz w:val="32"/>
          <w:szCs w:val="32"/>
        </w:rPr>
        <w:t>实行“首层结案制”将违法建设消灭在萌芽状态。对于查处的违建，任继续抢建的，举全局之力依法强制拆除，以高压态势遏制违法建设。此举措得到了领导和社会的一致好评，达到“拆除一处、震慑一方、处罚一人、教育一批”的目的；</w:t>
      </w:r>
      <w:r>
        <w:rPr>
          <w:rFonts w:hint="eastAsia" w:asciiTheme="minorEastAsia" w:hAnsiTheme="minorEastAsia" w:eastAsiaTheme="minorEastAsia"/>
          <w:b/>
          <w:color w:val="000000"/>
          <w:sz w:val="32"/>
          <w:szCs w:val="32"/>
        </w:rPr>
        <w:t>三是</w:t>
      </w:r>
      <w:r>
        <w:rPr>
          <w:rFonts w:hint="eastAsia" w:asciiTheme="minorEastAsia" w:hAnsiTheme="minorEastAsia" w:eastAsiaTheme="minorEastAsia"/>
          <w:color w:val="000000"/>
          <w:sz w:val="32"/>
          <w:szCs w:val="32"/>
        </w:rPr>
        <w:t>实行全方位巡查，从源头上控制违法建设。按照“条块结合、以块为主”的原则，实施“防违全天候、巡查无缝隙、责任全覆盖”的防违治违工作网络，落实分片责任，使一些盲目建设的业户减少了损失，也消除了管理与被管理之间的矛盾。截至目前，共下达《责令停止违法行为通知书》14份，《限期整改通知书》7份，立案1起，限期自行拆除35</w:t>
      </w:r>
      <w:r>
        <w:rPr>
          <w:rFonts w:hint="eastAsia" w:cs="宋体" w:asciiTheme="minorEastAsia" w:hAnsiTheme="minorEastAsia" w:eastAsiaTheme="minorEastAsia"/>
          <w:color w:val="000000"/>
          <w:sz w:val="32"/>
          <w:szCs w:val="32"/>
        </w:rPr>
        <w:t>㎡</w:t>
      </w:r>
      <w:r>
        <w:rPr>
          <w:rFonts w:hint="eastAsia" w:cs="仿宋_GB2312" w:asciiTheme="minorEastAsia" w:hAnsiTheme="minorEastAsia" w:eastAsiaTheme="minorEastAsia"/>
          <w:color w:val="000000"/>
          <w:sz w:val="32"/>
          <w:szCs w:val="32"/>
        </w:rPr>
        <w:t>，强拆</w:t>
      </w:r>
      <w:r>
        <w:rPr>
          <w:rFonts w:hint="eastAsia" w:asciiTheme="minorEastAsia" w:hAnsiTheme="minorEastAsia" w:eastAsiaTheme="minorEastAsia"/>
          <w:color w:val="000000"/>
          <w:sz w:val="32"/>
          <w:szCs w:val="32"/>
        </w:rPr>
        <w:t>722.18</w:t>
      </w:r>
      <w:r>
        <w:rPr>
          <w:rFonts w:hint="eastAsia" w:cs="宋体" w:asciiTheme="minorEastAsia" w:hAnsiTheme="minorEastAsia" w:eastAsiaTheme="minorEastAsia"/>
          <w:color w:val="000000"/>
          <w:sz w:val="32"/>
          <w:szCs w:val="32"/>
        </w:rPr>
        <w:t>㎡</w:t>
      </w:r>
      <w:r>
        <w:rPr>
          <w:rFonts w:hint="eastAsia" w:cs="仿宋_GB2312" w:asciiTheme="minorEastAsia" w:hAnsiTheme="minorEastAsia" w:eastAsiaTheme="minorEastAsia"/>
          <w:color w:val="000000"/>
          <w:sz w:val="32"/>
          <w:szCs w:val="32"/>
        </w:rPr>
        <w:t>，查封</w:t>
      </w:r>
      <w:r>
        <w:rPr>
          <w:rFonts w:hint="eastAsia" w:asciiTheme="minorEastAsia" w:hAnsiTheme="minorEastAsia" w:eastAsiaTheme="minorEastAsia"/>
          <w:color w:val="000000"/>
          <w:sz w:val="32"/>
          <w:szCs w:val="32"/>
        </w:rPr>
        <w:t>4起，新增违法建设势头得到遏制。</w:t>
      </w:r>
    </w:p>
    <w:p>
      <w:pPr>
        <w:spacing w:line="560" w:lineRule="exact"/>
        <w:ind w:firstLine="645"/>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4.严格停车管理，提升城市文明。</w:t>
      </w:r>
      <w:r>
        <w:rPr>
          <w:rFonts w:hint="eastAsia" w:asciiTheme="minorEastAsia" w:hAnsiTheme="minorEastAsia" w:eastAsiaTheme="minorEastAsia"/>
          <w:color w:val="000000"/>
          <w:sz w:val="32"/>
          <w:szCs w:val="32"/>
        </w:rPr>
        <w:t>车辆管理坚持通过细化工作措施、明确部门职责、压实工作责任，努力改善城市道路停车秩序。2021年成立一支车辆管理队伍（车辆管理中队：编制6人）负责对县城区主次干道人行道、公共广场以及配合县交通管理中心其他车辆管理。截至目前，开展夜间对车辆违停整治40次，抄牌5600余台，批评教育300余次，违规停放摩托车现场拖离3500余台；实施了道路停车泊位统一管理，提高了道路资源利用能力。</w:t>
      </w:r>
    </w:p>
    <w:p>
      <w:pPr>
        <w:spacing w:line="560" w:lineRule="exact"/>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5.</w:t>
      </w:r>
      <w:r>
        <w:rPr>
          <w:rFonts w:hint="eastAsia" w:cs="楷体" w:asciiTheme="minorEastAsia" w:hAnsiTheme="minorEastAsia" w:eastAsiaTheme="minorEastAsia"/>
          <w:b/>
          <w:bCs/>
          <w:color w:val="000000"/>
          <w:sz w:val="32"/>
          <w:szCs w:val="32"/>
        </w:rPr>
        <w:t>严格公共场所管理，提升城市形象。</w:t>
      </w:r>
      <w:r>
        <w:rPr>
          <w:rFonts w:hint="eastAsia" w:asciiTheme="minorEastAsia" w:hAnsiTheme="minorEastAsia" w:eastAsiaTheme="minorEastAsia"/>
          <w:b/>
          <w:bCs/>
          <w:color w:val="000000"/>
          <w:sz w:val="32"/>
          <w:szCs w:val="32"/>
        </w:rPr>
        <w:t>一是</w:t>
      </w:r>
      <w:r>
        <w:rPr>
          <w:rFonts w:hint="eastAsia" w:asciiTheme="minorEastAsia" w:hAnsiTheme="minorEastAsia" w:eastAsiaTheme="minorEastAsia"/>
          <w:color w:val="000000"/>
          <w:sz w:val="32"/>
          <w:szCs w:val="32"/>
        </w:rPr>
        <w:t>对县城区公共广场坚持全天候管理，加强设施维护、卫生保洁以及噪音的严格管制，严厉打击各种恶意破坏行为。</w:t>
      </w:r>
      <w:r>
        <w:rPr>
          <w:rFonts w:hint="eastAsia" w:asciiTheme="minorEastAsia" w:hAnsiTheme="minorEastAsia" w:eastAsiaTheme="minorEastAsia"/>
          <w:b/>
          <w:bCs/>
          <w:color w:val="000000"/>
          <w:sz w:val="32"/>
          <w:szCs w:val="32"/>
        </w:rPr>
        <w:t>二是</w:t>
      </w:r>
      <w:r>
        <w:rPr>
          <w:rFonts w:hint="eastAsia" w:asciiTheme="minorEastAsia" w:hAnsiTheme="minorEastAsia" w:eastAsiaTheme="minorEastAsia"/>
          <w:color w:val="000000"/>
          <w:sz w:val="32"/>
          <w:szCs w:val="32"/>
        </w:rPr>
        <w:t>开展鼓楼广场规范性管理，制定了《鼓楼广场十个不准》、《关于规范鼓楼广场管理的通知》，依法取缔存在安全隐患的卡丁车（30余辆）、观光自行车（60余辆）和广场内废弃的摊位，堆放篷布、娱乐设施等20多处。同时，对鼓楼广场游乐设施经营户采取限时、限地、及清及走的人性化管理模式。</w:t>
      </w:r>
      <w:r>
        <w:rPr>
          <w:rFonts w:hint="eastAsia" w:asciiTheme="minorEastAsia" w:hAnsiTheme="minorEastAsia" w:eastAsiaTheme="minorEastAsia"/>
          <w:b/>
          <w:bCs/>
          <w:color w:val="000000"/>
          <w:sz w:val="32"/>
          <w:szCs w:val="32"/>
        </w:rPr>
        <w:t>三是</w:t>
      </w:r>
      <w:r>
        <w:rPr>
          <w:rFonts w:hint="eastAsia" w:asciiTheme="minorEastAsia" w:hAnsiTheme="minorEastAsia" w:eastAsiaTheme="minorEastAsia"/>
          <w:color w:val="000000"/>
          <w:sz w:val="32"/>
          <w:szCs w:val="32"/>
        </w:rPr>
        <w:t>在鼓楼广场、竹王大道、城北观光道等沿河入口处放置了50多块防洪警示牌，安排专人值守做好防溺工作。组织4批180多人次对城标广场、鼓楼广场、城北观光道等地因洪水堆积的淤泥进行清理。</w:t>
      </w:r>
    </w:p>
    <w:p>
      <w:pPr>
        <w:spacing w:line="560" w:lineRule="exact"/>
        <w:ind w:firstLine="472" w:firstLineChars="147"/>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（七）抓好基础设施建设，提升公共服务能力</w:t>
      </w:r>
    </w:p>
    <w:p>
      <w:pPr>
        <w:spacing w:line="560" w:lineRule="exact"/>
        <w:ind w:firstLine="643" w:firstLineChars="200"/>
        <w:rPr>
          <w:rFonts w:cs="仿宋_GB2312"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1.加强市政设施管护，保障城市安全运行。</w:t>
      </w:r>
      <w:r>
        <w:rPr>
          <w:rFonts w:hint="eastAsia" w:asciiTheme="minorEastAsia" w:hAnsiTheme="minorEastAsia" w:eastAsiaTheme="minorEastAsia"/>
          <w:color w:val="000000"/>
          <w:sz w:val="32"/>
          <w:szCs w:val="32"/>
        </w:rPr>
        <w:t>2021年坚持建管并重、以建促管，全力推进重大基础设施工程、城市道路畅通工程、生态文明提质工程等重点工程和为民办实事项目建设。</w:t>
      </w:r>
      <w:r>
        <w:rPr>
          <w:rFonts w:hint="eastAsia" w:asciiTheme="minorEastAsia" w:hAnsiTheme="minorEastAsia" w:eastAsiaTheme="minorEastAsia"/>
          <w:b/>
          <w:color w:val="000000"/>
          <w:sz w:val="32"/>
          <w:szCs w:val="32"/>
        </w:rPr>
        <w:t>一是</w:t>
      </w:r>
      <w:r>
        <w:rPr>
          <w:rFonts w:hint="eastAsia" w:cs="仿宋_GB2312" w:asciiTheme="minorEastAsia" w:hAnsiTheme="minorEastAsia" w:eastAsiaTheme="minorEastAsia"/>
          <w:color w:val="000000"/>
          <w:sz w:val="32"/>
          <w:szCs w:val="32"/>
        </w:rPr>
        <w:t>补损县城道路路面23500</w:t>
      </w:r>
      <w:r>
        <w:rPr>
          <w:rFonts w:hint="eastAsia" w:cs="宋体"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rPr>
        <w:t>改造人行道300多</w:t>
      </w:r>
      <w:r>
        <w:rPr>
          <w:rFonts w:hint="eastAsia" w:cs="宋体" w:asciiTheme="minorEastAsia" w:hAnsiTheme="minorEastAsia" w:eastAsiaTheme="minorEastAsia"/>
          <w:color w:val="000000"/>
          <w:sz w:val="32"/>
          <w:szCs w:val="32"/>
        </w:rPr>
        <w:t>㎡</w:t>
      </w:r>
      <w:r>
        <w:rPr>
          <w:rFonts w:hint="eastAsia" w:cs="仿宋_GB2312" w:asciiTheme="minorEastAsia" w:hAnsiTheme="minorEastAsia" w:eastAsiaTheme="minorEastAsia"/>
          <w:color w:val="000000"/>
          <w:sz w:val="32"/>
          <w:szCs w:val="32"/>
        </w:rPr>
        <w:t>，维修人行道</w:t>
      </w:r>
      <w:r>
        <w:rPr>
          <w:rFonts w:hint="eastAsia" w:asciiTheme="minorEastAsia" w:hAnsiTheme="minorEastAsia" w:eastAsiaTheme="minorEastAsia"/>
          <w:color w:val="000000"/>
          <w:sz w:val="32"/>
          <w:szCs w:val="32"/>
        </w:rPr>
        <w:t>278</w:t>
      </w:r>
      <w:r>
        <w:rPr>
          <w:rFonts w:hint="eastAsia" w:cs="宋体" w:asciiTheme="minorEastAsia" w:hAnsiTheme="minorEastAsia" w:eastAsiaTheme="minorEastAsia"/>
          <w:color w:val="000000"/>
          <w:sz w:val="32"/>
          <w:szCs w:val="32"/>
        </w:rPr>
        <w:t>㎡，城区绿化栏杆零星维修7500多米，下水道疏通、清淤1400m，雨水井盖清淤380座，下水道改造420m；安装下水道窨井防坠网460套，更换下水井盖45座。对夜郎广场、鼓楼广场、商业步行街麻石板破损零星维修500㎡，公厕下水道疏通55次，广场沟盖更换维修290m。</w:t>
      </w:r>
      <w:r>
        <w:rPr>
          <w:rFonts w:hint="eastAsia" w:cs="仿宋_GB2312" w:asciiTheme="minorEastAsia" w:hAnsiTheme="minorEastAsia" w:eastAsiaTheme="minorEastAsia"/>
          <w:color w:val="000000"/>
          <w:sz w:val="32"/>
          <w:szCs w:val="32"/>
        </w:rPr>
        <w:t>同时，针对县城区19所公厕不同程度进行改造维修（10所公厕共62个蹲位改为水箱式蹲位，7所公厕地砖，墙面砖进行翻修，2所公厕墙面重新粉刷。更换各类零部件200余个）；</w:t>
      </w:r>
      <w:r>
        <w:rPr>
          <w:rFonts w:hint="eastAsia" w:cs="仿宋_GB2312" w:asciiTheme="minorEastAsia" w:hAnsiTheme="minorEastAsia" w:eastAsiaTheme="minorEastAsia"/>
          <w:b/>
          <w:color w:val="000000"/>
          <w:sz w:val="32"/>
          <w:szCs w:val="32"/>
        </w:rPr>
        <w:t>二是</w:t>
      </w:r>
      <w:r>
        <w:rPr>
          <w:rFonts w:hint="eastAsia" w:asciiTheme="minorEastAsia" w:hAnsiTheme="minorEastAsia" w:eastAsiaTheme="minorEastAsia"/>
          <w:color w:val="000000"/>
          <w:sz w:val="32"/>
          <w:szCs w:val="32"/>
        </w:rPr>
        <w:t>根据2021年省级文明城市复查工作要求，我局会同县公路养护中心、县公安局交通管理中心实施了城区沥青混凝土冷补沥青路面补损、背街小巷沥青混凝土路面铺设等项目。截</w:t>
      </w:r>
      <w:r>
        <w:rPr>
          <w:rFonts w:hint="eastAsia" w:asciiTheme="minorEastAsia" w:hAnsiTheme="minorEastAsia" w:eastAsiaTheme="minorEastAsia"/>
          <w:color w:val="000000"/>
          <w:sz w:val="32"/>
          <w:szCs w:val="32"/>
          <w:lang w:eastAsia="zh-CN"/>
        </w:rPr>
        <w:t>至</w:t>
      </w:r>
      <w:r>
        <w:rPr>
          <w:rFonts w:hint="eastAsia" w:asciiTheme="minorEastAsia" w:hAnsiTheme="minorEastAsia" w:eastAsiaTheme="minorEastAsia"/>
          <w:color w:val="000000"/>
          <w:sz w:val="32"/>
          <w:szCs w:val="32"/>
        </w:rPr>
        <w:t>目前，城管部门（635.6万元）、公路养护中心（331.1万元）创文巩固项目均已完工，交通管理中心（430万元）目前完成60％工程量。</w:t>
      </w:r>
    </w:p>
    <w:p>
      <w:pPr>
        <w:spacing w:line="560" w:lineRule="exact"/>
        <w:ind w:firstLine="643" w:firstLineChars="200"/>
        <w:rPr>
          <w:rFonts w:asciiTheme="minorEastAsia" w:hAnsiTheme="minorEastAsia" w:eastAsiaTheme="minorEastAsia"/>
          <w:color w:val="000000"/>
          <w:sz w:val="32"/>
          <w:szCs w:val="32"/>
        </w:rPr>
      </w:pPr>
      <w:r>
        <w:rPr>
          <w:rFonts w:hint="eastAsia" w:cs="仿宋_GB2312" w:asciiTheme="minorEastAsia" w:hAnsiTheme="minorEastAsia" w:eastAsiaTheme="minorEastAsia"/>
          <w:b/>
          <w:color w:val="000000"/>
          <w:sz w:val="32"/>
          <w:szCs w:val="32"/>
        </w:rPr>
        <w:t>2.加强给排水监管，保障城市</w:t>
      </w:r>
      <w:r>
        <w:rPr>
          <w:rFonts w:hint="eastAsia" w:asciiTheme="minorEastAsia" w:hAnsiTheme="minorEastAsia" w:eastAsiaTheme="minorEastAsia"/>
          <w:b/>
          <w:color w:val="000000"/>
          <w:sz w:val="32"/>
          <w:szCs w:val="32"/>
        </w:rPr>
        <w:t>用水安全。</w:t>
      </w:r>
      <w:r>
        <w:rPr>
          <w:rFonts w:hint="eastAsia" w:cs="宋体" w:asciiTheme="minorEastAsia" w:hAnsiTheme="minorEastAsia" w:eastAsiaTheme="minorEastAsia"/>
          <w:b/>
          <w:bCs/>
          <w:color w:val="000000"/>
          <w:sz w:val="32"/>
          <w:szCs w:val="32"/>
        </w:rPr>
        <w:t>一是</w:t>
      </w:r>
      <w:r>
        <w:rPr>
          <w:rFonts w:hint="eastAsia" w:cs="宋体" w:asciiTheme="minorEastAsia" w:hAnsiTheme="minorEastAsia" w:eastAsiaTheme="minorEastAsia"/>
          <w:b/>
          <w:color w:val="000000"/>
          <w:sz w:val="32"/>
          <w:szCs w:val="32"/>
        </w:rPr>
        <w:t>加强供水监管。</w:t>
      </w:r>
      <w:r>
        <w:rPr>
          <w:rFonts w:hint="eastAsia" w:cs="仿宋" w:asciiTheme="minorEastAsia" w:hAnsiTheme="minorEastAsia" w:eastAsiaTheme="minorEastAsia"/>
          <w:color w:val="000000"/>
          <w:sz w:val="32"/>
          <w:szCs w:val="32"/>
        </w:rPr>
        <w:t>组织协调开展2021年城市节约用水宣传周活动，发放宣传手册300余份，并通过手机平台推送节水信息。定期对供水安全和直饮水水质进行抽样检测，并对供水企业水质自检和第三方抽检情况报告单进行审查和备案，制定了《二次供水设施初步设计评审意见表》和《二次供水设施工程竣工验收备案表》，并严格执行标准要求，加强管理，确保安全饮水。目前二次供水设施初步设计审查项目1个，竣工验收备案项目4个。</w:t>
      </w:r>
      <w:r>
        <w:rPr>
          <w:rFonts w:hint="eastAsia" w:cs="仿宋" w:asciiTheme="minorEastAsia" w:hAnsiTheme="minorEastAsia" w:eastAsiaTheme="minorEastAsia"/>
          <w:b/>
          <w:bCs/>
          <w:color w:val="000000"/>
          <w:sz w:val="32"/>
          <w:szCs w:val="32"/>
        </w:rPr>
        <w:t>二是</w:t>
      </w:r>
      <w:r>
        <w:rPr>
          <w:rFonts w:hint="eastAsia" w:cs="仿宋" w:asciiTheme="minorEastAsia" w:hAnsiTheme="minorEastAsia" w:eastAsiaTheme="minorEastAsia"/>
          <w:b/>
          <w:color w:val="000000"/>
          <w:sz w:val="32"/>
          <w:szCs w:val="32"/>
        </w:rPr>
        <w:t>加强排水监管。</w:t>
      </w:r>
      <w:r>
        <w:rPr>
          <w:rFonts w:hint="eastAsia" w:cs="仿宋" w:asciiTheme="minorEastAsia" w:hAnsiTheme="minorEastAsia" w:eastAsiaTheme="minorEastAsia"/>
          <w:color w:val="000000"/>
          <w:sz w:val="32"/>
          <w:szCs w:val="32"/>
        </w:rPr>
        <w:t>每周2次安排专人对污水处理厂监管，污水收集率30.71%，累计污水排放总量为1067.57万吨，平均处理率达90%，出水水质均达到国家一类排放标准，同时，启动编制我县城区污水处理“一厂一策”提质增效实施方案，完成城北、城西区域管网普查和老城区雨污分流改造工程项目发改入库工作。</w:t>
      </w:r>
      <w:r>
        <w:rPr>
          <w:rFonts w:hint="eastAsia" w:cs="仿宋" w:asciiTheme="minorEastAsia" w:hAnsiTheme="minorEastAsia" w:eastAsiaTheme="minorEastAsia"/>
          <w:b/>
          <w:bCs/>
          <w:color w:val="000000"/>
          <w:sz w:val="32"/>
          <w:szCs w:val="32"/>
        </w:rPr>
        <w:t>三是</w:t>
      </w:r>
      <w:r>
        <w:rPr>
          <w:rFonts w:hint="eastAsia" w:cs="仿宋" w:asciiTheme="minorEastAsia" w:hAnsiTheme="minorEastAsia" w:eastAsiaTheme="minorEastAsia"/>
          <w:b/>
          <w:color w:val="000000"/>
          <w:sz w:val="32"/>
          <w:szCs w:val="32"/>
        </w:rPr>
        <w:t>城市建设项目配套绿化专项审批工作。</w:t>
      </w:r>
      <w:r>
        <w:rPr>
          <w:rFonts w:hint="eastAsia" w:cs="仿宋" w:asciiTheme="minorEastAsia" w:hAnsiTheme="minorEastAsia" w:eastAsiaTheme="minorEastAsia"/>
          <w:color w:val="000000"/>
          <w:sz w:val="32"/>
          <w:szCs w:val="32"/>
        </w:rPr>
        <w:t>根据上级相关精神文件，对全县建设工程的绿地率进行控制和专项审批，目前共审批绿线管控建设项目38个，其中城北征拆安置户2个，城西14个（需政府统一实施异地绿化737.62㎡），其余22个项目共实施绿地面积审批35703.97㎡；征收异地绿化建设费用4.14万元。</w:t>
      </w:r>
    </w:p>
    <w:p>
      <w:pPr>
        <w:spacing w:line="560" w:lineRule="exact"/>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3.全力做好防汛抗旱防范，保障人民生命财产安全。</w:t>
      </w:r>
      <w:r>
        <w:rPr>
          <w:rFonts w:hint="eastAsia" w:asciiTheme="minorEastAsia" w:hAnsiTheme="minorEastAsia" w:eastAsiaTheme="minorEastAsia"/>
          <w:b/>
          <w:bCs/>
          <w:color w:val="000000"/>
          <w:sz w:val="32"/>
          <w:szCs w:val="32"/>
        </w:rPr>
        <w:t>一是</w:t>
      </w:r>
      <w:r>
        <w:rPr>
          <w:rFonts w:hint="eastAsia" w:asciiTheme="minorEastAsia" w:hAnsiTheme="minorEastAsia" w:eastAsiaTheme="minorEastAsia"/>
          <w:color w:val="000000"/>
          <w:sz w:val="32"/>
          <w:szCs w:val="32"/>
        </w:rPr>
        <w:t>成立应急抢险领导小组和应急小分队（25人），负责我局汛期防涝、应急抢险工作。</w:t>
      </w:r>
      <w:r>
        <w:rPr>
          <w:rFonts w:hint="eastAsia" w:asciiTheme="minorEastAsia" w:hAnsiTheme="minorEastAsia" w:eastAsiaTheme="minorEastAsia"/>
          <w:b/>
          <w:bCs/>
          <w:color w:val="000000"/>
          <w:sz w:val="32"/>
          <w:szCs w:val="32"/>
        </w:rPr>
        <w:t>二是</w:t>
      </w:r>
      <w:r>
        <w:rPr>
          <w:rFonts w:hint="eastAsia" w:asciiTheme="minorEastAsia" w:hAnsiTheme="minorEastAsia" w:eastAsiaTheme="minorEastAsia"/>
          <w:color w:val="000000"/>
          <w:sz w:val="32"/>
          <w:szCs w:val="32"/>
        </w:rPr>
        <w:t>出台应急方案。制定了《城市排水防涝应急预案》，明确职责分工，最大限度的减少灾害损失，保障人民生命财产安全。</w:t>
      </w:r>
      <w:r>
        <w:rPr>
          <w:rFonts w:hint="eastAsia" w:asciiTheme="minorEastAsia" w:hAnsiTheme="minorEastAsia" w:eastAsiaTheme="minorEastAsia"/>
          <w:b/>
          <w:bCs/>
          <w:color w:val="000000"/>
          <w:sz w:val="32"/>
          <w:szCs w:val="32"/>
        </w:rPr>
        <w:t>三是</w:t>
      </w:r>
      <w:r>
        <w:rPr>
          <w:rFonts w:hint="eastAsia" w:asciiTheme="minorEastAsia" w:hAnsiTheme="minorEastAsia" w:eastAsiaTheme="minorEastAsia"/>
          <w:color w:val="000000"/>
          <w:sz w:val="32"/>
          <w:szCs w:val="32"/>
        </w:rPr>
        <w:t>进行常规监测，加强区域重点监测，强化应对措施。除常规巡查外，在降雨期间对重点区域和重点地段强化巡查和监测措施在防汛期间，对此老城区下水官网进行疏通和防洪责任区域巡查，确保汛期零失误发生（共出动103次）。</w:t>
      </w:r>
    </w:p>
    <w:p>
      <w:pPr>
        <w:spacing w:line="560" w:lineRule="exact"/>
        <w:ind w:firstLine="642"/>
        <w:rPr>
          <w:rFonts w:cs="仿宋"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4.</w:t>
      </w:r>
      <w:r>
        <w:rPr>
          <w:rFonts w:hint="eastAsia" w:cs="楷体" w:asciiTheme="minorEastAsia" w:hAnsiTheme="minorEastAsia" w:eastAsiaTheme="minorEastAsia"/>
          <w:b/>
          <w:bCs/>
          <w:color w:val="000000"/>
          <w:sz w:val="32"/>
          <w:szCs w:val="32"/>
        </w:rPr>
        <w:t>全力做好行业安全生产管理工作。</w:t>
      </w:r>
      <w:r>
        <w:rPr>
          <w:rFonts w:hint="eastAsia" w:cs="仿宋" w:asciiTheme="minorEastAsia" w:hAnsiTheme="minorEastAsia" w:eastAsiaTheme="minorEastAsia"/>
          <w:b/>
          <w:bCs/>
          <w:color w:val="000000"/>
          <w:sz w:val="32"/>
          <w:szCs w:val="32"/>
        </w:rPr>
        <w:t>一是</w:t>
      </w:r>
      <w:r>
        <w:rPr>
          <w:rFonts w:hint="eastAsia" w:cs="仿宋" w:asciiTheme="minorEastAsia" w:hAnsiTheme="minorEastAsia" w:eastAsiaTheme="minorEastAsia"/>
          <w:color w:val="000000"/>
          <w:sz w:val="32"/>
          <w:szCs w:val="32"/>
        </w:rPr>
        <w:t>开展安全生产自查工作。起草制定《</w:t>
      </w:r>
      <w:r>
        <w:rPr>
          <w:rFonts w:hint="eastAsia" w:asciiTheme="minorEastAsia" w:hAnsiTheme="minorEastAsia" w:eastAsiaTheme="minorEastAsia"/>
          <w:color w:val="000000"/>
          <w:sz w:val="32"/>
          <w:szCs w:val="32"/>
        </w:rPr>
        <w:t>新晃侗族自治县城市运行生产安全事故应急预案</w:t>
      </w:r>
      <w:r>
        <w:rPr>
          <w:rFonts w:hint="eastAsia" w:cs="仿宋" w:asciiTheme="minorEastAsia" w:hAnsiTheme="minorEastAsia" w:eastAsiaTheme="minorEastAsia"/>
          <w:color w:val="000000"/>
          <w:sz w:val="32"/>
          <w:szCs w:val="32"/>
        </w:rPr>
        <w:t>》，开展安全生产隐患排查，建立安全隐患台账并闭环管理，认真收集和完成各项安全生产工作任务指标要求。</w:t>
      </w:r>
      <w:r>
        <w:rPr>
          <w:rFonts w:hint="eastAsia" w:cs="仿宋" w:asciiTheme="minorEastAsia" w:hAnsiTheme="minorEastAsia" w:eastAsiaTheme="minorEastAsia"/>
          <w:b/>
          <w:bCs/>
          <w:color w:val="000000"/>
          <w:sz w:val="32"/>
          <w:szCs w:val="32"/>
        </w:rPr>
        <w:t>二是</w:t>
      </w:r>
      <w:r>
        <w:rPr>
          <w:rFonts w:hint="eastAsia" w:asciiTheme="minorEastAsia" w:hAnsiTheme="minorEastAsia" w:eastAsiaTheme="minorEastAsia"/>
          <w:color w:val="000000"/>
          <w:sz w:val="32"/>
          <w:szCs w:val="32"/>
        </w:rPr>
        <w:t>开展安全生产月活动。学习关于安全生产重要论述和观看《生命重于泰山》，增强从根本上消除事故隐患的思想自觉和行动自觉。</w:t>
      </w:r>
      <w:r>
        <w:rPr>
          <w:rFonts w:hint="eastAsia" w:asciiTheme="minorEastAsia" w:hAnsiTheme="minorEastAsia" w:eastAsiaTheme="minorEastAsia"/>
          <w:b/>
          <w:bCs/>
          <w:color w:val="000000"/>
          <w:sz w:val="32"/>
          <w:szCs w:val="32"/>
        </w:rPr>
        <w:t>三是</w:t>
      </w:r>
      <w:r>
        <w:rPr>
          <w:rFonts w:hint="eastAsia" w:cs="仿宋" w:asciiTheme="minorEastAsia" w:hAnsiTheme="minorEastAsia" w:eastAsiaTheme="minorEastAsia"/>
          <w:color w:val="000000"/>
          <w:sz w:val="32"/>
          <w:szCs w:val="32"/>
        </w:rPr>
        <w:t>完善城市运行安全生产体制机制，不断加强城市运行安全管理基础能力，全面提升安全水平，结合我局行业管理实际，持续开展《新晃侗族自治城市运行安全专项整治三年行动实施方案》，建立城市运行安全隐患排查、预防控制体系、安全专项整治和健全规范工作机制。截至目前，排查整治隐患113起，检查单位26家，开展督导检查32次，督导问题13个，行政处罚16起。</w:t>
      </w:r>
    </w:p>
    <w:p>
      <w:pPr>
        <w:spacing w:line="560" w:lineRule="exact"/>
        <w:ind w:firstLine="482" w:firstLineChars="15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（八）聚焦项目攻坚，推进重点项目落地生效</w:t>
      </w:r>
    </w:p>
    <w:p>
      <w:pPr>
        <w:spacing w:line="560" w:lineRule="exact"/>
        <w:ind w:firstLine="645"/>
        <w:rPr>
          <w:rFonts w:cs="仿宋_GB2312" w:asciiTheme="minorEastAsia" w:hAnsiTheme="minorEastAsia" w:eastAsiaTheme="minorEastAsia"/>
          <w:bCs/>
          <w:color w:val="000000"/>
          <w:sz w:val="32"/>
          <w:szCs w:val="32"/>
        </w:rPr>
      </w:pPr>
      <w:r>
        <w:rPr>
          <w:rFonts w:hint="eastAsia" w:asciiTheme="minorEastAsia" w:hAnsiTheme="minorEastAsia" w:eastAsiaTheme="minorEastAsia"/>
          <w:b/>
          <w:color w:val="000000"/>
          <w:sz w:val="32"/>
          <w:szCs w:val="32"/>
        </w:rPr>
        <w:t>1.扎实推进城区生活垃圾分类。</w:t>
      </w:r>
      <w:r>
        <w:rPr>
          <w:rFonts w:hint="eastAsia" w:cs="仿宋_GB2312" w:asciiTheme="minorEastAsia" w:hAnsiTheme="minorEastAsia" w:eastAsiaTheme="minorEastAsia"/>
          <w:bCs/>
          <w:color w:val="000000"/>
          <w:sz w:val="32"/>
          <w:szCs w:val="32"/>
        </w:rPr>
        <w:t>城市垃圾分类项目是怀化市2021年重点民生项目，根据怀化市人民政府办公室关于印发《怀化市城市生活垃圾分类工作实施方案》怀政办函</w:t>
      </w:r>
      <w:r>
        <w:rPr>
          <w:rFonts w:cs="仿宋_GB2312" w:asciiTheme="minorEastAsia" w:hAnsiTheme="minorEastAsia" w:eastAsiaTheme="minorEastAsia"/>
          <w:bCs/>
          <w:color w:val="000000"/>
          <w:sz w:val="32"/>
          <w:szCs w:val="32"/>
        </w:rPr>
        <w:t>〔</w:t>
      </w:r>
      <w:r>
        <w:rPr>
          <w:rFonts w:hint="eastAsia" w:cs="仿宋_GB2312" w:asciiTheme="minorEastAsia" w:hAnsiTheme="minorEastAsia" w:eastAsiaTheme="minorEastAsia"/>
          <w:bCs/>
          <w:color w:val="000000"/>
          <w:sz w:val="32"/>
          <w:szCs w:val="32"/>
        </w:rPr>
        <w:t>2020</w:t>
      </w:r>
      <w:r>
        <w:rPr>
          <w:rFonts w:cs="仿宋_GB2312" w:asciiTheme="minorEastAsia" w:hAnsiTheme="minorEastAsia" w:eastAsiaTheme="minorEastAsia"/>
          <w:bCs/>
          <w:color w:val="000000"/>
          <w:sz w:val="32"/>
          <w:szCs w:val="32"/>
        </w:rPr>
        <w:t>〕</w:t>
      </w:r>
      <w:r>
        <w:rPr>
          <w:rFonts w:hint="eastAsia" w:cs="仿宋_GB2312" w:asciiTheme="minorEastAsia" w:hAnsiTheme="minorEastAsia" w:eastAsiaTheme="minorEastAsia"/>
          <w:bCs/>
          <w:color w:val="000000"/>
          <w:sz w:val="32"/>
          <w:szCs w:val="32"/>
        </w:rPr>
        <w:t>41号文件要求，今年我县的工作任务是建设1个生活垃圾分类示范小区，实现县城区行政事业单位垃圾分类全覆盖。目前，已制定《新晃侗族自治县城市生活垃圾分类工作实施方案》，</w:t>
      </w:r>
      <w:r>
        <w:rPr>
          <w:rFonts w:hint="eastAsia" w:asciiTheme="minorEastAsia" w:hAnsiTheme="minorEastAsia" w:eastAsiaTheme="minorEastAsia"/>
          <w:color w:val="000000"/>
          <w:sz w:val="32"/>
          <w:szCs w:val="32"/>
        </w:rPr>
        <w:t>县人民政府常务会议（8月12日召开）已审议通过（示范小区：29.6348万元，行政中心：19.44万元，共计49.0748万元），公共机构生活垃圾分类已基本覆盖，</w:t>
      </w:r>
      <w:r>
        <w:rPr>
          <w:rFonts w:hint="eastAsia" w:cs="仿宋_GB2312" w:asciiTheme="minorEastAsia" w:hAnsiTheme="minorEastAsia" w:eastAsiaTheme="minorEastAsia"/>
          <w:bCs/>
          <w:color w:val="000000"/>
          <w:sz w:val="32"/>
          <w:szCs w:val="32"/>
        </w:rPr>
        <w:t>预计12月底全面完成。</w:t>
      </w:r>
      <w:r>
        <w:rPr>
          <w:rFonts w:hint="eastAsia" w:asciiTheme="minorEastAsia" w:hAnsiTheme="minorEastAsia" w:eastAsiaTheme="minorEastAsia"/>
          <w:color w:val="000000"/>
          <w:sz w:val="32"/>
          <w:szCs w:val="32"/>
        </w:rPr>
        <w:t>示范小区已实现生活垃圾分类全覆盖。</w:t>
      </w:r>
    </w:p>
    <w:p>
      <w:pPr>
        <w:spacing w:line="560" w:lineRule="exact"/>
        <w:ind w:firstLine="627" w:firstLineChars="196"/>
        <w:rPr>
          <w:rFonts w:cs="仿宋" w:asciiTheme="minorEastAsia" w:hAnsiTheme="minorEastAsia" w:eastAsiaTheme="minorEastAsia"/>
          <w:color w:val="000000"/>
          <w:sz w:val="32"/>
          <w:szCs w:val="32"/>
        </w:rPr>
      </w:pPr>
      <w:r>
        <w:rPr>
          <w:rFonts w:hint="eastAsia" w:cs="仿宋_GB2312" w:asciiTheme="minorEastAsia" w:hAnsiTheme="minorEastAsia" w:eastAsiaTheme="minorEastAsia"/>
          <w:bCs/>
          <w:color w:val="000000"/>
          <w:sz w:val="32"/>
          <w:szCs w:val="32"/>
        </w:rPr>
        <w:t>2.</w:t>
      </w:r>
      <w:r>
        <w:rPr>
          <w:rFonts w:hint="eastAsia" w:asciiTheme="minorEastAsia" w:hAnsiTheme="minorEastAsia" w:eastAsiaTheme="minorEastAsia"/>
          <w:b/>
          <w:bCs/>
          <w:color w:val="000000"/>
          <w:sz w:val="32"/>
          <w:szCs w:val="32"/>
        </w:rPr>
        <w:t>开展“一厂一策”方案编制。</w:t>
      </w:r>
      <w:r>
        <w:rPr>
          <w:rFonts w:hint="eastAsia" w:asciiTheme="minorEastAsia" w:hAnsiTheme="minorEastAsia" w:eastAsiaTheme="minorEastAsia"/>
          <w:color w:val="000000"/>
          <w:sz w:val="32"/>
          <w:szCs w:val="32"/>
        </w:rPr>
        <w:t>为推进我县生活污水管网提质增效，已向县政府申报专项资金编制“一厂一策”方案，湖南大学设计研究院针对我县管网雨污合流、管网淤积、破损、沉降等诸多病害开展管网普查，编制了“一厂一策”方案。同时，我局正在积极准备防洪排涝老城区雨污分流项目，目前该项目已完成入库程序（该项目可研投资估算：总投资4300万，中央预算内投资2600万，地方预算1000万，银行贷款700万）。</w:t>
      </w:r>
      <w:r>
        <w:rPr>
          <w:rFonts w:hint="eastAsia" w:cs="宋体" w:asciiTheme="minorEastAsia" w:hAnsiTheme="minorEastAsia" w:eastAsiaTheme="minorEastAsia"/>
          <w:color w:val="000000"/>
          <w:sz w:val="32"/>
          <w:szCs w:val="32"/>
        </w:rPr>
        <w:t>于2021年9月已通过专家评审，并于2021年10月14日通过县政府常务会审议。</w:t>
      </w:r>
      <w:r>
        <w:rPr>
          <w:rFonts w:hint="eastAsia" w:cs="宋体" w:asciiTheme="minorEastAsia" w:hAnsiTheme="minorEastAsia" w:eastAsiaTheme="minorEastAsia"/>
          <w:b/>
          <w:color w:val="000000"/>
          <w:sz w:val="32"/>
          <w:szCs w:val="32"/>
        </w:rPr>
        <w:t>二是</w:t>
      </w:r>
      <w:r>
        <w:rPr>
          <w:rFonts w:hint="eastAsia" w:cs="仿宋" w:asciiTheme="minorEastAsia" w:hAnsiTheme="minorEastAsia" w:eastAsiaTheme="minorEastAsia"/>
          <w:b/>
          <w:color w:val="000000"/>
          <w:sz w:val="32"/>
          <w:szCs w:val="32"/>
        </w:rPr>
        <w:t>生活垃圾焚烧发电项目建设。</w:t>
      </w:r>
      <w:r>
        <w:rPr>
          <w:rFonts w:hint="eastAsia" w:cs="仿宋" w:asciiTheme="minorEastAsia" w:hAnsiTheme="minorEastAsia" w:eastAsiaTheme="minorEastAsia"/>
          <w:color w:val="000000"/>
          <w:sz w:val="32"/>
          <w:szCs w:val="32"/>
        </w:rPr>
        <w:t>根据市垃圾焚烧发电项目的统筹安排，怀化市、芷江县、麻阳县、新晃县等将统一建造生活垃圾焚烧发电相关设施（属区域统筹）。我局一直积极配合怀化市垃圾焚烧发电项目建设相关工作。</w:t>
      </w:r>
    </w:p>
    <w:p>
      <w:pPr>
        <w:spacing w:line="560" w:lineRule="exact"/>
        <w:ind w:firstLine="645"/>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3.</w:t>
      </w:r>
      <w:r>
        <w:rPr>
          <w:rFonts w:hint="eastAsia" w:asciiTheme="minorEastAsia" w:hAnsiTheme="minorEastAsia" w:eastAsiaTheme="minorEastAsia"/>
          <w:b/>
          <w:bCs/>
          <w:color w:val="000000"/>
          <w:sz w:val="32"/>
          <w:szCs w:val="32"/>
        </w:rPr>
        <w:t>推进县城区“智慧停车”项目建设。</w:t>
      </w:r>
      <w:r>
        <w:rPr>
          <w:rFonts w:hint="eastAsia" w:asciiTheme="minorEastAsia" w:hAnsiTheme="minorEastAsia" w:eastAsiaTheme="minorEastAsia"/>
          <w:bCs/>
          <w:color w:val="000000"/>
          <w:sz w:val="32"/>
          <w:szCs w:val="32"/>
        </w:rPr>
        <w:t>智慧停车项目</w:t>
      </w:r>
      <w:r>
        <w:rPr>
          <w:rFonts w:hint="eastAsia" w:asciiTheme="minorEastAsia" w:hAnsiTheme="minorEastAsia" w:eastAsiaTheme="minorEastAsia"/>
          <w:color w:val="000000"/>
          <w:sz w:val="32"/>
          <w:szCs w:val="32"/>
        </w:rPr>
        <w:t>为今年我县重点项目，分三年实施（建设期为2021年-2023年），今年计划投资1000万。目前已完成对县城区路侧车位、小区车位的全面摸排、编制可行性研究报告和智慧停车项目实施方案，目前正在招标对接，今年内引进社会资本完成智慧停车信息化平台和路侧车位智慧停车设施的建设工作。</w:t>
      </w:r>
    </w:p>
    <w:p>
      <w:pPr>
        <w:spacing w:line="560" w:lineRule="exact"/>
        <w:ind w:firstLine="482" w:firstLineChars="15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（九）聚焦精细管理，推进城市品质持续提升</w:t>
      </w:r>
    </w:p>
    <w:p>
      <w:pPr>
        <w:spacing w:line="560" w:lineRule="exact"/>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1.提升城市园林绿化品质。</w:t>
      </w:r>
      <w:r>
        <w:rPr>
          <w:rFonts w:hint="eastAsia" w:asciiTheme="minorEastAsia" w:hAnsiTheme="minorEastAsia" w:eastAsiaTheme="minorEastAsia"/>
          <w:color w:val="000000"/>
          <w:sz w:val="32"/>
          <w:szCs w:val="32"/>
        </w:rPr>
        <w:t>积极创建《国家森林城市》《国家园林城市》。</w:t>
      </w:r>
      <w:r>
        <w:rPr>
          <w:rFonts w:hint="eastAsia" w:cs="仿宋" w:asciiTheme="minorEastAsia" w:hAnsiTheme="minorEastAsia" w:eastAsiaTheme="minorEastAsia"/>
          <w:color w:val="000000"/>
          <w:sz w:val="32"/>
          <w:szCs w:val="32"/>
          <w:shd w:val="clear" w:color="auto" w:fill="FFFFFF"/>
        </w:rPr>
        <w:t>督促指导各单位、小区积极创建国家级园林单位、小区等工作，要求新建单位庭院、居住小区，严格按照绿地率不低于35%的标准建设。定期进行杂草清除、病虫害防治、绿化修剪、常态化绿化保洁，对城市绿地组织抗旱浇水。</w:t>
      </w:r>
      <w:r>
        <w:rPr>
          <w:rFonts w:hint="eastAsia" w:asciiTheme="minorEastAsia" w:hAnsiTheme="minorEastAsia" w:eastAsiaTheme="minorEastAsia"/>
          <w:color w:val="000000"/>
          <w:sz w:val="32"/>
          <w:szCs w:val="32"/>
        </w:rPr>
        <w:t>截至目前，开展植被修剪10次，整形11次，绿地杂草清除25次，病虫害防治9次，更换各类草本花卉21000余株，乔木、灌木补植约200余株。</w:t>
      </w:r>
    </w:p>
    <w:p>
      <w:pPr>
        <w:spacing w:line="560" w:lineRule="exact"/>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2.提升生活垃圾无害化处理率。</w:t>
      </w:r>
      <w:r>
        <w:rPr>
          <w:rFonts w:hint="eastAsia" w:asciiTheme="minorEastAsia" w:hAnsiTheme="minorEastAsia" w:eastAsiaTheme="minorEastAsia"/>
          <w:color w:val="000000"/>
          <w:sz w:val="32"/>
          <w:szCs w:val="32"/>
        </w:rPr>
        <w:t>县生活垃圾无害化填埋厂在运行过程中严格规范管理，进场垃圾无害化处理率达到100%。自2020年起全县各乡镇生活垃圾按要求全部输送进县生活垃圾无害化处理厂（处理量增加58％）。8月10日杨鹏县长一行调研并同意增设一部污水处理设备提升生活垃圾渗滤液处理率（预计12月底完成）。2021年县城镇生活垃圾无害化处理场无害化处理生活垃圾3.75万吨，共计8580车次，渗滤液处理2.6万吨，进场垃圾无害化处理率达到100%。同时，对二期填埋区全面进行了雨污分流建设。</w:t>
      </w:r>
    </w:p>
    <w:p>
      <w:pPr>
        <w:tabs>
          <w:tab w:val="left" w:pos="454"/>
        </w:tabs>
        <w:spacing w:line="560" w:lineRule="exact"/>
        <w:ind w:firstLine="643" w:firstLineChars="200"/>
        <w:rPr>
          <w:rFonts w:cs="黑体" w:asciiTheme="minorEastAsia" w:hAnsiTheme="minorEastAsia" w:eastAsiaTheme="minorEastAsia"/>
          <w:color w:val="000000"/>
          <w:sz w:val="32"/>
          <w:szCs w:val="32"/>
        </w:rPr>
      </w:pPr>
      <w:r>
        <w:rPr>
          <w:rFonts w:hint="eastAsia" w:cs="楷体" w:asciiTheme="minorEastAsia" w:hAnsiTheme="minorEastAsia" w:eastAsiaTheme="minorEastAsia"/>
          <w:b/>
          <w:bCs/>
          <w:color w:val="000000"/>
          <w:sz w:val="32"/>
          <w:szCs w:val="32"/>
        </w:rPr>
        <w:t>3.提升厨余垃圾收集处理。一是</w:t>
      </w:r>
      <w:r>
        <w:rPr>
          <w:rFonts w:hint="eastAsia" w:cs="楷体" w:asciiTheme="minorEastAsia" w:hAnsiTheme="minorEastAsia" w:eastAsiaTheme="minorEastAsia"/>
          <w:bCs/>
          <w:color w:val="000000"/>
          <w:sz w:val="32"/>
          <w:szCs w:val="32"/>
        </w:rPr>
        <w:t>厨余垃圾</w:t>
      </w:r>
      <w:r>
        <w:rPr>
          <w:rFonts w:hint="eastAsia" w:cs="仿宋" w:asciiTheme="minorEastAsia" w:hAnsiTheme="minorEastAsia" w:eastAsiaTheme="minorEastAsia"/>
          <w:color w:val="000000"/>
          <w:sz w:val="32"/>
          <w:szCs w:val="32"/>
        </w:rPr>
        <w:t>处理厂自2020年8月投入使用以来，负责对城区400余家餐饮店、学校、单位食堂等企业所产生的餐厨垃圾的收集工作，有效杜绝了餐厨垃圾喂养牲畜、不法商家非法提炼的现象。2021年以来，已累计收集处理餐厨垃圾2400余吨。二是6月18日，局主要领导带领相关公司实地考察厨余垃圾处理厂，预争取引进“黑水蛭”生物处理技术对厨余废料（干湿分离残渣）进行生物处理，以达到资源的循环利用。目前，正在持续跟进对接中。</w:t>
      </w:r>
    </w:p>
    <w:p>
      <w:pPr>
        <w:spacing w:line="560" w:lineRule="exact"/>
        <w:ind w:firstLine="640" w:firstLineChars="200"/>
        <w:jc w:val="left"/>
        <w:rPr>
          <w:rFonts w:eastAsia="仿宋_GB2312"/>
          <w:sz w:val="32"/>
          <w:szCs w:val="32"/>
        </w:rPr>
      </w:pPr>
      <w:r>
        <w:rPr>
          <w:rFonts w:eastAsia="仿宋_GB2312"/>
          <w:sz w:val="32"/>
          <w:szCs w:val="32"/>
        </w:rPr>
        <w:t>三、存在的问题及原因</w:t>
      </w:r>
    </w:p>
    <w:p>
      <w:pPr>
        <w:spacing w:line="70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当前影响财政资金使用绩效的问题</w:t>
      </w:r>
      <w:r>
        <w:rPr>
          <w:rFonts w:hint="eastAsia" w:asciiTheme="minorEastAsia" w:hAnsiTheme="minorEastAsia" w:eastAsiaTheme="minorEastAsia"/>
          <w:sz w:val="32"/>
          <w:szCs w:val="32"/>
        </w:rPr>
        <w:t>及原因：</w:t>
      </w:r>
    </w:p>
    <w:p>
      <w:pPr>
        <w:spacing w:line="70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color w:val="121212"/>
          <w:sz w:val="32"/>
          <w:szCs w:val="32"/>
          <w:shd w:val="clear" w:color="auto" w:fill="FFFFFF"/>
        </w:rPr>
        <w:t>绩效理念尚未完全形成，思想认识不一致</w:t>
      </w:r>
    </w:p>
    <w:p>
      <w:pPr>
        <w:spacing w:line="700" w:lineRule="exact"/>
        <w:ind w:firstLine="640" w:firstLineChars="200"/>
        <w:jc w:val="left"/>
        <w:rPr>
          <w:rFonts w:asciiTheme="minorEastAsia" w:hAnsiTheme="minorEastAsia" w:eastAsiaTheme="minorEastAsia"/>
          <w:color w:val="121212"/>
          <w:sz w:val="32"/>
          <w:szCs w:val="32"/>
          <w:shd w:val="clear" w:color="auto" w:fill="FFFFFF"/>
        </w:rPr>
      </w:pPr>
      <w:r>
        <w:rPr>
          <w:rFonts w:hint="eastAsia" w:asciiTheme="minorEastAsia" w:hAnsiTheme="minorEastAsia" w:eastAsiaTheme="minorEastAsia"/>
          <w:color w:val="121212"/>
          <w:sz w:val="32"/>
          <w:szCs w:val="32"/>
          <w:shd w:val="clear" w:color="auto" w:fill="FFFFFF"/>
        </w:rPr>
        <w:t>财政资金本身错综复杂的利益关系，增加了对绩效评价工作认识的错综复杂性。财政部门、项目管理单位及项目执行单位的理解和把握就有较大的差距，从不同方面削弱了绩效评价工作的地位和作用。绩效评价主要以了解项目进展情况、财政资金使用情况进行监督检查为主，或多或少地涉及了评价绩效的内容，还没有成为真正意义上的财政资金绩效评价。全社会对绩效评价的认识还有一个过程，传统的、固有的观念给绩效评价工作带来相当大的阻力。</w:t>
      </w:r>
    </w:p>
    <w:p>
      <w:pPr>
        <w:spacing w:line="700" w:lineRule="exact"/>
        <w:ind w:firstLine="640" w:firstLineChars="200"/>
        <w:jc w:val="left"/>
        <w:rPr>
          <w:rFonts w:asciiTheme="minorEastAsia" w:hAnsiTheme="minorEastAsia" w:eastAsiaTheme="minorEastAsia"/>
          <w:color w:val="121212"/>
          <w:sz w:val="32"/>
          <w:szCs w:val="32"/>
          <w:shd w:val="clear" w:color="auto" w:fill="FFFFFF"/>
        </w:rPr>
      </w:pPr>
      <w:r>
        <w:rPr>
          <w:rFonts w:hint="eastAsia" w:asciiTheme="minorEastAsia" w:hAnsiTheme="minorEastAsia" w:eastAsiaTheme="minorEastAsia"/>
          <w:color w:val="121212"/>
          <w:sz w:val="32"/>
          <w:szCs w:val="32"/>
          <w:shd w:val="clear" w:color="auto" w:fill="FFFFFF"/>
        </w:rPr>
        <w:t>2、绩效评价工作缺乏法律性约束和制度保障</w:t>
      </w:r>
    </w:p>
    <w:p>
      <w:pPr>
        <w:spacing w:line="70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color w:val="121212"/>
          <w:sz w:val="32"/>
          <w:szCs w:val="32"/>
          <w:shd w:val="clear" w:color="auto" w:fill="FFFFFF"/>
        </w:rPr>
        <w:t>财政资金绩效评价工作要取得实效，必须得到立法支持，而且要制度化、经常化。而我国公共投资部门虽然也提出要完善项目投资决策程序，对国家重点投资项目要从立项决策、竣工验收直到财政资金绩效评价，实行全过程管理，但迄今尚未出台全国统一的有关财政资金绩效评价工作的法律法规，使我国财政资金绩效评价工作缺乏法律约束和制度保障。</w:t>
      </w:r>
    </w:p>
    <w:p>
      <w:pPr>
        <w:spacing w:line="560" w:lineRule="exact"/>
        <w:ind w:firstLine="640" w:firstLineChars="200"/>
        <w:jc w:val="left"/>
        <w:rPr>
          <w:rFonts w:eastAsia="仿宋_GB2312"/>
          <w:sz w:val="32"/>
          <w:szCs w:val="32"/>
        </w:rPr>
      </w:pPr>
      <w:r>
        <w:rPr>
          <w:rFonts w:eastAsia="仿宋_GB2312"/>
          <w:sz w:val="32"/>
          <w:szCs w:val="32"/>
        </w:rPr>
        <w:t>四、提高财政资金绩效的措施与建议</w:t>
      </w:r>
    </w:p>
    <w:p>
      <w:pPr>
        <w:spacing w:line="56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针对存在的问题及有关情况，提出下一步提高</w:t>
      </w:r>
      <w:r>
        <w:rPr>
          <w:rFonts w:hint="eastAsia" w:asciiTheme="minorEastAsia" w:hAnsiTheme="minorEastAsia" w:eastAsiaTheme="minorEastAsia"/>
          <w:sz w:val="32"/>
          <w:szCs w:val="32"/>
        </w:rPr>
        <w:t>本单位</w:t>
      </w:r>
      <w:r>
        <w:rPr>
          <w:rFonts w:asciiTheme="minorEastAsia" w:hAnsiTheme="minorEastAsia" w:eastAsiaTheme="minorEastAsia"/>
          <w:sz w:val="32"/>
          <w:szCs w:val="32"/>
        </w:rPr>
        <w:t>财政资金使用绩效的措施与建议</w:t>
      </w:r>
      <w:r>
        <w:rPr>
          <w:rFonts w:hint="eastAsia" w:asciiTheme="minorEastAsia" w:hAnsiTheme="minorEastAsia" w:eastAsiaTheme="minorEastAsia"/>
          <w:sz w:val="32"/>
          <w:szCs w:val="32"/>
        </w:rPr>
        <w:t>：建立健全的财政支出绩效评价体系。进行财政支出绩效评价，最终目的是为了提高财政支出效益，因此财政支出绩效评价体系还必须包括绩效评价信息反馈制度、激励机制和奖惩制度等内容。一方面通过绩效评价信息反馈制度及时了解各项目的实施情况和实施效果；另一方面通过建立激励机制和奖惩制度，改变现行预算制度只重视资金分配、不重视资金使用的状况。首先，把对项目预期目标的绩效评价结果作为预算编制和批复的重要依据，从源头上控制没有绩效和低绩效的项目；其次，实现财政预算管理上的两个转变，即预算拨款由传统的按预算拨款转为按绩效拨款，从过去对预算的重过程管理转变为重结果管理；第三，将本年度绩效评价的结果作为下年度预算安排的重要依据。</w:t>
      </w:r>
    </w:p>
    <w:p>
      <w:pPr>
        <w:spacing w:line="560" w:lineRule="exact"/>
        <w:ind w:firstLine="640" w:firstLineChars="200"/>
        <w:jc w:val="left"/>
        <w:rPr>
          <w:rFonts w:eastAsia="仿宋_GB2312"/>
          <w:sz w:val="32"/>
          <w:szCs w:val="32"/>
        </w:rPr>
      </w:pPr>
      <w:r>
        <w:rPr>
          <w:rFonts w:eastAsia="仿宋_GB2312"/>
          <w:sz w:val="32"/>
          <w:szCs w:val="32"/>
        </w:rPr>
        <w:t>五、附件（佐证依据）</w:t>
      </w:r>
    </w:p>
    <w:p>
      <w:pPr>
        <w:spacing w:line="56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此项附件无。</w:t>
      </w:r>
    </w:p>
    <w:p>
      <w:pPr>
        <w:spacing w:line="560" w:lineRule="exact"/>
        <w:ind w:firstLine="640" w:firstLineChars="200"/>
        <w:jc w:val="left"/>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部门（签章）</w:t>
      </w:r>
    </w:p>
    <w:p>
      <w:pPr>
        <w:spacing w:before="100" w:beforeAutospacing="1" w:after="100" w:afterAutospacing="1" w:line="240" w:lineRule="exact"/>
        <w:jc w:val="left"/>
        <w:rPr>
          <w:rFonts w:ascii="仿宋_GB2312" w:hAnsi="仿宋_GB2312" w:eastAsia="仿宋_GB2312" w:cs="仿宋_GB2312"/>
          <w:sz w:val="24"/>
        </w:rPr>
      </w:pPr>
      <w:r>
        <w:rPr>
          <w:rFonts w:eastAsia="仿宋_GB2312"/>
          <w:sz w:val="32"/>
          <w:szCs w:val="32"/>
        </w:rPr>
        <w:t xml:space="preserve">                                  </w:t>
      </w:r>
      <w:r>
        <w:rPr>
          <w:rFonts w:hint="eastAsia" w:eastAsia="仿宋_GB2312"/>
          <w:sz w:val="32"/>
          <w:szCs w:val="32"/>
        </w:rPr>
        <w:t xml:space="preserve">   2022</w:t>
      </w:r>
      <w:r>
        <w:rPr>
          <w:rFonts w:eastAsia="仿宋_GB2312"/>
          <w:sz w:val="32"/>
          <w:szCs w:val="32"/>
        </w:rPr>
        <w:t>年</w:t>
      </w:r>
      <w:r>
        <w:rPr>
          <w:rFonts w:hint="eastAsia" w:eastAsia="仿宋_GB2312"/>
          <w:sz w:val="32"/>
          <w:szCs w:val="32"/>
        </w:rPr>
        <w:t>5</w:t>
      </w:r>
      <w:r>
        <w:rPr>
          <w:rFonts w:eastAsia="仿宋_GB2312"/>
          <w:sz w:val="32"/>
          <w:szCs w:val="32"/>
        </w:rPr>
        <w:t xml:space="preserve"> 月 </w:t>
      </w:r>
      <w:r>
        <w:rPr>
          <w:rFonts w:hint="eastAsia" w:eastAsia="仿宋_GB2312"/>
          <w:sz w:val="32"/>
          <w:szCs w:val="32"/>
        </w:rPr>
        <w:t>22</w:t>
      </w:r>
      <w:r>
        <w:rPr>
          <w:rFonts w:eastAsia="仿宋_GB2312"/>
          <w:sz w:val="32"/>
          <w:szCs w:val="32"/>
        </w:rPr>
        <w:t>日</w:t>
      </w:r>
      <w:r>
        <w:rPr>
          <w:sz w:val="24"/>
        </w:rPr>
        <w:br w:type="page"/>
      </w:r>
      <w:r>
        <w:rPr>
          <w:rFonts w:hint="eastAsia" w:ascii="仿宋_GB2312" w:hAnsi="仿宋_GB2312" w:eastAsia="仿宋_GB2312" w:cs="仿宋_GB2312"/>
          <w:sz w:val="24"/>
        </w:rPr>
        <w:t>附件2-1</w:t>
      </w:r>
    </w:p>
    <w:p>
      <w:pPr>
        <w:spacing w:line="480" w:lineRule="exact"/>
        <w:jc w:val="center"/>
        <w:rPr>
          <w:rFonts w:eastAsia="方正粗宋简体"/>
          <w:w w:val="85"/>
          <w:sz w:val="44"/>
          <w:szCs w:val="44"/>
        </w:rPr>
      </w:pPr>
      <w:r>
        <w:rPr>
          <w:rFonts w:eastAsia="方正粗宋简体"/>
          <w:w w:val="85"/>
          <w:sz w:val="44"/>
          <w:szCs w:val="44"/>
        </w:rPr>
        <w:t>202</w:t>
      </w:r>
      <w:r>
        <w:rPr>
          <w:rFonts w:hint="eastAsia" w:eastAsia="方正粗宋简体"/>
          <w:w w:val="85"/>
          <w:sz w:val="44"/>
          <w:szCs w:val="44"/>
        </w:rPr>
        <w:t>1</w:t>
      </w:r>
      <w:r>
        <w:rPr>
          <w:rFonts w:hAnsi="方正粗宋简体" w:eastAsia="方正粗宋简体"/>
          <w:w w:val="85"/>
          <w:sz w:val="44"/>
          <w:szCs w:val="44"/>
        </w:rPr>
        <w:t>年度新晃县项目</w:t>
      </w:r>
      <w:r>
        <w:rPr>
          <w:rFonts w:hint="eastAsia" w:hAnsi="方正粗宋简体" w:eastAsia="方正粗宋简体"/>
          <w:w w:val="85"/>
          <w:sz w:val="44"/>
          <w:szCs w:val="44"/>
        </w:rPr>
        <w:t>支出</w:t>
      </w:r>
      <w:r>
        <w:rPr>
          <w:rFonts w:hAnsi="方正粗宋简体" w:eastAsia="方正粗宋简体"/>
          <w:w w:val="85"/>
          <w:sz w:val="44"/>
          <w:szCs w:val="44"/>
        </w:rPr>
        <w:t>绩效</w:t>
      </w:r>
      <w:r>
        <w:rPr>
          <w:rFonts w:hint="eastAsia" w:hAnsi="方正粗宋简体" w:eastAsia="方正粗宋简体"/>
          <w:w w:val="85"/>
          <w:sz w:val="44"/>
          <w:szCs w:val="44"/>
        </w:rPr>
        <w:t>自评</w:t>
      </w:r>
      <w:r>
        <w:rPr>
          <w:rFonts w:hAnsi="方正粗宋简体" w:eastAsia="方正粗宋简体"/>
          <w:w w:val="85"/>
          <w:sz w:val="44"/>
          <w:szCs w:val="44"/>
        </w:rPr>
        <w:t>表</w:t>
      </w:r>
    </w:p>
    <w:p>
      <w:pPr>
        <w:spacing w:beforeLines="50" w:line="240" w:lineRule="exact"/>
        <w:ind w:firstLine="482"/>
        <w:jc w:val="center"/>
        <w:rPr>
          <w:rFonts w:eastAsia="仿宋_GB2312"/>
          <w:szCs w:val="21"/>
        </w:rPr>
      </w:pPr>
      <w:r>
        <w:rPr>
          <w:sz w:val="24"/>
        </w:rPr>
        <w:t xml:space="preserve">                                                  </w:t>
      </w:r>
      <w:r>
        <w:rPr>
          <w:rFonts w:eastAsia="仿宋_GB2312"/>
          <w:szCs w:val="21"/>
        </w:rPr>
        <w:t>金额单位：万元</w:t>
      </w:r>
    </w:p>
    <w:tbl>
      <w:tblPr>
        <w:tblStyle w:val="6"/>
        <w:tblpPr w:leftFromText="180" w:rightFromText="180" w:vertAnchor="text" w:horzAnchor="page" w:tblpX="1195" w:tblpY="107"/>
        <w:tblOverlap w:val="never"/>
        <w:tblW w:w="98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143"/>
        <w:gridCol w:w="1800"/>
        <w:gridCol w:w="1628"/>
        <w:gridCol w:w="1097"/>
        <w:gridCol w:w="1206"/>
        <w:gridCol w:w="83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（盖章）</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4005"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景观亮化维护和一河两岸电费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责任部门</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城市管理和综合执法局</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项目负责人</w:t>
            </w:r>
          </w:p>
        </w:tc>
        <w:tc>
          <w:tcPr>
            <w:tcW w:w="109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黄超</w:t>
            </w:r>
          </w:p>
        </w:tc>
        <w:tc>
          <w:tcPr>
            <w:tcW w:w="120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15707450745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trPr>
        <w:tc>
          <w:tcPr>
            <w:tcW w:w="1312"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项目资金</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基本情况</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上年结转</w:t>
            </w: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年初预算安排数</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预算调整数</w:t>
            </w: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全年执行数</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blCellSpacing w:w="0" w:type="dxa"/>
        </w:trPr>
        <w:tc>
          <w:tcPr>
            <w:tcW w:w="1312" w:type="dxa"/>
            <w:vMerge w:val="continue"/>
            <w:vAlign w:val="center"/>
          </w:tcPr>
          <w:p>
            <w:pPr>
              <w:spacing w:line="320" w:lineRule="exact"/>
              <w:jc w:val="center"/>
              <w:rPr>
                <w:rFonts w:ascii="仿宋_GB2312" w:hAnsi="仿宋_GB2312" w:eastAsia="仿宋_GB2312" w:cs="仿宋_GB2312"/>
                <w:szCs w:val="21"/>
              </w:rPr>
            </w:pP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171.98</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评价内容</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评价简述</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单位自评得分</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项目预算及预期绩效目标编制水平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例如：本项目预算（即投入目标）编制科学、规范、合理，预期绩效目标申报完整，产出、效果类关键性指标清晰、明确、量化，投入与项目产出、效果目标匹配。</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例如：该项目预算执行率为*%。根据实际情况评分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项目组织管理水平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例如：本项目建立了**等项目管理制度，并严格按相关制度执行。</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资金支出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合理合规</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例如：本年项目支出符合国家相关法律法规、财务管理制度等规定，且均在预算范围内，无与本项目预算不相符或无关的资金支出。</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项目产出</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对照项目产出目标，按产出数量、产出质量、产出时效以及成本控制等方面进行自我评价。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项目效益（效果）</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对照项目效益目标，可从经济效益、社会效益、环境效益和可持续影响及服务对象满意度等5个具体绩效指标进行评价。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服务对象满意度计分：90%≤满意度≤100%记10分，80%≤满意度&lt;90%记8分，70%≤满意度&lt;80%   记6分，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60%≤满意度&lt;70%记4分，满意度&lt;60%记0分。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小计</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89</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负向指标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主要评价自评得分与复评得分差异率。差异率≤10%，不扣分；10%&lt;差异率≤15%，扣2分；15%&lt;差异率≤20%，扣4分；差异率&gt;20%，扣6分。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评价结果</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7433" w:type="dxa"/>
            <w:gridSpan w:val="6"/>
            <w:tcMar>
              <w:top w:w="0" w:type="dxa"/>
              <w:left w:w="105" w:type="dxa"/>
              <w:bottom w:w="0" w:type="dxa"/>
              <w:right w:w="105" w:type="dxa"/>
            </w:tcMar>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优秀  90分≤得分≤100分；    □ 良好  </w:t>
            </w:r>
            <w:r>
              <w:rPr>
                <w:rFonts w:ascii="仿宋_GB2312" w:hAnsi="仿宋_GB2312" w:eastAsia="仿宋_GB2312" w:cs="仿宋_GB2312"/>
                <w:szCs w:val="21"/>
              </w:rPr>
              <w:t>80</w:t>
            </w:r>
            <w:r>
              <w:rPr>
                <w:rFonts w:hint="eastAsia" w:ascii="仿宋_GB2312" w:hAnsi="仿宋_GB2312" w:eastAsia="仿宋_GB2312" w:cs="仿宋_GB2312"/>
                <w:szCs w:val="21"/>
              </w:rPr>
              <w:t>分≤得分＜90分；</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较差   60分≤得分＜</w:t>
            </w:r>
            <w:r>
              <w:rPr>
                <w:rFonts w:ascii="仿宋_GB2312" w:hAnsi="仿宋_GB2312" w:eastAsia="仿宋_GB2312" w:cs="仿宋_GB2312"/>
                <w:szCs w:val="21"/>
              </w:rPr>
              <w:t>80</w:t>
            </w:r>
            <w:r>
              <w:rPr>
                <w:rFonts w:hint="eastAsia" w:ascii="仿宋_GB2312" w:hAnsi="仿宋_GB2312" w:eastAsia="仿宋_GB2312" w:cs="仿宋_GB2312"/>
                <w:szCs w:val="21"/>
              </w:rPr>
              <w:t>分；    □ 差    得分＜60分</w:t>
            </w:r>
          </w:p>
        </w:tc>
      </w:tr>
    </w:tbl>
    <w:p>
      <w:pPr>
        <w:spacing w:line="320" w:lineRule="exact"/>
        <w:ind w:left="0"/>
        <w:jc w:val="left"/>
        <w:rPr>
          <w:rFonts w:ascii="华文中宋" w:hAnsi="华文中宋" w:eastAsia="华文中宋"/>
          <w:sz w:val="8"/>
          <w:szCs w:val="10"/>
        </w:rPr>
      </w:pPr>
    </w:p>
    <w:p>
      <w:pPr>
        <w:spacing w:line="320" w:lineRule="exact"/>
        <w:ind w:left="0"/>
        <w:jc w:val="left"/>
        <w:rPr>
          <w:rFonts w:ascii="华文中宋" w:hAnsi="华文中宋" w:eastAsia="华文中宋"/>
          <w:szCs w:val="21"/>
        </w:rPr>
      </w:pPr>
      <w:r>
        <w:rPr>
          <w:rFonts w:ascii="华文中宋" w:hAnsi="华文中宋" w:eastAsia="华文中宋"/>
          <w:szCs w:val="21"/>
        </w:rPr>
        <w:t xml:space="preserve">单位负责人（签字）：  </w:t>
      </w:r>
      <w:r>
        <w:rPr>
          <w:rFonts w:hint="eastAsia" w:ascii="华文中宋" w:hAnsi="华文中宋" w:eastAsia="华文中宋"/>
          <w:szCs w:val="21"/>
        </w:rPr>
        <w:t xml:space="preserve">   </w:t>
      </w:r>
      <w:r>
        <w:rPr>
          <w:rFonts w:ascii="华文中宋" w:hAnsi="华文中宋" w:eastAsia="华文中宋"/>
          <w:szCs w:val="21"/>
        </w:rPr>
        <w:t xml:space="preserve">       项目负责人（签字）： </w:t>
      </w:r>
      <w:r>
        <w:rPr>
          <w:rFonts w:hint="eastAsia" w:ascii="华文中宋" w:hAnsi="华文中宋" w:eastAsia="华文中宋"/>
          <w:szCs w:val="21"/>
        </w:rPr>
        <w:t xml:space="preserve">      </w:t>
      </w:r>
      <w:r>
        <w:rPr>
          <w:rFonts w:ascii="华文中宋" w:hAnsi="华文中宋" w:eastAsia="华文中宋"/>
          <w:szCs w:val="21"/>
        </w:rPr>
        <w:t xml:space="preserve"> 填表日期： </w:t>
      </w:r>
      <w:r>
        <w:rPr>
          <w:rFonts w:hint="eastAsia" w:ascii="华文中宋" w:hAnsi="华文中宋" w:eastAsia="华文中宋"/>
          <w:szCs w:val="21"/>
        </w:rPr>
        <w:t xml:space="preserve">2022 </w:t>
      </w:r>
      <w:r>
        <w:rPr>
          <w:rFonts w:ascii="华文中宋" w:hAnsi="华文中宋" w:eastAsia="华文中宋"/>
          <w:szCs w:val="21"/>
        </w:rPr>
        <w:t>年  </w:t>
      </w:r>
      <w:r>
        <w:rPr>
          <w:rFonts w:hint="eastAsia" w:ascii="华文中宋" w:hAnsi="华文中宋" w:eastAsia="华文中宋"/>
          <w:szCs w:val="21"/>
        </w:rPr>
        <w:t>5</w:t>
      </w:r>
      <w:r>
        <w:rPr>
          <w:rFonts w:ascii="华文中宋" w:hAnsi="华文中宋" w:eastAsia="华文中宋"/>
          <w:szCs w:val="21"/>
        </w:rPr>
        <w:t xml:space="preserve"> 月 </w:t>
      </w:r>
      <w:r>
        <w:rPr>
          <w:rFonts w:hint="eastAsia" w:ascii="华文中宋" w:hAnsi="华文中宋" w:eastAsia="华文中宋"/>
          <w:szCs w:val="21"/>
        </w:rPr>
        <w:t>24</w:t>
      </w:r>
      <w:r>
        <w:rPr>
          <w:rFonts w:ascii="华文中宋" w:hAnsi="华文中宋" w:eastAsia="华文中宋"/>
          <w:szCs w:val="21"/>
        </w:rPr>
        <w:t>  日</w:t>
      </w:r>
    </w:p>
    <w:p>
      <w:pPr>
        <w:jc w:val="left"/>
        <w:rPr>
          <w:rFonts w:ascii="仿宋_GB2312" w:hAnsi="仿宋_GB2312" w:eastAsia="仿宋_GB2312" w:cs="仿宋_GB2312"/>
          <w:sz w:val="24"/>
        </w:rPr>
      </w:pPr>
      <w:r>
        <w:rPr>
          <w:rFonts w:hint="eastAsia" w:ascii="仿宋_GB2312" w:hAnsi="仿宋_GB2312" w:eastAsia="仿宋_GB2312" w:cs="仿宋_GB2312"/>
          <w:sz w:val="24"/>
        </w:rPr>
        <w:t>附件2-2 </w:t>
      </w:r>
    </w:p>
    <w:p>
      <w:pPr>
        <w:spacing w:line="800" w:lineRule="exact"/>
        <w:jc w:val="center"/>
        <w:rPr>
          <w:rFonts w:ascii="黑体" w:hAnsi="宋体" w:eastAsia="黑体"/>
          <w:w w:val="90"/>
          <w:sz w:val="44"/>
          <w:szCs w:val="44"/>
        </w:rPr>
      </w:pPr>
      <w:r>
        <w:rPr>
          <w:rFonts w:hint="eastAsia" w:ascii="黑体" w:hAnsi="宋体" w:eastAsia="黑体"/>
          <w:w w:val="90"/>
          <w:sz w:val="44"/>
          <w:szCs w:val="44"/>
        </w:rPr>
        <w:t>2021年度新晃县项目绩效自评计分标准</w:t>
      </w:r>
    </w:p>
    <w:tbl>
      <w:tblPr>
        <w:tblStyle w:val="7"/>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27"/>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trPr>
        <w:tc>
          <w:tcPr>
            <w:tcW w:w="1321" w:type="dxa"/>
            <w:vAlign w:val="center"/>
          </w:tcPr>
          <w:p>
            <w:pPr>
              <w:spacing w:line="340" w:lineRule="exact"/>
              <w:jc w:val="center"/>
              <w:rPr>
                <w:rFonts w:eastAsia="仿宋_GB2312"/>
                <w:sz w:val="24"/>
              </w:rPr>
            </w:pPr>
            <w:r>
              <w:rPr>
                <w:rFonts w:eastAsia="仿宋_GB2312"/>
                <w:sz w:val="24"/>
              </w:rPr>
              <w:t>评价内容</w:t>
            </w:r>
          </w:p>
        </w:tc>
        <w:tc>
          <w:tcPr>
            <w:tcW w:w="727" w:type="dxa"/>
            <w:vAlign w:val="center"/>
          </w:tcPr>
          <w:p>
            <w:pPr>
              <w:spacing w:line="340" w:lineRule="exact"/>
              <w:jc w:val="center"/>
              <w:rPr>
                <w:rFonts w:eastAsia="仿宋_GB2312"/>
                <w:sz w:val="24"/>
              </w:rPr>
            </w:pPr>
            <w:r>
              <w:rPr>
                <w:rFonts w:eastAsia="仿宋_GB2312"/>
                <w:sz w:val="24"/>
              </w:rPr>
              <w:t>分值</w:t>
            </w:r>
          </w:p>
        </w:tc>
        <w:tc>
          <w:tcPr>
            <w:tcW w:w="6770" w:type="dxa"/>
            <w:vAlign w:val="center"/>
          </w:tcPr>
          <w:p>
            <w:pPr>
              <w:spacing w:line="340" w:lineRule="exact"/>
              <w:jc w:val="center"/>
              <w:rPr>
                <w:rFonts w:eastAsia="仿宋_GB2312"/>
                <w:sz w:val="24"/>
              </w:rPr>
            </w:pPr>
            <w:r>
              <w:rPr>
                <w:rFonts w:eastAsia="仿宋_GB2312"/>
                <w:sz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1" w:type="dxa"/>
            <w:vAlign w:val="center"/>
          </w:tcPr>
          <w:p>
            <w:pPr>
              <w:spacing w:line="340" w:lineRule="exact"/>
              <w:jc w:val="center"/>
              <w:rPr>
                <w:rFonts w:eastAsia="仿宋_GB2312"/>
                <w:sz w:val="24"/>
              </w:rPr>
            </w:pPr>
            <w:r>
              <w:rPr>
                <w:rFonts w:eastAsia="仿宋_GB2312"/>
                <w:sz w:val="24"/>
              </w:rPr>
              <w:t>项目预算及预期绩效目标编制水平</w:t>
            </w:r>
          </w:p>
        </w:tc>
        <w:tc>
          <w:tcPr>
            <w:tcW w:w="727" w:type="dxa"/>
            <w:vAlign w:val="center"/>
          </w:tcPr>
          <w:p>
            <w:pPr>
              <w:spacing w:line="340" w:lineRule="exact"/>
              <w:jc w:val="center"/>
              <w:rPr>
                <w:rFonts w:eastAsia="仿宋_GB2312"/>
                <w:sz w:val="24"/>
              </w:rPr>
            </w:pPr>
            <w:r>
              <w:rPr>
                <w:rFonts w:eastAsia="仿宋_GB2312"/>
                <w:sz w:val="24"/>
              </w:rPr>
              <w:t>10</w:t>
            </w:r>
          </w:p>
        </w:tc>
        <w:tc>
          <w:tcPr>
            <w:tcW w:w="6770" w:type="dxa"/>
          </w:tcPr>
          <w:p>
            <w:pPr>
              <w:spacing w:line="460" w:lineRule="exact"/>
              <w:rPr>
                <w:rFonts w:eastAsia="仿宋_GB2312"/>
                <w:sz w:val="24"/>
              </w:rPr>
            </w:pPr>
            <w:r>
              <w:rPr>
                <w:rFonts w:eastAsia="仿宋_GB2312"/>
                <w:sz w:val="24"/>
              </w:rPr>
              <w:t>1、项目预算（即投入目标）的科学、合理性，5分。项目预算编制存在下列问题的，各扣1分，扣完为止：（1）项目设置与部门（单位）履职无关或与部门（单位）职能衔接不够，与其他项目存在重叠交叉；（2）将由非本级政府（财政）承担的事项列入本级项目支出责任范围；（3）项目支出事项测算没有具体的数量、规格、型号或人数、天数等基本信息；（4）项目支出事项测算与市场价格相差很远，或没有体现厉行节约原则；（5）将未经政府批准，或未受委托履行政府职能的中介机构、协会、学会等非预算单位的经费补助编入项目预算；（6）将接待经费、未经批准的临时人员工资或没有依据的津补贴、奖金、福利等编入项目预算；（7）将没有具体内容的“其他”、“不可预见费”和“机动经费”等编入项目预算。</w:t>
            </w:r>
          </w:p>
          <w:p>
            <w:pPr>
              <w:spacing w:line="460" w:lineRule="exact"/>
              <w:rPr>
                <w:rFonts w:eastAsia="仿宋_GB2312"/>
                <w:sz w:val="24"/>
              </w:rPr>
            </w:pPr>
            <w:r>
              <w:rPr>
                <w:rFonts w:eastAsia="仿宋_GB2312"/>
                <w:sz w:val="24"/>
              </w:rPr>
              <w:t>2、项目预期绩效目标的完整性、相关性，3分。申报的产出或效果类绩效目标没有设定相关联的绩效指标，各扣</w:t>
            </w:r>
            <w:r>
              <w:rPr>
                <w:rFonts w:hint="eastAsia" w:eastAsia="仿宋_GB2312"/>
                <w:sz w:val="24"/>
              </w:rPr>
              <w:t>0.8</w:t>
            </w:r>
            <w:r>
              <w:rPr>
                <w:rFonts w:eastAsia="仿宋_GB2312"/>
                <w:sz w:val="24"/>
              </w:rPr>
              <w:t>分；设置的产出或效果类关键性指标可以量化而没有量化的，各扣</w:t>
            </w:r>
            <w:r>
              <w:rPr>
                <w:rFonts w:hint="eastAsia" w:eastAsia="仿宋_GB2312"/>
                <w:sz w:val="24"/>
              </w:rPr>
              <w:t>0.7</w:t>
            </w:r>
            <w:r>
              <w:rPr>
                <w:rFonts w:eastAsia="仿宋_GB2312"/>
                <w:sz w:val="24"/>
              </w:rPr>
              <w:t>分；没有申报项目预期绩效目标的，不得分。</w:t>
            </w:r>
          </w:p>
          <w:p>
            <w:pPr>
              <w:spacing w:line="460" w:lineRule="exact"/>
              <w:rPr>
                <w:rFonts w:eastAsia="仿宋_GB2312"/>
                <w:sz w:val="24"/>
              </w:rPr>
            </w:pPr>
            <w:r>
              <w:rPr>
                <w:rFonts w:eastAsia="仿宋_GB2312"/>
                <w:sz w:val="24"/>
              </w:rPr>
              <w:t>3、项目预算（投入目标）与项目产出、效果目标的匹配性，2分。在既定资金规模下，项目产出、效果目标过高或过低；或者要完成既定项目产出、效果目标，资金规模过大或过小的，不得分；没有申报绩效目标，无法判定项目投入目标与产出、效果目标的匹配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21" w:type="dxa"/>
            <w:vAlign w:val="center"/>
          </w:tcPr>
          <w:p>
            <w:pPr>
              <w:spacing w:line="300" w:lineRule="exact"/>
              <w:jc w:val="center"/>
              <w:rPr>
                <w:rFonts w:eastAsia="仿宋_GB2312"/>
                <w:sz w:val="24"/>
              </w:rPr>
            </w:pPr>
            <w:r>
              <w:rPr>
                <w:rFonts w:eastAsia="仿宋_GB2312"/>
                <w:sz w:val="24"/>
              </w:rPr>
              <w:t>预算执行率</w:t>
            </w:r>
          </w:p>
        </w:tc>
        <w:tc>
          <w:tcPr>
            <w:tcW w:w="727" w:type="dxa"/>
            <w:vAlign w:val="center"/>
          </w:tcPr>
          <w:p>
            <w:pPr>
              <w:spacing w:line="340" w:lineRule="exact"/>
              <w:jc w:val="center"/>
              <w:rPr>
                <w:rFonts w:eastAsia="仿宋_GB2312"/>
                <w:sz w:val="24"/>
              </w:rPr>
            </w:pPr>
            <w:r>
              <w:rPr>
                <w:rFonts w:eastAsia="仿宋_GB2312"/>
                <w:sz w:val="24"/>
              </w:rPr>
              <w:t>10</w:t>
            </w:r>
          </w:p>
        </w:tc>
        <w:tc>
          <w:tcPr>
            <w:tcW w:w="6770" w:type="dxa"/>
            <w:vAlign w:val="center"/>
          </w:tcPr>
          <w:p>
            <w:pPr>
              <w:spacing w:line="440" w:lineRule="exact"/>
              <w:rPr>
                <w:rFonts w:eastAsia="仿宋_GB2312"/>
                <w:sz w:val="24"/>
              </w:rPr>
            </w:pPr>
            <w:r>
              <w:rPr>
                <w:rFonts w:eastAsia="仿宋_GB2312"/>
                <w:sz w:val="24"/>
              </w:rPr>
              <w:t>预算执行率S≥95%，得满分；每下降1%，扣0.25分，扣完为止。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321" w:type="dxa"/>
            <w:vAlign w:val="center"/>
          </w:tcPr>
          <w:p>
            <w:pPr>
              <w:spacing w:line="340" w:lineRule="exact"/>
              <w:jc w:val="center"/>
              <w:rPr>
                <w:rFonts w:eastAsia="仿宋_GB2312"/>
                <w:sz w:val="24"/>
              </w:rPr>
            </w:pPr>
            <w:r>
              <w:rPr>
                <w:rFonts w:eastAsia="仿宋_GB2312"/>
                <w:sz w:val="24"/>
              </w:rPr>
              <w:t>项目组织</w:t>
            </w:r>
          </w:p>
          <w:p>
            <w:pPr>
              <w:spacing w:line="340" w:lineRule="exact"/>
              <w:jc w:val="center"/>
              <w:rPr>
                <w:rFonts w:eastAsia="仿宋_GB2312"/>
                <w:sz w:val="24"/>
              </w:rPr>
            </w:pPr>
            <w:r>
              <w:rPr>
                <w:rFonts w:eastAsia="仿宋_GB2312"/>
                <w:sz w:val="24"/>
              </w:rPr>
              <w:t>管理水平</w:t>
            </w:r>
          </w:p>
        </w:tc>
        <w:tc>
          <w:tcPr>
            <w:tcW w:w="727" w:type="dxa"/>
            <w:vAlign w:val="center"/>
          </w:tcPr>
          <w:p>
            <w:pPr>
              <w:spacing w:line="340" w:lineRule="exact"/>
              <w:jc w:val="center"/>
              <w:rPr>
                <w:rFonts w:eastAsia="仿宋_GB2312"/>
                <w:sz w:val="24"/>
              </w:rPr>
            </w:pPr>
            <w:r>
              <w:rPr>
                <w:rFonts w:eastAsia="仿宋_GB2312"/>
                <w:sz w:val="24"/>
              </w:rPr>
              <w:t>1</w:t>
            </w:r>
            <w:r>
              <w:rPr>
                <w:rFonts w:hint="eastAsia" w:eastAsia="仿宋_GB2312"/>
                <w:sz w:val="24"/>
              </w:rPr>
              <w:t>0</w:t>
            </w:r>
          </w:p>
        </w:tc>
        <w:tc>
          <w:tcPr>
            <w:tcW w:w="6770" w:type="dxa"/>
          </w:tcPr>
          <w:p>
            <w:pPr>
              <w:spacing w:line="460" w:lineRule="exact"/>
              <w:rPr>
                <w:rFonts w:eastAsia="仿宋_GB2312"/>
                <w:sz w:val="24"/>
              </w:rPr>
            </w:pPr>
            <w:r>
              <w:rPr>
                <w:rFonts w:eastAsia="仿宋_GB2312"/>
                <w:sz w:val="24"/>
              </w:rPr>
              <w:t>1、建立健全项目管理制度，得</w:t>
            </w:r>
            <w:r>
              <w:rPr>
                <w:rFonts w:hint="eastAsia" w:eastAsia="仿宋_GB2312"/>
                <w:sz w:val="24"/>
              </w:rPr>
              <w:t>4</w:t>
            </w:r>
            <w:r>
              <w:rPr>
                <w:rFonts w:eastAsia="仿宋_GB2312"/>
                <w:sz w:val="24"/>
              </w:rPr>
              <w:t>分。</w:t>
            </w:r>
          </w:p>
          <w:p>
            <w:pPr>
              <w:spacing w:line="460" w:lineRule="exact"/>
              <w:rPr>
                <w:rFonts w:eastAsia="仿宋_GB2312"/>
                <w:sz w:val="24"/>
              </w:rPr>
            </w:pPr>
            <w:r>
              <w:rPr>
                <w:rFonts w:eastAsia="仿宋_GB2312"/>
                <w:sz w:val="24"/>
              </w:rPr>
              <w:t>2、严格执行项目管理制度，得</w:t>
            </w:r>
            <w:r>
              <w:rPr>
                <w:rFonts w:hint="eastAsia" w:eastAsia="仿宋_GB2312"/>
                <w:sz w:val="24"/>
              </w:rPr>
              <w:t>6</w:t>
            </w:r>
            <w:r>
              <w:rPr>
                <w:rFonts w:eastAsia="仿宋_GB2312"/>
                <w:sz w:val="24"/>
              </w:rPr>
              <w:t>分。其中，购买商品、工程和服务不依法政府采购或工程项目不按规定招投标的，不得分。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rPr>
        <w:tc>
          <w:tcPr>
            <w:tcW w:w="1321" w:type="dxa"/>
            <w:vAlign w:val="center"/>
          </w:tcPr>
          <w:p>
            <w:pPr>
              <w:spacing w:line="340" w:lineRule="exact"/>
              <w:jc w:val="center"/>
              <w:rPr>
                <w:rFonts w:eastAsia="仿宋_GB2312"/>
                <w:sz w:val="24"/>
              </w:rPr>
            </w:pPr>
            <w:r>
              <w:rPr>
                <w:rFonts w:eastAsia="仿宋_GB2312"/>
                <w:sz w:val="24"/>
              </w:rPr>
              <w:t>资金支出</w:t>
            </w:r>
          </w:p>
          <w:p>
            <w:pPr>
              <w:spacing w:line="340" w:lineRule="exact"/>
              <w:jc w:val="center"/>
              <w:rPr>
                <w:rFonts w:eastAsia="仿宋_GB2312"/>
                <w:sz w:val="24"/>
              </w:rPr>
            </w:pPr>
            <w:r>
              <w:rPr>
                <w:rFonts w:eastAsia="仿宋_GB2312"/>
                <w:sz w:val="24"/>
              </w:rPr>
              <w:t>合理合规</w:t>
            </w:r>
          </w:p>
        </w:tc>
        <w:tc>
          <w:tcPr>
            <w:tcW w:w="727" w:type="dxa"/>
            <w:vAlign w:val="center"/>
          </w:tcPr>
          <w:p>
            <w:pPr>
              <w:spacing w:line="340" w:lineRule="exact"/>
              <w:jc w:val="center"/>
              <w:rPr>
                <w:rFonts w:eastAsia="仿宋_GB2312"/>
                <w:sz w:val="24"/>
              </w:rPr>
            </w:pPr>
            <w:r>
              <w:rPr>
                <w:rFonts w:eastAsia="仿宋_GB2312"/>
                <w:sz w:val="24"/>
              </w:rPr>
              <w:t>1</w:t>
            </w:r>
            <w:r>
              <w:rPr>
                <w:rFonts w:hint="eastAsia" w:eastAsia="仿宋_GB2312"/>
                <w:sz w:val="24"/>
              </w:rPr>
              <w:t>0</w:t>
            </w:r>
          </w:p>
        </w:tc>
        <w:tc>
          <w:tcPr>
            <w:tcW w:w="6770" w:type="dxa"/>
          </w:tcPr>
          <w:p>
            <w:pPr>
              <w:spacing w:line="460" w:lineRule="exact"/>
              <w:rPr>
                <w:rFonts w:eastAsia="仿宋_GB2312"/>
                <w:sz w:val="24"/>
              </w:rPr>
            </w:pPr>
            <w:r>
              <w:rPr>
                <w:rFonts w:eastAsia="仿宋_GB2312"/>
                <w:sz w:val="24"/>
              </w:rPr>
              <w:t>资金支出合理合规比率=（项目资金支出-不合理合规资金支出）/项目资金支出×100%。</w:t>
            </w:r>
          </w:p>
          <w:p>
            <w:pPr>
              <w:spacing w:line="460" w:lineRule="exact"/>
              <w:rPr>
                <w:rFonts w:eastAsia="仿宋_GB2312"/>
                <w:sz w:val="24"/>
              </w:rPr>
            </w:pPr>
            <w:r>
              <w:rPr>
                <w:rFonts w:eastAsia="仿宋_GB2312"/>
                <w:sz w:val="24"/>
              </w:rPr>
              <w:t>不合理合规资金支出是指项目资金支出超出项目预算范围，与本项目预算不相符、无关或不符合国家财经法规和财务管理制度以及专项资金管理办法等规定的支出，如以虚报、冒领等手段骗取财政资金；截留、挪用财政资金；滞留应当下拨的财政资金；违反规定扩大开支范围，提高开支标准；违规发放津贴补贴；白条入账等。</w:t>
            </w:r>
          </w:p>
          <w:p>
            <w:pPr>
              <w:spacing w:line="460" w:lineRule="exact"/>
              <w:rPr>
                <w:rFonts w:eastAsia="仿宋_GB2312"/>
                <w:sz w:val="24"/>
              </w:rPr>
            </w:pPr>
            <w:r>
              <w:rPr>
                <w:rFonts w:eastAsia="仿宋_GB2312"/>
                <w:sz w:val="24"/>
              </w:rPr>
              <w:t>资金支出合理合规比率S=100%，得满分；每下降1%，扣1分，扣完为止。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321" w:type="dxa"/>
            <w:vAlign w:val="center"/>
          </w:tcPr>
          <w:p>
            <w:pPr>
              <w:spacing w:line="340" w:lineRule="exact"/>
              <w:jc w:val="center"/>
              <w:rPr>
                <w:rFonts w:eastAsia="仿宋_GB2312"/>
                <w:sz w:val="24"/>
              </w:rPr>
            </w:pPr>
            <w:r>
              <w:rPr>
                <w:rFonts w:eastAsia="仿宋_GB2312"/>
                <w:sz w:val="24"/>
              </w:rPr>
              <w:t>项目</w:t>
            </w:r>
          </w:p>
          <w:p>
            <w:pPr>
              <w:spacing w:line="340" w:lineRule="exact"/>
              <w:jc w:val="center"/>
              <w:rPr>
                <w:rFonts w:eastAsia="仿宋_GB2312"/>
                <w:sz w:val="24"/>
              </w:rPr>
            </w:pPr>
            <w:r>
              <w:rPr>
                <w:rFonts w:eastAsia="仿宋_GB2312"/>
                <w:sz w:val="24"/>
              </w:rPr>
              <w:t>产出</w:t>
            </w:r>
          </w:p>
        </w:tc>
        <w:tc>
          <w:tcPr>
            <w:tcW w:w="727" w:type="dxa"/>
            <w:vAlign w:val="center"/>
          </w:tcPr>
          <w:p>
            <w:pPr>
              <w:spacing w:line="340" w:lineRule="exact"/>
              <w:jc w:val="center"/>
              <w:rPr>
                <w:rFonts w:eastAsia="仿宋_GB2312"/>
                <w:sz w:val="24"/>
              </w:rPr>
            </w:pPr>
            <w:r>
              <w:rPr>
                <w:rFonts w:eastAsia="仿宋_GB2312"/>
                <w:sz w:val="24"/>
              </w:rPr>
              <w:t>30</w:t>
            </w:r>
          </w:p>
        </w:tc>
        <w:tc>
          <w:tcPr>
            <w:tcW w:w="6770" w:type="dxa"/>
          </w:tcPr>
          <w:p>
            <w:pPr>
              <w:spacing w:line="460" w:lineRule="exact"/>
              <w:rPr>
                <w:rFonts w:eastAsia="仿宋_GB2312"/>
                <w:sz w:val="24"/>
              </w:rPr>
            </w:pPr>
            <w:r>
              <w:rPr>
                <w:rFonts w:eastAsia="仿宋_GB2312"/>
                <w:sz w:val="24"/>
              </w:rPr>
              <w:t>要求根据项目性质和项目预期绩效目标（产出类目标），细化为产出数量、产出质量、产出时效、成本控制等方面进行评价。具体指标可量化的，按完成量化比例计分；具体指标不可量化的，按工作完成程度定性分成：完成、基本完成、基本未完成、未执行四档，分别按100%、90%－60%、50%－10%、0%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321" w:type="dxa"/>
            <w:vAlign w:val="center"/>
          </w:tcPr>
          <w:p>
            <w:pPr>
              <w:spacing w:line="340" w:lineRule="exact"/>
              <w:jc w:val="center"/>
              <w:rPr>
                <w:rFonts w:eastAsia="仿宋_GB2312"/>
                <w:sz w:val="24"/>
              </w:rPr>
            </w:pPr>
            <w:r>
              <w:rPr>
                <w:rFonts w:eastAsia="仿宋_GB2312"/>
                <w:sz w:val="24"/>
              </w:rPr>
              <w:t>项目效益</w:t>
            </w:r>
          </w:p>
          <w:p>
            <w:pPr>
              <w:spacing w:line="340" w:lineRule="exact"/>
              <w:jc w:val="center"/>
              <w:rPr>
                <w:rFonts w:eastAsia="仿宋_GB2312"/>
                <w:sz w:val="24"/>
              </w:rPr>
            </w:pPr>
            <w:r>
              <w:rPr>
                <w:rFonts w:eastAsia="仿宋_GB2312"/>
                <w:sz w:val="24"/>
              </w:rPr>
              <w:t>（效果）</w:t>
            </w:r>
          </w:p>
        </w:tc>
        <w:tc>
          <w:tcPr>
            <w:tcW w:w="727" w:type="dxa"/>
            <w:vAlign w:val="center"/>
          </w:tcPr>
          <w:p>
            <w:pPr>
              <w:spacing w:line="340" w:lineRule="exact"/>
              <w:jc w:val="center"/>
              <w:rPr>
                <w:rFonts w:eastAsia="仿宋_GB2312"/>
                <w:sz w:val="24"/>
              </w:rPr>
            </w:pPr>
            <w:r>
              <w:rPr>
                <w:rFonts w:eastAsia="仿宋_GB2312"/>
                <w:sz w:val="24"/>
              </w:rPr>
              <w:t>20</w:t>
            </w:r>
          </w:p>
        </w:tc>
        <w:tc>
          <w:tcPr>
            <w:tcW w:w="6770" w:type="dxa"/>
          </w:tcPr>
          <w:p>
            <w:pPr>
              <w:spacing w:line="460" w:lineRule="exact"/>
              <w:rPr>
                <w:rFonts w:eastAsia="仿宋_GB2312"/>
                <w:sz w:val="24"/>
              </w:rPr>
            </w:pPr>
            <w:r>
              <w:rPr>
                <w:rFonts w:eastAsia="仿宋_GB2312"/>
                <w:sz w:val="24"/>
              </w:rPr>
              <w:t>要求根据项目性质和项目预期绩效目标（效益或效果类目标），细化为经济效益、社会效益、环境效益和可持续影响及服务对象满意度等具体绩效指标进行评价。具体指标可量化的，按取得效益或效果的量化比例计分；不可量化的，按目标达到程度分成：达到、基本达到、基本未达到、未达到四档，分别按100%、90%－60%、50%－10%、0%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1321" w:type="dxa"/>
            <w:vAlign w:val="center"/>
          </w:tcPr>
          <w:p>
            <w:pPr>
              <w:spacing w:line="340" w:lineRule="exact"/>
              <w:jc w:val="center"/>
              <w:rPr>
                <w:rFonts w:eastAsia="仿宋_GB2312"/>
                <w:sz w:val="24"/>
              </w:rPr>
            </w:pPr>
            <w:r>
              <w:rPr>
                <w:rFonts w:hint="eastAsia" w:eastAsia="仿宋_GB2312"/>
                <w:sz w:val="24"/>
              </w:rPr>
              <w:t>服务对象满意度</w:t>
            </w:r>
          </w:p>
        </w:tc>
        <w:tc>
          <w:tcPr>
            <w:tcW w:w="727" w:type="dxa"/>
            <w:vAlign w:val="center"/>
          </w:tcPr>
          <w:p>
            <w:pPr>
              <w:spacing w:line="340" w:lineRule="exact"/>
              <w:jc w:val="center"/>
              <w:rPr>
                <w:rFonts w:eastAsia="仿宋_GB2312"/>
                <w:sz w:val="24"/>
              </w:rPr>
            </w:pPr>
            <w:r>
              <w:rPr>
                <w:rFonts w:hint="eastAsia" w:eastAsia="仿宋_GB2312"/>
                <w:sz w:val="24"/>
              </w:rPr>
              <w:t>10</w:t>
            </w:r>
          </w:p>
        </w:tc>
        <w:tc>
          <w:tcPr>
            <w:tcW w:w="6770" w:type="dxa"/>
          </w:tcPr>
          <w:p>
            <w:pPr>
              <w:spacing w:line="340" w:lineRule="exact"/>
              <w:jc w:val="left"/>
              <w:rPr>
                <w:rFonts w:eastAsia="仿宋_GB2312"/>
                <w:sz w:val="24"/>
              </w:rPr>
            </w:pPr>
            <w:r>
              <w:rPr>
                <w:rFonts w:hint="eastAsia" w:eastAsia="仿宋_GB2312"/>
                <w:sz w:val="24"/>
              </w:rPr>
              <w:t>服务对象满意度计分：</w:t>
            </w:r>
          </w:p>
          <w:p>
            <w:pPr>
              <w:spacing w:line="340" w:lineRule="exact"/>
              <w:jc w:val="left"/>
              <w:rPr>
                <w:rFonts w:eastAsia="仿宋_GB2312"/>
                <w:sz w:val="24"/>
              </w:rPr>
            </w:pPr>
            <w:r>
              <w:rPr>
                <w:rFonts w:hint="eastAsia" w:eastAsia="仿宋_GB2312"/>
                <w:sz w:val="24"/>
              </w:rPr>
              <w:t>90%≤满意度≤100%记10分，</w:t>
            </w:r>
          </w:p>
          <w:p>
            <w:pPr>
              <w:spacing w:line="340" w:lineRule="exact"/>
              <w:jc w:val="left"/>
              <w:rPr>
                <w:rFonts w:eastAsia="仿宋_GB2312"/>
                <w:sz w:val="24"/>
              </w:rPr>
            </w:pPr>
            <w:r>
              <w:rPr>
                <w:rFonts w:hint="eastAsia" w:eastAsia="仿宋_GB2312"/>
                <w:sz w:val="24"/>
              </w:rPr>
              <w:t>80%≤满意度&lt;90%记8分，</w:t>
            </w:r>
          </w:p>
          <w:p>
            <w:pPr>
              <w:spacing w:line="340" w:lineRule="exact"/>
              <w:jc w:val="left"/>
              <w:rPr>
                <w:rFonts w:eastAsia="仿宋_GB2312"/>
                <w:sz w:val="24"/>
              </w:rPr>
            </w:pPr>
            <w:r>
              <w:rPr>
                <w:rFonts w:hint="eastAsia" w:eastAsia="仿宋_GB2312"/>
                <w:sz w:val="24"/>
              </w:rPr>
              <w:t>70%≤满意度&lt;80%  记6分，</w:t>
            </w:r>
          </w:p>
          <w:p>
            <w:pPr>
              <w:spacing w:line="340" w:lineRule="exact"/>
              <w:jc w:val="left"/>
              <w:rPr>
                <w:rFonts w:eastAsia="仿宋_GB2312"/>
                <w:sz w:val="24"/>
              </w:rPr>
            </w:pPr>
            <w:r>
              <w:rPr>
                <w:rFonts w:hint="eastAsia" w:eastAsia="仿宋_GB2312"/>
                <w:sz w:val="24"/>
              </w:rPr>
              <w:t>60%≤满意度&lt;70%记4分，</w:t>
            </w:r>
          </w:p>
          <w:p>
            <w:pPr>
              <w:spacing w:line="340" w:lineRule="exact"/>
              <w:jc w:val="left"/>
              <w:rPr>
                <w:rFonts w:eastAsia="仿宋_GB2312"/>
                <w:sz w:val="24"/>
              </w:rPr>
            </w:pPr>
            <w:r>
              <w:rPr>
                <w:rFonts w:hint="eastAsia" w:eastAsia="仿宋_GB2312"/>
                <w:sz w:val="24"/>
              </w:rPr>
              <w:t>满意度&lt;60%记0分。</w:t>
            </w:r>
          </w:p>
        </w:tc>
      </w:tr>
    </w:tbl>
    <w:p>
      <w:pPr>
        <w:spacing w:before="240" w:line="340" w:lineRule="exact"/>
        <w:jc w:val="left"/>
        <w:rPr>
          <w:rFonts w:asciiTheme="minorEastAsia" w:hAnsiTheme="minorEastAsia" w:eastAsiaTheme="minorEastAsia"/>
          <w:sz w:val="30"/>
          <w:szCs w:val="30"/>
        </w:rPr>
      </w:pPr>
      <w:r>
        <w:rPr>
          <w:rFonts w:hAnsi="方正粗宋简体" w:eastAsia="方正粗宋简体"/>
          <w:sz w:val="44"/>
          <w:szCs w:val="44"/>
        </w:rPr>
        <w:br w:type="page"/>
      </w:r>
      <w:r>
        <w:rPr>
          <w:rFonts w:hint="eastAsia" w:cs="仿宋_GB2312" w:asciiTheme="minorEastAsia" w:hAnsiTheme="minorEastAsia" w:eastAsiaTheme="minorEastAsia"/>
          <w:sz w:val="30"/>
          <w:szCs w:val="30"/>
        </w:rPr>
        <w:t>附件2-3 </w:t>
      </w:r>
    </w:p>
    <w:p>
      <w:pPr>
        <w:spacing w:line="600" w:lineRule="exact"/>
        <w:jc w:val="center"/>
        <w:rPr>
          <w:rFonts w:asciiTheme="minorEastAsia" w:hAnsiTheme="minorEastAsia" w:eastAsiaTheme="minorEastAsia"/>
          <w:w w:val="85"/>
          <w:sz w:val="30"/>
          <w:szCs w:val="30"/>
        </w:rPr>
      </w:pPr>
      <w:r>
        <w:rPr>
          <w:rFonts w:asciiTheme="minorEastAsia" w:hAnsiTheme="minorEastAsia" w:eastAsiaTheme="minorEastAsia"/>
          <w:w w:val="85"/>
          <w:sz w:val="30"/>
          <w:szCs w:val="30"/>
        </w:rPr>
        <w:t> 202</w:t>
      </w:r>
      <w:r>
        <w:rPr>
          <w:rFonts w:hint="eastAsia" w:asciiTheme="minorEastAsia" w:hAnsiTheme="minorEastAsia" w:eastAsiaTheme="minorEastAsia"/>
          <w:w w:val="85"/>
          <w:sz w:val="30"/>
          <w:szCs w:val="30"/>
        </w:rPr>
        <w:t>1</w:t>
      </w:r>
      <w:r>
        <w:rPr>
          <w:rFonts w:asciiTheme="minorEastAsia" w:hAnsiTheme="minorEastAsia" w:eastAsiaTheme="minorEastAsia"/>
          <w:w w:val="85"/>
          <w:sz w:val="30"/>
          <w:szCs w:val="30"/>
        </w:rPr>
        <w:t>年度新晃县</w:t>
      </w:r>
      <w:r>
        <w:rPr>
          <w:rFonts w:hint="eastAsia" w:asciiTheme="minorEastAsia" w:hAnsiTheme="minorEastAsia" w:eastAsiaTheme="minorEastAsia"/>
          <w:w w:val="85"/>
          <w:sz w:val="30"/>
          <w:szCs w:val="30"/>
        </w:rPr>
        <w:t>项目</w:t>
      </w:r>
      <w:r>
        <w:rPr>
          <w:rFonts w:asciiTheme="minorEastAsia" w:hAnsiTheme="minorEastAsia" w:eastAsiaTheme="minorEastAsia"/>
          <w:w w:val="85"/>
          <w:sz w:val="30"/>
          <w:szCs w:val="30"/>
        </w:rPr>
        <w:t>支出</w:t>
      </w:r>
      <w:r>
        <w:rPr>
          <w:rFonts w:hint="eastAsia" w:asciiTheme="minorEastAsia" w:hAnsiTheme="minorEastAsia" w:eastAsiaTheme="minorEastAsia"/>
          <w:w w:val="85"/>
          <w:sz w:val="30"/>
          <w:szCs w:val="30"/>
        </w:rPr>
        <w:t>绩效</w:t>
      </w:r>
      <w:r>
        <w:rPr>
          <w:rFonts w:asciiTheme="minorEastAsia" w:hAnsiTheme="minorEastAsia" w:eastAsiaTheme="minorEastAsia"/>
          <w:w w:val="85"/>
          <w:sz w:val="30"/>
          <w:szCs w:val="30"/>
        </w:rPr>
        <w:t>自评报告</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一、基本情况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（一）项目概况。</w:t>
      </w:r>
    </w:p>
    <w:p>
      <w:pPr>
        <w:spacing w:line="560" w:lineRule="exact"/>
        <w:ind w:firstLine="600" w:firstLineChars="200"/>
        <w:jc w:val="left"/>
        <w:rPr>
          <w:rFonts w:asciiTheme="minorEastAsia" w:hAnsiTheme="minorEastAsia" w:eastAsiaTheme="minorEastAsia"/>
          <w:sz w:val="30"/>
          <w:szCs w:val="30"/>
        </w:rPr>
      </w:pPr>
      <w:r>
        <w:rPr>
          <w:rFonts w:hint="eastAsia" w:cs="仿宋_GB2312" w:asciiTheme="minorEastAsia" w:hAnsiTheme="minorEastAsia" w:eastAsiaTheme="minorEastAsia"/>
          <w:sz w:val="30"/>
          <w:szCs w:val="30"/>
        </w:rPr>
        <w:t>景观亮化维护和一河两岸电费项目主要是用于城区景观亮化的维护费和一河两岸的电费。</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（二）项目绩效目标。</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1、保障一河两岸市政路灯亮化；2、保障一河两岸路灯的正常运行。</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二、绩效评价工作开展情况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（一）绩效评价目的、对象和范围。</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保障一河两岸市政路灯正常运行。2021年</w:t>
      </w:r>
      <w:r>
        <w:rPr>
          <w:rFonts w:hint="eastAsia" w:cs="仿宋_GB2312" w:asciiTheme="minorEastAsia" w:hAnsiTheme="minorEastAsia" w:eastAsiaTheme="minorEastAsia"/>
          <w:sz w:val="30"/>
          <w:szCs w:val="30"/>
        </w:rPr>
        <w:t>景观亮化维护费用支出50万元，一河两岸的电费支出121.98万元，景观亮化维护和一河两岸电费项目共支出171.98万元，景观亮化维护和一河两岸电费项目预算经费500万元，完成预算的34.34%。</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三、综合评价情况及评价结论（附相关评分表）</w:t>
      </w:r>
    </w:p>
    <w:p>
      <w:pPr>
        <w:spacing w:line="560" w:lineRule="exact"/>
        <w:ind w:firstLine="600" w:firstLineChars="200"/>
        <w:jc w:val="left"/>
        <w:rPr>
          <w:rFonts w:asciiTheme="minorEastAsia" w:hAnsiTheme="minorEastAsia" w:eastAsiaTheme="minorEastAsia"/>
          <w:b/>
          <w:bCs/>
          <w:sz w:val="30"/>
          <w:szCs w:val="30"/>
        </w:rPr>
      </w:pPr>
      <w:r>
        <w:rPr>
          <w:rFonts w:hint="eastAsia" w:cs="仿宋_GB2312" w:asciiTheme="minorEastAsia" w:hAnsiTheme="minorEastAsia" w:eastAsiaTheme="minorEastAsia"/>
          <w:sz w:val="30"/>
          <w:szCs w:val="30"/>
        </w:rPr>
        <w:t>景观亮化维护和一河两岸电费项目自评得分89分（评分表附后）。</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四、绩效评价指标分析</w:t>
      </w:r>
    </w:p>
    <w:tbl>
      <w:tblPr>
        <w:tblStyle w:val="6"/>
        <w:tblW w:w="9840" w:type="dxa"/>
        <w:tblInd w:w="96" w:type="dxa"/>
        <w:tblLayout w:type="fixed"/>
        <w:tblCellMar>
          <w:top w:w="0" w:type="dxa"/>
          <w:left w:w="108" w:type="dxa"/>
          <w:bottom w:w="0" w:type="dxa"/>
          <w:right w:w="108" w:type="dxa"/>
        </w:tblCellMar>
      </w:tblPr>
      <w:tblGrid>
        <w:gridCol w:w="1660"/>
        <w:gridCol w:w="1080"/>
        <w:gridCol w:w="1080"/>
        <w:gridCol w:w="1640"/>
        <w:gridCol w:w="2160"/>
        <w:gridCol w:w="2220"/>
      </w:tblGrid>
      <w:tr>
        <w:tblPrEx>
          <w:tblCellMar>
            <w:top w:w="0" w:type="dxa"/>
            <w:left w:w="108" w:type="dxa"/>
            <w:bottom w:w="0" w:type="dxa"/>
            <w:right w:w="108" w:type="dxa"/>
          </w:tblCellMar>
        </w:tblPrEx>
        <w:trPr>
          <w:trHeight w:val="540" w:hRule="atLeast"/>
        </w:trPr>
        <w:tc>
          <w:tcPr>
            <w:tcW w:w="1660" w:type="dxa"/>
            <w:vMerge w:val="restart"/>
            <w:tcBorders>
              <w:top w:val="nil"/>
              <w:left w:val="single" w:color="auto" w:sz="8" w:space="0"/>
              <w:bottom w:val="nil"/>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本年度</w:t>
            </w:r>
            <w:r>
              <w:rPr>
                <w:rFonts w:hint="eastAsia" w:cs="宋体" w:asciiTheme="minorEastAsia" w:hAnsiTheme="minorEastAsia" w:eastAsiaTheme="minorEastAsia"/>
                <w:color w:val="000000"/>
                <w:sz w:val="24"/>
                <w:szCs w:val="24"/>
              </w:rPr>
              <w:br w:type="textWrapping"/>
            </w:r>
            <w:r>
              <w:rPr>
                <w:rFonts w:hint="eastAsia" w:cs="宋体" w:asciiTheme="minorEastAsia" w:hAnsiTheme="minorEastAsia" w:eastAsiaTheme="minorEastAsia"/>
                <w:color w:val="000000"/>
                <w:sz w:val="24"/>
                <w:szCs w:val="24"/>
              </w:rPr>
              <w:t>绩效指标</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一级指标</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二级指标</w:t>
            </w:r>
          </w:p>
        </w:tc>
        <w:tc>
          <w:tcPr>
            <w:tcW w:w="164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三级指标</w:t>
            </w:r>
          </w:p>
        </w:tc>
        <w:tc>
          <w:tcPr>
            <w:tcW w:w="216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指标值及单位</w:t>
            </w:r>
          </w:p>
        </w:tc>
        <w:tc>
          <w:tcPr>
            <w:tcW w:w="222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绩效标准</w:t>
            </w:r>
          </w:p>
        </w:tc>
      </w:tr>
      <w:tr>
        <w:tblPrEx>
          <w:tblCellMar>
            <w:top w:w="0" w:type="dxa"/>
            <w:left w:w="108" w:type="dxa"/>
            <w:bottom w:w="0" w:type="dxa"/>
            <w:right w:w="108" w:type="dxa"/>
          </w:tblCellMar>
        </w:tblPrEx>
        <w:trPr>
          <w:trHeight w:val="80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restart"/>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产出指标</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数量指标</w:t>
            </w:r>
          </w:p>
        </w:tc>
        <w:tc>
          <w:tcPr>
            <w:tcW w:w="164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一河两岸路灯的改造</w:t>
            </w:r>
          </w:p>
        </w:tc>
        <w:tc>
          <w:tcPr>
            <w:tcW w:w="21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≧100盏</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质量指标</w:t>
            </w:r>
          </w:p>
        </w:tc>
        <w:tc>
          <w:tcPr>
            <w:tcW w:w="164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一河两岸路灯亮化率</w:t>
            </w:r>
          </w:p>
        </w:tc>
        <w:tc>
          <w:tcPr>
            <w:tcW w:w="21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≧95%</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459"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时效指标</w:t>
            </w:r>
          </w:p>
        </w:tc>
        <w:tc>
          <w:tcPr>
            <w:tcW w:w="164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资金及时拨付率</w:t>
            </w:r>
          </w:p>
        </w:tc>
        <w:tc>
          <w:tcPr>
            <w:tcW w:w="21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及时拨付</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864"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成本指标</w:t>
            </w:r>
          </w:p>
        </w:tc>
        <w:tc>
          <w:tcPr>
            <w:tcW w:w="164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一河两岸市政路灯亮化电费及维护工程费</w:t>
            </w:r>
          </w:p>
        </w:tc>
        <w:tc>
          <w:tcPr>
            <w:tcW w:w="21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≦500万元</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68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效益指标</w:t>
            </w:r>
          </w:p>
        </w:tc>
        <w:tc>
          <w:tcPr>
            <w:tcW w:w="1080"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经济效益指标</w:t>
            </w:r>
          </w:p>
        </w:tc>
        <w:tc>
          <w:tcPr>
            <w:tcW w:w="1640"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不适用</w:t>
            </w:r>
          </w:p>
        </w:tc>
        <w:tc>
          <w:tcPr>
            <w:tcW w:w="2160"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不适用</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104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社会效益指标</w:t>
            </w:r>
          </w:p>
        </w:tc>
        <w:tc>
          <w:tcPr>
            <w:tcW w:w="164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美化城市周边环境，方便居民夜间出行</w:t>
            </w:r>
          </w:p>
        </w:tc>
        <w:tc>
          <w:tcPr>
            <w:tcW w:w="21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明显</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576"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生态效益指标</w:t>
            </w:r>
          </w:p>
        </w:tc>
        <w:tc>
          <w:tcPr>
            <w:tcW w:w="164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不适用</w:t>
            </w:r>
          </w:p>
        </w:tc>
        <w:tc>
          <w:tcPr>
            <w:tcW w:w="21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不适用</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68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可持续影响指标</w:t>
            </w:r>
          </w:p>
        </w:tc>
        <w:tc>
          <w:tcPr>
            <w:tcW w:w="1640"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项目能持续运行</w:t>
            </w:r>
          </w:p>
        </w:tc>
        <w:tc>
          <w:tcPr>
            <w:tcW w:w="2160"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可持续</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1152"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社会公众或服务对象满意度指标</w:t>
            </w:r>
          </w:p>
        </w:tc>
        <w:tc>
          <w:tcPr>
            <w:tcW w:w="164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社会公众满意度</w:t>
            </w:r>
          </w:p>
        </w:tc>
        <w:tc>
          <w:tcPr>
            <w:tcW w:w="21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≧95%</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计划标准</w:t>
            </w:r>
          </w:p>
        </w:tc>
      </w:tr>
    </w:tbl>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五、主要经验及做法、存在的问题及原因分析</w:t>
      </w:r>
    </w:p>
    <w:p>
      <w:pPr>
        <w:spacing w:line="560" w:lineRule="exact"/>
        <w:ind w:firstLine="600" w:firstLineChars="200"/>
        <w:jc w:val="left"/>
        <w:rPr>
          <w:rFonts w:asciiTheme="minorEastAsia" w:hAnsiTheme="minorEastAsia" w:eastAsiaTheme="minorEastAsia"/>
          <w:b/>
          <w:bCs/>
          <w:sz w:val="30"/>
          <w:szCs w:val="30"/>
        </w:rPr>
      </w:pPr>
      <w:r>
        <w:rPr>
          <w:rFonts w:cs="Arial" w:asciiTheme="minorEastAsia" w:hAnsiTheme="minorEastAsia" w:eastAsiaTheme="minorEastAsia"/>
          <w:color w:val="191919"/>
          <w:sz w:val="30"/>
          <w:szCs w:val="30"/>
          <w:shd w:val="clear" w:color="auto" w:fill="FFFFFF"/>
        </w:rPr>
        <w:t>城市景观亮化应该以人文本，照明设计应成为解读城市、明晰城市空间结构的视觉引导；照明工程的建设定位和建设步骤都应该与政策相匹配；照明工程的运营维护要符合节能标准，在满足照明效果的前提下，合理利用每一份能源，降低能耗和成本。</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六、有关建议</w:t>
      </w:r>
    </w:p>
    <w:p>
      <w:pPr>
        <w:spacing w:line="560" w:lineRule="exact"/>
        <w:ind w:firstLine="600" w:firstLineChars="200"/>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无。</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七、其他需要说明的问题</w:t>
      </w:r>
    </w:p>
    <w:p>
      <w:pPr>
        <w:pStyle w:val="5"/>
        <w:widowControl w:val="0"/>
        <w:spacing w:before="0" w:beforeAutospacing="0" w:after="0" w:afterAutospacing="0" w:line="520" w:lineRule="exact"/>
        <w:ind w:firstLine="600" w:firstLineChars="200"/>
        <w:rPr>
          <w:rFonts w:hint="eastAsia" w:cs="Times New Roman" w:asciiTheme="minorEastAsia" w:hAnsiTheme="minorEastAsia" w:eastAsiaTheme="minorEastAsia"/>
          <w:sz w:val="30"/>
          <w:szCs w:val="30"/>
        </w:rPr>
      </w:pPr>
      <w:r>
        <w:rPr>
          <w:rFonts w:hint="eastAsia" w:cs="Times New Roman" w:asciiTheme="minorEastAsia" w:hAnsiTheme="minorEastAsia" w:eastAsiaTheme="minorEastAsia"/>
          <w:sz w:val="30"/>
          <w:szCs w:val="30"/>
        </w:rPr>
        <w:t>无。</w:t>
      </w:r>
    </w:p>
    <w:p>
      <w:pPr>
        <w:pStyle w:val="5"/>
        <w:widowControl w:val="0"/>
        <w:spacing w:before="0" w:beforeAutospacing="0" w:after="0" w:afterAutospacing="0" w:line="520" w:lineRule="exact"/>
        <w:rPr>
          <w:rFonts w:hint="eastAsia" w:cs="Times New Roman" w:asciiTheme="minorEastAsia" w:hAnsiTheme="minorEastAsia" w:eastAsiaTheme="minorEastAsia"/>
          <w:sz w:val="30"/>
          <w:szCs w:val="30"/>
        </w:rPr>
      </w:pPr>
    </w:p>
    <w:p>
      <w:pPr>
        <w:pStyle w:val="5"/>
        <w:widowControl w:val="0"/>
        <w:spacing w:before="0" w:beforeAutospacing="0" w:after="0" w:afterAutospacing="0" w:line="520" w:lineRule="exact"/>
        <w:ind w:firstLine="600" w:firstLineChars="200"/>
        <w:rPr>
          <w:rFonts w:cs="Times New Roman" w:asciiTheme="minorEastAsia" w:hAnsiTheme="minorEastAsia" w:eastAsiaTheme="minorEastAsia"/>
          <w:sz w:val="30"/>
          <w:szCs w:val="30"/>
        </w:rPr>
      </w:pPr>
    </w:p>
    <w:p>
      <w:pPr>
        <w:ind w:left="8400" w:hanging="8400" w:hangingChars="2800"/>
        <w:rPr>
          <w:rFonts w:asciiTheme="minorEastAsia" w:hAnsiTheme="minorEastAsia" w:eastAsiaTheme="minorEastAsia"/>
          <w:sz w:val="30"/>
          <w:szCs w:val="30"/>
        </w:rPr>
      </w:pP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项目单位（签）                        </w:t>
      </w:r>
    </w:p>
    <w:p>
      <w:pPr>
        <w:ind w:right="600"/>
        <w:jc w:val="righ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5</w:t>
      </w:r>
      <w:r>
        <w:rPr>
          <w:rFonts w:asciiTheme="minorEastAsia" w:hAnsiTheme="minorEastAsia" w:eastAsiaTheme="minorEastAsia"/>
          <w:sz w:val="30"/>
          <w:szCs w:val="30"/>
        </w:rPr>
        <w:t xml:space="preserve"> 月 </w:t>
      </w:r>
      <w:r>
        <w:rPr>
          <w:rFonts w:hint="eastAsia" w:asciiTheme="minorEastAsia" w:hAnsiTheme="minorEastAsia" w:eastAsiaTheme="minorEastAsia"/>
          <w:sz w:val="30"/>
          <w:szCs w:val="30"/>
        </w:rPr>
        <w:t>24</w:t>
      </w:r>
      <w:r>
        <w:rPr>
          <w:rFonts w:asciiTheme="minorEastAsia" w:hAnsiTheme="minorEastAsia" w:eastAsiaTheme="minorEastAsia"/>
          <w:sz w:val="30"/>
          <w:szCs w:val="30"/>
        </w:rPr>
        <w:t xml:space="preserve"> 日</w:t>
      </w:r>
    </w:p>
    <w:p>
      <w:pPr>
        <w:spacing w:before="100" w:beforeAutospacing="1" w:after="100" w:afterAutospacing="1" w:line="240" w:lineRule="exact"/>
        <w:ind w:left="0"/>
        <w:jc w:val="left"/>
        <w:rPr>
          <w:rFonts w:ascii="仿宋_GB2312" w:hAnsi="仿宋_GB2312" w:eastAsia="仿宋_GB2312" w:cs="仿宋_GB2312"/>
          <w:sz w:val="24"/>
        </w:rPr>
      </w:pPr>
      <w:r>
        <w:rPr>
          <w:rFonts w:hint="eastAsia" w:ascii="仿宋_GB2312" w:hAnsi="仿宋_GB2312" w:eastAsia="仿宋_GB2312" w:cs="仿宋_GB2312"/>
          <w:sz w:val="24"/>
        </w:rPr>
        <w:t>附件2-1</w:t>
      </w:r>
    </w:p>
    <w:p>
      <w:pPr>
        <w:spacing w:line="480" w:lineRule="exact"/>
        <w:jc w:val="center"/>
        <w:rPr>
          <w:rFonts w:eastAsia="方正粗宋简体"/>
          <w:w w:val="85"/>
          <w:sz w:val="44"/>
          <w:szCs w:val="44"/>
        </w:rPr>
      </w:pPr>
      <w:r>
        <w:rPr>
          <w:rFonts w:eastAsia="方正粗宋简体"/>
          <w:w w:val="85"/>
          <w:sz w:val="44"/>
          <w:szCs w:val="44"/>
        </w:rPr>
        <w:t>202</w:t>
      </w:r>
      <w:r>
        <w:rPr>
          <w:rFonts w:hint="eastAsia" w:eastAsia="方正粗宋简体"/>
          <w:w w:val="85"/>
          <w:sz w:val="44"/>
          <w:szCs w:val="44"/>
        </w:rPr>
        <w:t>1</w:t>
      </w:r>
      <w:r>
        <w:rPr>
          <w:rFonts w:hAnsi="方正粗宋简体" w:eastAsia="方正粗宋简体"/>
          <w:w w:val="85"/>
          <w:sz w:val="44"/>
          <w:szCs w:val="44"/>
        </w:rPr>
        <w:t>年度新晃县项目</w:t>
      </w:r>
      <w:r>
        <w:rPr>
          <w:rFonts w:hint="eastAsia" w:hAnsi="方正粗宋简体" w:eastAsia="方正粗宋简体"/>
          <w:w w:val="85"/>
          <w:sz w:val="44"/>
          <w:szCs w:val="44"/>
        </w:rPr>
        <w:t>支出</w:t>
      </w:r>
      <w:r>
        <w:rPr>
          <w:rFonts w:hAnsi="方正粗宋简体" w:eastAsia="方正粗宋简体"/>
          <w:w w:val="85"/>
          <w:sz w:val="44"/>
          <w:szCs w:val="44"/>
        </w:rPr>
        <w:t>绩效</w:t>
      </w:r>
      <w:r>
        <w:rPr>
          <w:rFonts w:hint="eastAsia" w:hAnsi="方正粗宋简体" w:eastAsia="方正粗宋简体"/>
          <w:w w:val="85"/>
          <w:sz w:val="44"/>
          <w:szCs w:val="44"/>
        </w:rPr>
        <w:t>自评</w:t>
      </w:r>
      <w:r>
        <w:rPr>
          <w:rFonts w:hAnsi="方正粗宋简体" w:eastAsia="方正粗宋简体"/>
          <w:w w:val="85"/>
          <w:sz w:val="44"/>
          <w:szCs w:val="44"/>
        </w:rPr>
        <w:t>表</w:t>
      </w:r>
    </w:p>
    <w:p>
      <w:pPr>
        <w:spacing w:beforeLines="50" w:line="240" w:lineRule="exact"/>
        <w:ind w:firstLine="482"/>
        <w:jc w:val="center"/>
        <w:rPr>
          <w:rFonts w:eastAsia="仿宋_GB2312"/>
          <w:szCs w:val="21"/>
        </w:rPr>
      </w:pPr>
      <w:r>
        <w:rPr>
          <w:sz w:val="24"/>
        </w:rPr>
        <w:t xml:space="preserve">                                                  </w:t>
      </w:r>
      <w:r>
        <w:rPr>
          <w:rFonts w:eastAsia="仿宋_GB2312"/>
          <w:szCs w:val="21"/>
        </w:rPr>
        <w:t>金额单位：万元</w:t>
      </w:r>
    </w:p>
    <w:tbl>
      <w:tblPr>
        <w:tblStyle w:val="6"/>
        <w:tblpPr w:leftFromText="180" w:rightFromText="180" w:vertAnchor="text" w:horzAnchor="page" w:tblpX="1195" w:tblpY="107"/>
        <w:tblOverlap w:val="never"/>
        <w:tblW w:w="98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143"/>
        <w:gridCol w:w="1800"/>
        <w:gridCol w:w="1628"/>
        <w:gridCol w:w="1097"/>
        <w:gridCol w:w="1206"/>
        <w:gridCol w:w="83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（盖章）</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4005"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责任部门</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城市管理和综合执法局</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项目负责人</w:t>
            </w:r>
          </w:p>
        </w:tc>
        <w:tc>
          <w:tcPr>
            <w:tcW w:w="109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黄超</w:t>
            </w:r>
          </w:p>
        </w:tc>
        <w:tc>
          <w:tcPr>
            <w:tcW w:w="120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15707450745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trPr>
        <w:tc>
          <w:tcPr>
            <w:tcW w:w="1312"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项目资金</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基本情况</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上年结转</w:t>
            </w: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年初预算安排数</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预算调整数</w:t>
            </w: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全年执行数</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blCellSpacing w:w="0" w:type="dxa"/>
        </w:trPr>
        <w:tc>
          <w:tcPr>
            <w:tcW w:w="1312" w:type="dxa"/>
            <w:vMerge w:val="continue"/>
            <w:vAlign w:val="center"/>
          </w:tcPr>
          <w:p>
            <w:pPr>
              <w:spacing w:line="320" w:lineRule="exact"/>
              <w:jc w:val="center"/>
              <w:rPr>
                <w:rFonts w:ascii="仿宋_GB2312" w:hAnsi="仿宋_GB2312" w:eastAsia="仿宋_GB2312" w:cs="仿宋_GB2312"/>
                <w:szCs w:val="21"/>
              </w:rPr>
            </w:pP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120</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评价内容</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评价简述</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单位自评得分</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项目预算及预期绩效目标编制水平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例如：本项目预算（即投入目标）编制科学、规范、合理，预期绩效目标申报完整，产出、效果类关键性指标清晰、明确、量化，投入与项目产出、效果目标匹配。</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例如：该项目预算执行率为*%。根据实际情况评分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项目组织管理水平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例如：本项目建立了**等项目管理制度，并严格按相关制度执行。</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资金支出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合理合规</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例如：本年项目支出符合国家相关法律法规、财务管理制度等规定，且均在预算范围内，无与本项目预算不相符或无关的资金支出。</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项目产出</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对照项目产出目标，按产出数量、产出质量、产出时效以及成本控制等方面进行自我评价。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项目效益（效果）</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对照项目效益目标，可从经济效益、社会效益、环境效益和可持续影响及服务对象满意度等5个具体绩效指标进行评价。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服务对象满意度计分：90%≤满意度≤100%记10分，80%≤满意度&lt;90%记8分，70%≤满意度&lt;80%   记6分，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60%≤满意度&lt;70%记4分，满意度&lt;60%记0分。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小计</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86</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负向指标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主要评价自评得分与复评得分差异率。差异率≤10%，不扣分；10%&lt;差异率≤15%，扣2分；15%&lt;差异率≤20%，扣4分；差异率&gt;20%，扣6分。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评价结果</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7433" w:type="dxa"/>
            <w:gridSpan w:val="6"/>
            <w:tcMar>
              <w:top w:w="0" w:type="dxa"/>
              <w:left w:w="105" w:type="dxa"/>
              <w:bottom w:w="0" w:type="dxa"/>
              <w:right w:w="105" w:type="dxa"/>
            </w:tcMar>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优秀  90分≤得分≤100分；    □ 良好  </w:t>
            </w:r>
            <w:r>
              <w:rPr>
                <w:rFonts w:ascii="仿宋_GB2312" w:hAnsi="仿宋_GB2312" w:eastAsia="仿宋_GB2312" w:cs="仿宋_GB2312"/>
                <w:szCs w:val="21"/>
              </w:rPr>
              <w:t>80</w:t>
            </w:r>
            <w:r>
              <w:rPr>
                <w:rFonts w:hint="eastAsia" w:ascii="仿宋_GB2312" w:hAnsi="仿宋_GB2312" w:eastAsia="仿宋_GB2312" w:cs="仿宋_GB2312"/>
                <w:szCs w:val="21"/>
              </w:rPr>
              <w:t>分≤得分＜90分；</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较差   60分≤得分＜</w:t>
            </w:r>
            <w:r>
              <w:rPr>
                <w:rFonts w:ascii="仿宋_GB2312" w:hAnsi="仿宋_GB2312" w:eastAsia="仿宋_GB2312" w:cs="仿宋_GB2312"/>
                <w:szCs w:val="21"/>
              </w:rPr>
              <w:t>80</w:t>
            </w:r>
            <w:r>
              <w:rPr>
                <w:rFonts w:hint="eastAsia" w:ascii="仿宋_GB2312" w:hAnsi="仿宋_GB2312" w:eastAsia="仿宋_GB2312" w:cs="仿宋_GB2312"/>
                <w:szCs w:val="21"/>
              </w:rPr>
              <w:t>分；    □ 差    得分＜60分</w:t>
            </w:r>
          </w:p>
        </w:tc>
      </w:tr>
    </w:tbl>
    <w:p>
      <w:pPr>
        <w:spacing w:line="320" w:lineRule="exact"/>
        <w:ind w:left="0"/>
        <w:jc w:val="left"/>
        <w:rPr>
          <w:rFonts w:ascii="华文中宋" w:hAnsi="华文中宋" w:eastAsia="华文中宋"/>
          <w:sz w:val="8"/>
          <w:szCs w:val="10"/>
        </w:rPr>
      </w:pPr>
    </w:p>
    <w:p>
      <w:pPr>
        <w:spacing w:line="320" w:lineRule="exact"/>
        <w:ind w:left="0"/>
        <w:jc w:val="left"/>
        <w:rPr>
          <w:rFonts w:ascii="华文中宋" w:hAnsi="华文中宋" w:eastAsia="华文中宋"/>
          <w:szCs w:val="21"/>
        </w:rPr>
      </w:pPr>
      <w:r>
        <w:rPr>
          <w:rFonts w:hint="eastAsia" w:ascii="宋体" w:hAnsi="宋体" w:cs="宋体"/>
          <w:szCs w:val="21"/>
        </w:rPr>
        <w:t>单</w:t>
      </w:r>
      <w:r>
        <w:rPr>
          <w:rFonts w:hint="eastAsia" w:ascii="Dotum" w:hAnsi="Dotum" w:eastAsia="Dotum" w:cs="Dotum"/>
          <w:szCs w:val="21"/>
        </w:rPr>
        <w:t>位</w:t>
      </w:r>
      <w:r>
        <w:rPr>
          <w:rFonts w:hint="eastAsia" w:ascii="宋体" w:hAnsi="宋体" w:cs="宋体"/>
          <w:szCs w:val="21"/>
        </w:rPr>
        <w:t>负责</w:t>
      </w:r>
      <w:r>
        <w:rPr>
          <w:rFonts w:hint="eastAsia" w:ascii="Dotum" w:hAnsi="Dotum" w:eastAsia="Dotum" w:cs="Dotum"/>
          <w:szCs w:val="21"/>
        </w:rPr>
        <w:t>人（</w:t>
      </w:r>
      <w:r>
        <w:rPr>
          <w:rFonts w:hint="eastAsia" w:ascii="宋体" w:hAnsi="宋体" w:cs="宋体"/>
          <w:szCs w:val="21"/>
        </w:rPr>
        <w:t>签</w:t>
      </w:r>
      <w:r>
        <w:rPr>
          <w:rFonts w:hint="eastAsia" w:ascii="Dotum" w:hAnsi="Dotum" w:eastAsia="Dotum" w:cs="Dotum"/>
          <w:szCs w:val="21"/>
        </w:rPr>
        <w:t>字）：</w:t>
      </w:r>
      <w:r>
        <w:rPr>
          <w:rFonts w:ascii="华文中宋" w:hAnsi="华文中宋" w:eastAsia="华文中宋"/>
          <w:szCs w:val="21"/>
        </w:rPr>
        <w:t xml:space="preserve">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宋体" w:hAnsi="宋体" w:cs="宋体"/>
          <w:szCs w:val="21"/>
        </w:rPr>
        <w:t>项</w:t>
      </w:r>
      <w:r>
        <w:rPr>
          <w:rFonts w:hint="eastAsia" w:ascii="Dotum" w:hAnsi="Dotum" w:eastAsia="Dotum" w:cs="Dotum"/>
          <w:szCs w:val="21"/>
        </w:rPr>
        <w:t>目</w:t>
      </w:r>
      <w:r>
        <w:rPr>
          <w:rFonts w:hint="eastAsia" w:ascii="宋体" w:hAnsi="宋体" w:cs="宋体"/>
          <w:szCs w:val="21"/>
        </w:rPr>
        <w:t>负责</w:t>
      </w:r>
      <w:r>
        <w:rPr>
          <w:rFonts w:hint="eastAsia" w:ascii="Dotum" w:hAnsi="Dotum" w:eastAsia="Dotum" w:cs="Dotum"/>
          <w:szCs w:val="21"/>
        </w:rPr>
        <w:t>人（</w:t>
      </w:r>
      <w:r>
        <w:rPr>
          <w:rFonts w:hint="eastAsia" w:ascii="宋体" w:hAnsi="宋体" w:cs="宋体"/>
          <w:szCs w:val="21"/>
        </w:rPr>
        <w:t>签</w:t>
      </w:r>
      <w:r>
        <w:rPr>
          <w:rFonts w:hint="eastAsia" w:ascii="Dotum" w:hAnsi="Dotum" w:eastAsia="Dotum" w:cs="Dotum"/>
          <w:szCs w:val="21"/>
        </w:rPr>
        <w:t>字）：</w:t>
      </w:r>
      <w:r>
        <w:rPr>
          <w:rFonts w:ascii="华文中宋" w:hAnsi="华文中宋" w:eastAsia="华文中宋"/>
          <w:szCs w:val="21"/>
        </w:rPr>
        <w:t>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宋体" w:hAnsi="宋体" w:cs="宋体"/>
          <w:szCs w:val="21"/>
        </w:rPr>
        <w:t>填</w:t>
      </w:r>
      <w:r>
        <w:rPr>
          <w:rFonts w:hint="eastAsia" w:ascii="Dotum" w:hAnsi="Dotum" w:eastAsia="Dotum" w:cs="Dotum"/>
          <w:szCs w:val="21"/>
        </w:rPr>
        <w:t>表日期：</w:t>
      </w:r>
      <w:r>
        <w:rPr>
          <w:rFonts w:ascii="华文中宋" w:hAnsi="华文中宋" w:eastAsia="华文中宋"/>
          <w:szCs w:val="21"/>
        </w:rPr>
        <w:t> </w:t>
      </w:r>
      <w:r>
        <w:rPr>
          <w:rFonts w:hint="eastAsia" w:ascii="华文中宋" w:hAnsi="华文中宋" w:eastAsia="华文中宋"/>
          <w:szCs w:val="21"/>
        </w:rPr>
        <w:t xml:space="preserve">2022 </w:t>
      </w:r>
      <w:r>
        <w:rPr>
          <w:rFonts w:ascii="华文中宋" w:hAnsi="华文中宋" w:eastAsia="华文中宋"/>
          <w:szCs w:val="21"/>
        </w:rPr>
        <w:t>年  </w:t>
      </w:r>
      <w:r>
        <w:rPr>
          <w:rFonts w:hint="eastAsia" w:ascii="华文中宋" w:hAnsi="华文中宋" w:eastAsia="华文中宋"/>
          <w:szCs w:val="21"/>
        </w:rPr>
        <w:t>5</w:t>
      </w:r>
      <w:r>
        <w:rPr>
          <w:rFonts w:ascii="华文中宋" w:hAnsi="华文中宋" w:eastAsia="华文中宋"/>
          <w:szCs w:val="21"/>
        </w:rPr>
        <w:t xml:space="preserve"> 月 </w:t>
      </w:r>
      <w:r>
        <w:rPr>
          <w:rFonts w:hint="eastAsia" w:ascii="华文中宋" w:hAnsi="华文中宋" w:eastAsia="华文中宋"/>
          <w:szCs w:val="21"/>
        </w:rPr>
        <w:t>24</w:t>
      </w:r>
      <w:r>
        <w:rPr>
          <w:rFonts w:ascii="华文中宋" w:hAnsi="华文中宋" w:eastAsia="华文中宋"/>
          <w:szCs w:val="21"/>
        </w:rPr>
        <w:t>  日</w:t>
      </w:r>
    </w:p>
    <w:p>
      <w:pPr>
        <w:spacing w:before="240" w:line="340" w:lineRule="exact"/>
        <w:ind w:left="0"/>
        <w:jc w:val="left"/>
        <w:rPr>
          <w:rFonts w:asciiTheme="minorEastAsia" w:hAnsiTheme="minorEastAsia" w:eastAsiaTheme="minorEastAsia"/>
          <w:sz w:val="30"/>
          <w:szCs w:val="30"/>
        </w:rPr>
      </w:pPr>
      <w:r>
        <w:rPr>
          <w:rFonts w:hint="eastAsia" w:cs="仿宋_GB2312" w:asciiTheme="minorEastAsia" w:hAnsiTheme="minorEastAsia" w:eastAsiaTheme="minorEastAsia"/>
          <w:sz w:val="30"/>
          <w:szCs w:val="30"/>
        </w:rPr>
        <w:t>附件2-3 </w:t>
      </w:r>
    </w:p>
    <w:p>
      <w:pPr>
        <w:spacing w:line="600" w:lineRule="exact"/>
        <w:jc w:val="center"/>
        <w:rPr>
          <w:rFonts w:asciiTheme="minorEastAsia" w:hAnsiTheme="minorEastAsia" w:eastAsiaTheme="minorEastAsia"/>
          <w:w w:val="85"/>
          <w:sz w:val="30"/>
          <w:szCs w:val="30"/>
        </w:rPr>
      </w:pPr>
      <w:r>
        <w:rPr>
          <w:rFonts w:asciiTheme="minorEastAsia" w:hAnsiTheme="minorEastAsia" w:eastAsiaTheme="minorEastAsia"/>
          <w:w w:val="85"/>
          <w:sz w:val="30"/>
          <w:szCs w:val="30"/>
        </w:rPr>
        <w:t> 202</w:t>
      </w:r>
      <w:r>
        <w:rPr>
          <w:rFonts w:hint="eastAsia" w:asciiTheme="minorEastAsia" w:hAnsiTheme="minorEastAsia" w:eastAsiaTheme="minorEastAsia"/>
          <w:w w:val="85"/>
          <w:sz w:val="30"/>
          <w:szCs w:val="30"/>
        </w:rPr>
        <w:t>1</w:t>
      </w:r>
      <w:r>
        <w:rPr>
          <w:rFonts w:asciiTheme="minorEastAsia" w:hAnsiTheme="minorEastAsia" w:eastAsiaTheme="minorEastAsia"/>
          <w:w w:val="85"/>
          <w:sz w:val="30"/>
          <w:szCs w:val="30"/>
        </w:rPr>
        <w:t>年度新晃县</w:t>
      </w:r>
      <w:r>
        <w:rPr>
          <w:rFonts w:hint="eastAsia" w:asciiTheme="minorEastAsia" w:hAnsiTheme="minorEastAsia" w:eastAsiaTheme="minorEastAsia"/>
          <w:w w:val="85"/>
          <w:sz w:val="30"/>
          <w:szCs w:val="30"/>
        </w:rPr>
        <w:t>项目</w:t>
      </w:r>
      <w:r>
        <w:rPr>
          <w:rFonts w:asciiTheme="minorEastAsia" w:hAnsiTheme="minorEastAsia" w:eastAsiaTheme="minorEastAsia"/>
          <w:w w:val="85"/>
          <w:sz w:val="30"/>
          <w:szCs w:val="30"/>
        </w:rPr>
        <w:t>支出</w:t>
      </w:r>
      <w:r>
        <w:rPr>
          <w:rFonts w:hint="eastAsia" w:asciiTheme="minorEastAsia" w:hAnsiTheme="minorEastAsia" w:eastAsiaTheme="minorEastAsia"/>
          <w:w w:val="85"/>
          <w:sz w:val="30"/>
          <w:szCs w:val="30"/>
        </w:rPr>
        <w:t>绩效</w:t>
      </w:r>
      <w:r>
        <w:rPr>
          <w:rFonts w:asciiTheme="minorEastAsia" w:hAnsiTheme="minorEastAsia" w:eastAsiaTheme="minorEastAsia"/>
          <w:w w:val="85"/>
          <w:sz w:val="30"/>
          <w:szCs w:val="30"/>
        </w:rPr>
        <w:t>自评报告</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一、基本情况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（一）项目概况。</w:t>
      </w:r>
    </w:p>
    <w:p>
      <w:pPr>
        <w:spacing w:line="560" w:lineRule="exact"/>
        <w:ind w:firstLine="600" w:firstLineChars="200"/>
        <w:jc w:val="left"/>
        <w:rPr>
          <w:rFonts w:asciiTheme="minorEastAsia" w:hAnsiTheme="minorEastAsia" w:eastAsiaTheme="minorEastAsia"/>
          <w:sz w:val="30"/>
          <w:szCs w:val="30"/>
        </w:rPr>
      </w:pPr>
      <w:r>
        <w:rPr>
          <w:rFonts w:hint="eastAsia" w:cs="仿宋_GB2312" w:asciiTheme="minorEastAsia" w:hAnsiTheme="minorEastAsia" w:eastAsiaTheme="minorEastAsia"/>
          <w:sz w:val="30"/>
          <w:szCs w:val="30"/>
        </w:rPr>
        <w:t>城市维护费项目主要是城区内市政维修。</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（二）项目绩效目标。</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1、对出现破损的市政设施进行修复，保证市政设施正常运作；2、提供市民良好的出行环境。</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二、绩效评价工作开展情况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（一）绩效评价目的、对象和范围。</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全面完善市政设施配套规划，提供市政设施功能。2021年</w:t>
      </w:r>
      <w:r>
        <w:rPr>
          <w:rFonts w:hint="eastAsia" w:cs="仿宋_GB2312" w:asciiTheme="minorEastAsia" w:hAnsiTheme="minorEastAsia" w:eastAsiaTheme="minorEastAsia"/>
          <w:sz w:val="30"/>
          <w:szCs w:val="30"/>
        </w:rPr>
        <w:t>城市维护费支出50万元，城市维护费项目预算经费120万元，完成预算的41.67%。</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三、综合评价情况及评价结论（附相关评分表）</w:t>
      </w:r>
    </w:p>
    <w:p>
      <w:pPr>
        <w:spacing w:line="560" w:lineRule="exact"/>
        <w:ind w:firstLine="600" w:firstLineChars="200"/>
        <w:jc w:val="left"/>
        <w:rPr>
          <w:rFonts w:asciiTheme="minorEastAsia" w:hAnsiTheme="minorEastAsia" w:eastAsiaTheme="minorEastAsia"/>
          <w:b/>
          <w:bCs/>
          <w:sz w:val="30"/>
          <w:szCs w:val="30"/>
        </w:rPr>
      </w:pPr>
      <w:r>
        <w:rPr>
          <w:rFonts w:hint="eastAsia" w:cs="仿宋_GB2312" w:asciiTheme="minorEastAsia" w:hAnsiTheme="minorEastAsia" w:eastAsiaTheme="minorEastAsia"/>
          <w:sz w:val="30"/>
          <w:szCs w:val="30"/>
        </w:rPr>
        <w:t>城市维护费项目自评得分86分（评分表附后）。</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四、绩效评价指标分析</w:t>
      </w:r>
    </w:p>
    <w:tbl>
      <w:tblPr>
        <w:tblStyle w:val="6"/>
        <w:tblW w:w="9840" w:type="dxa"/>
        <w:tblInd w:w="96" w:type="dxa"/>
        <w:tblLayout w:type="fixed"/>
        <w:tblCellMar>
          <w:top w:w="0" w:type="dxa"/>
          <w:left w:w="108" w:type="dxa"/>
          <w:bottom w:w="0" w:type="dxa"/>
          <w:right w:w="108" w:type="dxa"/>
        </w:tblCellMar>
      </w:tblPr>
      <w:tblGrid>
        <w:gridCol w:w="1660"/>
        <w:gridCol w:w="1080"/>
        <w:gridCol w:w="1080"/>
        <w:gridCol w:w="1862"/>
        <w:gridCol w:w="2268"/>
        <w:gridCol w:w="1890"/>
      </w:tblGrid>
      <w:tr>
        <w:tblPrEx>
          <w:tblCellMar>
            <w:top w:w="0" w:type="dxa"/>
            <w:left w:w="108" w:type="dxa"/>
            <w:bottom w:w="0" w:type="dxa"/>
            <w:right w:w="108" w:type="dxa"/>
          </w:tblCellMar>
        </w:tblPrEx>
        <w:trPr>
          <w:trHeight w:val="540" w:hRule="atLeast"/>
        </w:trPr>
        <w:tc>
          <w:tcPr>
            <w:tcW w:w="1660" w:type="dxa"/>
            <w:vMerge w:val="restart"/>
            <w:tcBorders>
              <w:top w:val="nil"/>
              <w:left w:val="single" w:color="auto" w:sz="8" w:space="0"/>
              <w:bottom w:val="nil"/>
              <w:right w:val="single" w:color="auto" w:sz="8" w:space="0"/>
            </w:tcBorders>
            <w:shd w:val="clear" w:color="auto" w:fill="auto"/>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年度绩效指标</w:t>
            </w:r>
          </w:p>
        </w:tc>
        <w:tc>
          <w:tcPr>
            <w:tcW w:w="1080"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一级指标</w:t>
            </w:r>
          </w:p>
        </w:tc>
        <w:tc>
          <w:tcPr>
            <w:tcW w:w="1080" w:type="dxa"/>
            <w:tcBorders>
              <w:top w:val="single" w:color="auto" w:sz="8" w:space="0"/>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二级指标</w:t>
            </w:r>
          </w:p>
        </w:tc>
        <w:tc>
          <w:tcPr>
            <w:tcW w:w="1862" w:type="dxa"/>
            <w:tcBorders>
              <w:top w:val="single" w:color="auto" w:sz="8" w:space="0"/>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三级指标</w:t>
            </w:r>
          </w:p>
        </w:tc>
        <w:tc>
          <w:tcPr>
            <w:tcW w:w="2268" w:type="dxa"/>
            <w:tcBorders>
              <w:top w:val="single" w:color="auto" w:sz="8" w:space="0"/>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指标值</w:t>
            </w:r>
          </w:p>
        </w:tc>
        <w:tc>
          <w:tcPr>
            <w:tcW w:w="1890" w:type="dxa"/>
            <w:tcBorders>
              <w:top w:val="single" w:color="auto" w:sz="8" w:space="0"/>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绩效标准</w:t>
            </w:r>
          </w:p>
        </w:tc>
      </w:tr>
      <w:tr>
        <w:tblPrEx>
          <w:tblCellMar>
            <w:top w:w="0" w:type="dxa"/>
            <w:left w:w="108" w:type="dxa"/>
            <w:bottom w:w="0" w:type="dxa"/>
            <w:right w:w="108" w:type="dxa"/>
          </w:tblCellMar>
        </w:tblPrEx>
        <w:trPr>
          <w:trHeight w:val="80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restart"/>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产出指标</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数量指标</w:t>
            </w:r>
          </w:p>
        </w:tc>
        <w:tc>
          <w:tcPr>
            <w:tcW w:w="1862"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维护范围</w:t>
            </w:r>
          </w:p>
        </w:tc>
        <w:tc>
          <w:tcPr>
            <w:tcW w:w="2268"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全县范围内市政设施</w:t>
            </w:r>
          </w:p>
        </w:tc>
        <w:tc>
          <w:tcPr>
            <w:tcW w:w="189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质量指标</w:t>
            </w:r>
          </w:p>
        </w:tc>
        <w:tc>
          <w:tcPr>
            <w:tcW w:w="1862"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工程质量合格率</w:t>
            </w:r>
          </w:p>
        </w:tc>
        <w:tc>
          <w:tcPr>
            <w:tcW w:w="2268"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≧95%</w:t>
            </w:r>
          </w:p>
        </w:tc>
        <w:tc>
          <w:tcPr>
            <w:tcW w:w="189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459"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时效指标</w:t>
            </w:r>
          </w:p>
        </w:tc>
        <w:tc>
          <w:tcPr>
            <w:tcW w:w="1862"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计划进度完成及时率</w:t>
            </w:r>
          </w:p>
        </w:tc>
        <w:tc>
          <w:tcPr>
            <w:tcW w:w="2268"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100%</w:t>
            </w:r>
          </w:p>
        </w:tc>
        <w:tc>
          <w:tcPr>
            <w:tcW w:w="189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864"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成本指标</w:t>
            </w:r>
          </w:p>
        </w:tc>
        <w:tc>
          <w:tcPr>
            <w:tcW w:w="1862"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城市维护成本</w:t>
            </w:r>
          </w:p>
        </w:tc>
        <w:tc>
          <w:tcPr>
            <w:tcW w:w="2268"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≦120万元</w:t>
            </w:r>
          </w:p>
        </w:tc>
        <w:tc>
          <w:tcPr>
            <w:tcW w:w="189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68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效益指标</w:t>
            </w:r>
          </w:p>
        </w:tc>
        <w:tc>
          <w:tcPr>
            <w:tcW w:w="1080"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经济效益指标</w:t>
            </w:r>
          </w:p>
        </w:tc>
        <w:tc>
          <w:tcPr>
            <w:tcW w:w="1862"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不适用</w:t>
            </w:r>
          </w:p>
        </w:tc>
        <w:tc>
          <w:tcPr>
            <w:tcW w:w="2268"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不适用</w:t>
            </w:r>
          </w:p>
        </w:tc>
        <w:tc>
          <w:tcPr>
            <w:tcW w:w="189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104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社会效益指标</w:t>
            </w:r>
          </w:p>
        </w:tc>
        <w:tc>
          <w:tcPr>
            <w:tcW w:w="1862"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市政设施对市民产生的投诉率</w:t>
            </w:r>
          </w:p>
        </w:tc>
        <w:tc>
          <w:tcPr>
            <w:tcW w:w="2268"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较上年减少或增加的百分比</w:t>
            </w:r>
          </w:p>
        </w:tc>
        <w:tc>
          <w:tcPr>
            <w:tcW w:w="189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576"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生态效益指标</w:t>
            </w:r>
          </w:p>
        </w:tc>
        <w:tc>
          <w:tcPr>
            <w:tcW w:w="1862"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提供良好出行环境</w:t>
            </w:r>
          </w:p>
        </w:tc>
        <w:tc>
          <w:tcPr>
            <w:tcW w:w="2268"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有效提升</w:t>
            </w:r>
          </w:p>
        </w:tc>
        <w:tc>
          <w:tcPr>
            <w:tcW w:w="189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68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可持续影响</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指标</w:t>
            </w:r>
          </w:p>
        </w:tc>
        <w:tc>
          <w:tcPr>
            <w:tcW w:w="1862"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反映项目可持续性</w:t>
            </w:r>
          </w:p>
        </w:tc>
        <w:tc>
          <w:tcPr>
            <w:tcW w:w="2268"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可持续</w:t>
            </w:r>
          </w:p>
        </w:tc>
        <w:tc>
          <w:tcPr>
            <w:tcW w:w="189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1152"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社会公众或服务对象满意度指标</w:t>
            </w:r>
          </w:p>
        </w:tc>
        <w:tc>
          <w:tcPr>
            <w:tcW w:w="1862"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市民对城市维护满意度</w:t>
            </w:r>
          </w:p>
        </w:tc>
        <w:tc>
          <w:tcPr>
            <w:tcW w:w="2268"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≧95%</w:t>
            </w:r>
          </w:p>
        </w:tc>
        <w:tc>
          <w:tcPr>
            <w:tcW w:w="189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bl>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五、主要经验及做法、存在的问题及原因分析</w:t>
      </w:r>
    </w:p>
    <w:p>
      <w:pPr>
        <w:spacing w:line="560" w:lineRule="exact"/>
        <w:ind w:firstLine="600" w:firstLineChars="200"/>
        <w:jc w:val="left"/>
        <w:rPr>
          <w:rFonts w:asciiTheme="minorEastAsia" w:hAnsiTheme="minorEastAsia" w:eastAsiaTheme="minorEastAsia"/>
          <w:b/>
          <w:bCs/>
          <w:sz w:val="30"/>
          <w:szCs w:val="30"/>
        </w:rPr>
      </w:pPr>
      <w:r>
        <w:rPr>
          <w:rFonts w:hint="eastAsia" w:cs="Arial" w:asciiTheme="minorEastAsia" w:hAnsiTheme="minorEastAsia" w:eastAsiaTheme="minorEastAsia"/>
          <w:color w:val="191919"/>
          <w:sz w:val="30"/>
          <w:szCs w:val="30"/>
          <w:shd w:val="clear" w:color="auto" w:fill="FFFFFF"/>
        </w:rPr>
        <w:t>城市的维护在人们的出行中起着举足轻重的作用，加强对市政监督，对人行道无破损、桥梁设施无安全隐患等全面精细化管理。</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六、有关建议</w:t>
      </w:r>
    </w:p>
    <w:p>
      <w:pPr>
        <w:spacing w:line="560" w:lineRule="exact"/>
        <w:ind w:firstLine="600" w:firstLineChars="200"/>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无。</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七、其他需要说明的问题</w:t>
      </w:r>
    </w:p>
    <w:p>
      <w:pPr>
        <w:pStyle w:val="5"/>
        <w:widowControl w:val="0"/>
        <w:spacing w:before="0" w:beforeAutospacing="0" w:after="0" w:afterAutospacing="0" w:line="520" w:lineRule="exact"/>
        <w:ind w:firstLine="600" w:firstLineChars="200"/>
        <w:rPr>
          <w:rFonts w:cs="Times New Roman" w:asciiTheme="minorEastAsia" w:hAnsiTheme="minorEastAsia" w:eastAsiaTheme="minorEastAsia"/>
          <w:sz w:val="30"/>
          <w:szCs w:val="30"/>
        </w:rPr>
      </w:pPr>
      <w:r>
        <w:rPr>
          <w:rFonts w:hint="eastAsia" w:cs="Times New Roman" w:asciiTheme="minorEastAsia" w:hAnsiTheme="minorEastAsia" w:eastAsiaTheme="minorEastAsia"/>
          <w:sz w:val="30"/>
          <w:szCs w:val="30"/>
        </w:rPr>
        <w:t>无。</w:t>
      </w:r>
    </w:p>
    <w:p>
      <w:pPr>
        <w:ind w:left="8400" w:hanging="8400" w:hangingChars="2800"/>
        <w:rPr>
          <w:rFonts w:asciiTheme="minorEastAsia" w:hAnsiTheme="minorEastAsia" w:eastAsiaTheme="minorEastAsia"/>
          <w:sz w:val="30"/>
          <w:szCs w:val="30"/>
        </w:rPr>
      </w:pP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项目单位（签）                        </w:t>
      </w:r>
    </w:p>
    <w:p>
      <w:pPr>
        <w:jc w:val="right"/>
        <w:rPr>
          <w:rFonts w:asciiTheme="minorEastAsia" w:hAnsiTheme="minorEastAsia" w:eastAsiaTheme="minorEastAsia"/>
          <w:sz w:val="30"/>
          <w:szCs w:val="30"/>
        </w:rPr>
      </w:pPr>
      <w:r>
        <w:rPr>
          <w:rFonts w:hint="eastAsia" w:asciiTheme="minorEastAsia" w:hAnsiTheme="minorEastAsia" w:eastAsiaTheme="minorEastAsia"/>
          <w:sz w:val="30"/>
          <w:szCs w:val="30"/>
        </w:rPr>
        <w:t>2022</w:t>
      </w:r>
      <w:r>
        <w:rPr>
          <w:rFonts w:asciiTheme="minorEastAsia" w:hAnsiTheme="minorEastAsia" w:eastAsiaTheme="minorEastAsia"/>
          <w:sz w:val="30"/>
          <w:szCs w:val="30"/>
        </w:rPr>
        <w:t xml:space="preserve">年  </w:t>
      </w:r>
      <w:r>
        <w:rPr>
          <w:rFonts w:hint="eastAsia" w:asciiTheme="minorEastAsia" w:hAnsiTheme="minorEastAsia" w:eastAsiaTheme="minorEastAsia"/>
          <w:sz w:val="30"/>
          <w:szCs w:val="30"/>
        </w:rPr>
        <w:t>5</w:t>
      </w:r>
      <w:r>
        <w:rPr>
          <w:rFonts w:asciiTheme="minorEastAsia" w:hAnsiTheme="minorEastAsia" w:eastAsiaTheme="minorEastAsia"/>
          <w:sz w:val="30"/>
          <w:szCs w:val="30"/>
        </w:rPr>
        <w:t xml:space="preserve"> 月 </w:t>
      </w:r>
      <w:r>
        <w:rPr>
          <w:rFonts w:hint="eastAsia" w:asciiTheme="minorEastAsia" w:hAnsiTheme="minorEastAsia" w:eastAsiaTheme="minorEastAsia"/>
          <w:sz w:val="30"/>
          <w:szCs w:val="30"/>
        </w:rPr>
        <w:t>24</w:t>
      </w:r>
      <w:r>
        <w:rPr>
          <w:rFonts w:asciiTheme="minorEastAsia" w:hAnsiTheme="minorEastAsia" w:eastAsiaTheme="minorEastAsia"/>
          <w:sz w:val="30"/>
          <w:szCs w:val="30"/>
        </w:rPr>
        <w:t xml:space="preserve"> 日</w:t>
      </w:r>
    </w:p>
    <w:p>
      <w:pPr>
        <w:spacing w:before="100" w:beforeAutospacing="1" w:after="100" w:afterAutospacing="1" w:line="240" w:lineRule="exact"/>
        <w:jc w:val="left"/>
        <w:rPr>
          <w:rFonts w:hint="eastAsia" w:ascii="仿宋_GB2312" w:hAnsi="仿宋_GB2312" w:eastAsia="仿宋_GB2312" w:cs="仿宋_GB2312"/>
          <w:sz w:val="24"/>
        </w:rPr>
      </w:pPr>
    </w:p>
    <w:p>
      <w:pPr>
        <w:spacing w:before="100" w:beforeAutospacing="1" w:after="100" w:afterAutospacing="1" w:line="240" w:lineRule="exact"/>
        <w:jc w:val="left"/>
        <w:rPr>
          <w:rFonts w:hint="eastAsia" w:ascii="仿宋_GB2312" w:hAnsi="仿宋_GB2312" w:eastAsia="仿宋_GB2312" w:cs="仿宋_GB2312"/>
          <w:sz w:val="24"/>
        </w:rPr>
      </w:pPr>
    </w:p>
    <w:p>
      <w:pPr>
        <w:spacing w:before="100" w:beforeAutospacing="1" w:after="100" w:afterAutospacing="1" w:line="240" w:lineRule="exact"/>
        <w:jc w:val="left"/>
        <w:rPr>
          <w:rFonts w:hint="eastAsia" w:ascii="仿宋_GB2312" w:hAnsi="仿宋_GB2312" w:eastAsia="仿宋_GB2312" w:cs="仿宋_GB2312"/>
          <w:sz w:val="24"/>
        </w:rPr>
      </w:pPr>
    </w:p>
    <w:p>
      <w:pPr>
        <w:spacing w:before="100" w:beforeAutospacing="1" w:after="100" w:afterAutospacing="1" w:line="240" w:lineRule="exact"/>
        <w:jc w:val="left"/>
        <w:rPr>
          <w:rFonts w:hint="eastAsia" w:ascii="仿宋_GB2312" w:hAnsi="仿宋_GB2312" w:eastAsia="仿宋_GB2312" w:cs="仿宋_GB2312"/>
          <w:sz w:val="24"/>
        </w:rPr>
      </w:pPr>
    </w:p>
    <w:p>
      <w:pPr>
        <w:spacing w:before="100" w:beforeAutospacing="1" w:after="100" w:afterAutospacing="1" w:line="240" w:lineRule="exact"/>
        <w:jc w:val="left"/>
        <w:rPr>
          <w:rFonts w:hint="eastAsia" w:ascii="仿宋_GB2312" w:hAnsi="仿宋_GB2312" w:eastAsia="仿宋_GB2312" w:cs="仿宋_GB2312"/>
          <w:sz w:val="24"/>
        </w:rPr>
      </w:pPr>
    </w:p>
    <w:p>
      <w:pPr>
        <w:spacing w:before="100" w:beforeAutospacing="1" w:after="100" w:afterAutospacing="1" w:line="240" w:lineRule="exact"/>
        <w:jc w:val="left"/>
        <w:rPr>
          <w:rFonts w:hint="eastAsia" w:ascii="仿宋_GB2312" w:hAnsi="仿宋_GB2312" w:eastAsia="仿宋_GB2312" w:cs="仿宋_GB2312"/>
          <w:sz w:val="24"/>
        </w:rPr>
      </w:pPr>
    </w:p>
    <w:p>
      <w:pPr>
        <w:spacing w:before="100" w:beforeAutospacing="1" w:after="100" w:afterAutospacing="1" w:line="240" w:lineRule="exact"/>
        <w:jc w:val="left"/>
        <w:rPr>
          <w:rFonts w:ascii="仿宋_GB2312" w:hAnsi="仿宋_GB2312" w:eastAsia="仿宋_GB2312" w:cs="仿宋_GB2312"/>
          <w:sz w:val="24"/>
        </w:rPr>
      </w:pPr>
    </w:p>
    <w:p>
      <w:pPr>
        <w:spacing w:before="100" w:beforeAutospacing="1" w:after="100" w:afterAutospacing="1"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附件2-1</w:t>
      </w:r>
    </w:p>
    <w:p>
      <w:pPr>
        <w:spacing w:line="480" w:lineRule="exact"/>
        <w:jc w:val="center"/>
        <w:rPr>
          <w:rFonts w:eastAsia="方正粗宋简体"/>
          <w:w w:val="85"/>
          <w:sz w:val="44"/>
          <w:szCs w:val="44"/>
        </w:rPr>
      </w:pPr>
      <w:r>
        <w:rPr>
          <w:rFonts w:eastAsia="方正粗宋简体"/>
          <w:w w:val="85"/>
          <w:sz w:val="44"/>
          <w:szCs w:val="44"/>
        </w:rPr>
        <w:t>202</w:t>
      </w:r>
      <w:r>
        <w:rPr>
          <w:rFonts w:hint="eastAsia" w:eastAsia="方正粗宋简体"/>
          <w:w w:val="85"/>
          <w:sz w:val="44"/>
          <w:szCs w:val="44"/>
        </w:rPr>
        <w:t>1</w:t>
      </w:r>
      <w:r>
        <w:rPr>
          <w:rFonts w:hAnsi="方正粗宋简体" w:eastAsia="方正粗宋简体"/>
          <w:w w:val="85"/>
          <w:sz w:val="44"/>
          <w:szCs w:val="44"/>
        </w:rPr>
        <w:t>年度新晃县项目</w:t>
      </w:r>
      <w:r>
        <w:rPr>
          <w:rFonts w:hint="eastAsia" w:hAnsi="方正粗宋简体" w:eastAsia="方正粗宋简体"/>
          <w:w w:val="85"/>
          <w:sz w:val="44"/>
          <w:szCs w:val="44"/>
        </w:rPr>
        <w:t>支出</w:t>
      </w:r>
      <w:r>
        <w:rPr>
          <w:rFonts w:hAnsi="方正粗宋简体" w:eastAsia="方正粗宋简体"/>
          <w:w w:val="85"/>
          <w:sz w:val="44"/>
          <w:szCs w:val="44"/>
        </w:rPr>
        <w:t>绩效</w:t>
      </w:r>
      <w:r>
        <w:rPr>
          <w:rFonts w:hint="eastAsia" w:hAnsi="方正粗宋简体" w:eastAsia="方正粗宋简体"/>
          <w:w w:val="85"/>
          <w:sz w:val="44"/>
          <w:szCs w:val="44"/>
        </w:rPr>
        <w:t>自评</w:t>
      </w:r>
      <w:r>
        <w:rPr>
          <w:rFonts w:hAnsi="方正粗宋简体" w:eastAsia="方正粗宋简体"/>
          <w:w w:val="85"/>
          <w:sz w:val="44"/>
          <w:szCs w:val="44"/>
        </w:rPr>
        <w:t>表</w:t>
      </w:r>
    </w:p>
    <w:p>
      <w:pPr>
        <w:spacing w:beforeLines="50" w:line="240" w:lineRule="exact"/>
        <w:ind w:firstLine="482"/>
        <w:jc w:val="center"/>
        <w:rPr>
          <w:rFonts w:eastAsia="仿宋_GB2312"/>
          <w:szCs w:val="21"/>
        </w:rPr>
      </w:pPr>
      <w:r>
        <w:rPr>
          <w:sz w:val="24"/>
        </w:rPr>
        <w:t xml:space="preserve">                                                  </w:t>
      </w:r>
      <w:r>
        <w:rPr>
          <w:rFonts w:eastAsia="仿宋_GB2312"/>
          <w:szCs w:val="21"/>
        </w:rPr>
        <w:t>金额单位：万元</w:t>
      </w:r>
    </w:p>
    <w:tbl>
      <w:tblPr>
        <w:tblStyle w:val="6"/>
        <w:tblpPr w:leftFromText="180" w:rightFromText="180" w:vertAnchor="text" w:horzAnchor="page" w:tblpX="1195" w:tblpY="107"/>
        <w:tblOverlap w:val="never"/>
        <w:tblW w:w="98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143"/>
        <w:gridCol w:w="1800"/>
        <w:gridCol w:w="1628"/>
        <w:gridCol w:w="1097"/>
        <w:gridCol w:w="1206"/>
        <w:gridCol w:w="83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（盖章）</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4005"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餐厨垃圾收集处理服务费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责任部门</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城市管理和综合执法局</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项目负责人</w:t>
            </w:r>
          </w:p>
        </w:tc>
        <w:tc>
          <w:tcPr>
            <w:tcW w:w="109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黄超</w:t>
            </w:r>
          </w:p>
        </w:tc>
        <w:tc>
          <w:tcPr>
            <w:tcW w:w="120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15707450745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trPr>
        <w:tc>
          <w:tcPr>
            <w:tcW w:w="1312"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项目资金</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基本情况</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上年结转</w:t>
            </w: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年初预算安排数</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预算调整数</w:t>
            </w: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全年执行数</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blCellSpacing w:w="0" w:type="dxa"/>
        </w:trPr>
        <w:tc>
          <w:tcPr>
            <w:tcW w:w="1312" w:type="dxa"/>
            <w:vMerge w:val="continue"/>
            <w:vAlign w:val="center"/>
          </w:tcPr>
          <w:p>
            <w:pPr>
              <w:spacing w:line="320" w:lineRule="exact"/>
              <w:jc w:val="center"/>
              <w:rPr>
                <w:rFonts w:ascii="仿宋_GB2312" w:hAnsi="仿宋_GB2312" w:eastAsia="仿宋_GB2312" w:cs="仿宋_GB2312"/>
                <w:szCs w:val="21"/>
              </w:rPr>
            </w:pP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评价内容</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评价简述</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单位自评得分</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项目预算及预期绩效目标编制水平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例如：本项目预算（即投入目标）编制科学、规范、合理，预期绩效目标申报完整，产出、效果类关键性指标清晰、明确、量化，投入与项目产出、效果目标匹配。</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例如：该项目预算执行率为*%。根据实际情况评分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项目组织管理水平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例如：本项目建立了**等项目管理制度，并严格按相关制度执行。</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资金支出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合理合规</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例如：本年项目支出符合国家相关法律法规、财务管理制度等规定，且均在预算范围内，无与本项目预算不相符或无关的资金支出。</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项目产出</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对照项目产出目标，按产出数量、产出质量、产出时效以及成本控制等方面进行自我评价。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项目效益（效果）</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对照项目效益目标，可从经济效益、社会效益、环境效益和可持续影响及服务对象满意度等5个具体绩效指标进行评价。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服务对象满意度计分：90%≤满意度≤100%记10分，80%≤满意度&lt;90%记8分，70%≤满意度&lt;80%   记6分，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60%≤满意度&lt;70%记4分，满意度&lt;60%记0分。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小计</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88</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负向指标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主要评价自评得分与复评得分差异率。差异率≤10%，不扣分；10%&lt;差异率≤15%，扣2分；15%&lt;差异率≤20%，扣4分；差异率&gt;20%，扣6分。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评价结果</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7433" w:type="dxa"/>
            <w:gridSpan w:val="6"/>
            <w:tcMar>
              <w:top w:w="0" w:type="dxa"/>
              <w:left w:w="105" w:type="dxa"/>
              <w:bottom w:w="0" w:type="dxa"/>
              <w:right w:w="105" w:type="dxa"/>
            </w:tcMar>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优秀  90分≤得分≤100分；    □ 良好  </w:t>
            </w:r>
            <w:r>
              <w:rPr>
                <w:rFonts w:ascii="仿宋_GB2312" w:hAnsi="仿宋_GB2312" w:eastAsia="仿宋_GB2312" w:cs="仿宋_GB2312"/>
                <w:szCs w:val="21"/>
              </w:rPr>
              <w:t>80</w:t>
            </w:r>
            <w:r>
              <w:rPr>
                <w:rFonts w:hint="eastAsia" w:ascii="仿宋_GB2312" w:hAnsi="仿宋_GB2312" w:eastAsia="仿宋_GB2312" w:cs="仿宋_GB2312"/>
                <w:szCs w:val="21"/>
              </w:rPr>
              <w:t>分≤得分＜90分；</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较差   60分≤得分＜</w:t>
            </w:r>
            <w:r>
              <w:rPr>
                <w:rFonts w:ascii="仿宋_GB2312" w:hAnsi="仿宋_GB2312" w:eastAsia="仿宋_GB2312" w:cs="仿宋_GB2312"/>
                <w:szCs w:val="21"/>
              </w:rPr>
              <w:t>80</w:t>
            </w:r>
            <w:r>
              <w:rPr>
                <w:rFonts w:hint="eastAsia" w:ascii="仿宋_GB2312" w:hAnsi="仿宋_GB2312" w:eastAsia="仿宋_GB2312" w:cs="仿宋_GB2312"/>
                <w:szCs w:val="21"/>
              </w:rPr>
              <w:t>分；    □ 差    得分＜60分</w:t>
            </w:r>
          </w:p>
        </w:tc>
      </w:tr>
    </w:tbl>
    <w:p>
      <w:pPr>
        <w:spacing w:line="320" w:lineRule="exact"/>
        <w:ind w:left="0"/>
        <w:jc w:val="left"/>
        <w:rPr>
          <w:rFonts w:ascii="华文中宋" w:hAnsi="华文中宋" w:eastAsia="华文中宋"/>
          <w:sz w:val="8"/>
          <w:szCs w:val="10"/>
        </w:rPr>
      </w:pPr>
    </w:p>
    <w:p>
      <w:pPr>
        <w:spacing w:line="320" w:lineRule="exact"/>
        <w:ind w:left="0"/>
        <w:jc w:val="left"/>
        <w:rPr>
          <w:rFonts w:ascii="华文中宋" w:hAnsi="华文中宋" w:eastAsia="华文中宋"/>
          <w:szCs w:val="21"/>
        </w:rPr>
      </w:pPr>
      <w:r>
        <w:rPr>
          <w:rFonts w:hint="eastAsia" w:ascii="宋体" w:hAnsi="宋体" w:cs="宋体"/>
          <w:szCs w:val="21"/>
        </w:rPr>
        <w:t>单</w:t>
      </w:r>
      <w:r>
        <w:rPr>
          <w:rFonts w:hint="eastAsia" w:ascii="Dotum" w:hAnsi="Dotum" w:eastAsia="Dotum" w:cs="Dotum"/>
          <w:szCs w:val="21"/>
        </w:rPr>
        <w:t>位</w:t>
      </w:r>
      <w:r>
        <w:rPr>
          <w:rFonts w:hint="eastAsia" w:ascii="宋体" w:hAnsi="宋体" w:cs="宋体"/>
          <w:szCs w:val="21"/>
        </w:rPr>
        <w:t>负责</w:t>
      </w:r>
      <w:r>
        <w:rPr>
          <w:rFonts w:hint="eastAsia" w:ascii="Dotum" w:hAnsi="Dotum" w:eastAsia="Dotum" w:cs="Dotum"/>
          <w:szCs w:val="21"/>
        </w:rPr>
        <w:t>人（</w:t>
      </w:r>
      <w:r>
        <w:rPr>
          <w:rFonts w:hint="eastAsia" w:ascii="宋体" w:hAnsi="宋体" w:cs="宋体"/>
          <w:szCs w:val="21"/>
        </w:rPr>
        <w:t>签</w:t>
      </w:r>
      <w:r>
        <w:rPr>
          <w:rFonts w:hint="eastAsia" w:ascii="Dotum" w:hAnsi="Dotum" w:eastAsia="Dotum" w:cs="Dotum"/>
          <w:szCs w:val="21"/>
        </w:rPr>
        <w:t>字）：</w:t>
      </w:r>
      <w:r>
        <w:rPr>
          <w:rFonts w:ascii="华文中宋" w:hAnsi="华文中宋" w:eastAsia="华文中宋"/>
          <w:szCs w:val="21"/>
        </w:rPr>
        <w:t xml:space="preserve">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宋体" w:hAnsi="宋体" w:cs="宋体"/>
          <w:szCs w:val="21"/>
        </w:rPr>
        <w:t>项</w:t>
      </w:r>
      <w:r>
        <w:rPr>
          <w:rFonts w:hint="eastAsia" w:ascii="Dotum" w:hAnsi="Dotum" w:eastAsia="Dotum" w:cs="Dotum"/>
          <w:szCs w:val="21"/>
        </w:rPr>
        <w:t>目</w:t>
      </w:r>
      <w:r>
        <w:rPr>
          <w:rFonts w:hint="eastAsia" w:ascii="宋体" w:hAnsi="宋体" w:cs="宋体"/>
          <w:szCs w:val="21"/>
        </w:rPr>
        <w:t>负责</w:t>
      </w:r>
      <w:r>
        <w:rPr>
          <w:rFonts w:hint="eastAsia" w:ascii="Dotum" w:hAnsi="Dotum" w:eastAsia="Dotum" w:cs="Dotum"/>
          <w:szCs w:val="21"/>
        </w:rPr>
        <w:t>人（</w:t>
      </w:r>
      <w:r>
        <w:rPr>
          <w:rFonts w:hint="eastAsia" w:ascii="宋体" w:hAnsi="宋体" w:cs="宋体"/>
          <w:szCs w:val="21"/>
        </w:rPr>
        <w:t>签</w:t>
      </w:r>
      <w:r>
        <w:rPr>
          <w:rFonts w:hint="eastAsia" w:ascii="Dotum" w:hAnsi="Dotum" w:eastAsia="Dotum" w:cs="Dotum"/>
          <w:szCs w:val="21"/>
        </w:rPr>
        <w:t>字）：</w:t>
      </w:r>
      <w:r>
        <w:rPr>
          <w:rFonts w:ascii="华文中宋" w:hAnsi="华文中宋" w:eastAsia="华文中宋"/>
          <w:szCs w:val="21"/>
        </w:rPr>
        <w:t>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宋体" w:hAnsi="宋体" w:cs="宋体"/>
          <w:szCs w:val="21"/>
        </w:rPr>
        <w:t>填</w:t>
      </w:r>
      <w:r>
        <w:rPr>
          <w:rFonts w:hint="eastAsia" w:ascii="Dotum" w:hAnsi="Dotum" w:eastAsia="Dotum" w:cs="Dotum"/>
          <w:szCs w:val="21"/>
        </w:rPr>
        <w:t>表日期：</w:t>
      </w:r>
      <w:r>
        <w:rPr>
          <w:rFonts w:ascii="华文中宋" w:hAnsi="华文中宋" w:eastAsia="华文中宋"/>
          <w:szCs w:val="21"/>
        </w:rPr>
        <w:t> </w:t>
      </w:r>
      <w:r>
        <w:rPr>
          <w:rFonts w:hint="eastAsia" w:ascii="华文中宋" w:hAnsi="华文中宋" w:eastAsia="华文中宋"/>
          <w:szCs w:val="21"/>
        </w:rPr>
        <w:t xml:space="preserve">2022 </w:t>
      </w:r>
      <w:r>
        <w:rPr>
          <w:rFonts w:ascii="华文中宋" w:hAnsi="华文中宋" w:eastAsia="华文中宋"/>
          <w:szCs w:val="21"/>
        </w:rPr>
        <w:t>年  </w:t>
      </w:r>
      <w:r>
        <w:rPr>
          <w:rFonts w:hint="eastAsia" w:ascii="华文中宋" w:hAnsi="华文中宋" w:eastAsia="华文中宋"/>
          <w:szCs w:val="21"/>
        </w:rPr>
        <w:t>5</w:t>
      </w:r>
      <w:r>
        <w:rPr>
          <w:rFonts w:ascii="华文中宋" w:hAnsi="华文中宋" w:eastAsia="华文中宋"/>
          <w:szCs w:val="21"/>
        </w:rPr>
        <w:t xml:space="preserve"> 月 </w:t>
      </w:r>
      <w:r>
        <w:rPr>
          <w:rFonts w:hint="eastAsia" w:ascii="华文中宋" w:hAnsi="华文中宋" w:eastAsia="华文中宋"/>
          <w:szCs w:val="21"/>
        </w:rPr>
        <w:t>24</w:t>
      </w:r>
      <w:r>
        <w:rPr>
          <w:rFonts w:ascii="华文中宋" w:hAnsi="华文中宋" w:eastAsia="华文中宋"/>
          <w:szCs w:val="21"/>
        </w:rPr>
        <w:t>  日</w:t>
      </w:r>
    </w:p>
    <w:p>
      <w:pPr>
        <w:spacing w:before="240" w:line="340" w:lineRule="exact"/>
        <w:ind w:left="0"/>
        <w:jc w:val="left"/>
        <w:rPr>
          <w:sz w:val="24"/>
        </w:rPr>
      </w:pPr>
      <w:r>
        <w:rPr>
          <w:rFonts w:hint="eastAsia" w:ascii="仿宋_GB2312" w:hAnsi="仿宋_GB2312" w:eastAsia="仿宋_GB2312" w:cs="仿宋_GB2312"/>
          <w:sz w:val="24"/>
        </w:rPr>
        <w:t>附件2-3 </w:t>
      </w:r>
    </w:p>
    <w:p>
      <w:pPr>
        <w:spacing w:line="600" w:lineRule="exact"/>
        <w:jc w:val="center"/>
        <w:rPr>
          <w:rFonts w:hAnsi="方正粗宋简体" w:eastAsia="方正粗宋简体"/>
          <w:w w:val="85"/>
          <w:sz w:val="44"/>
          <w:szCs w:val="44"/>
        </w:rPr>
      </w:pPr>
      <w:r>
        <w:rPr>
          <w:rFonts w:eastAsia="方正粗宋简体"/>
          <w:w w:val="85"/>
          <w:sz w:val="44"/>
          <w:szCs w:val="44"/>
        </w:rPr>
        <w:t> 202</w:t>
      </w:r>
      <w:r>
        <w:rPr>
          <w:rFonts w:hint="eastAsia" w:eastAsia="方正粗宋简体"/>
          <w:w w:val="85"/>
          <w:sz w:val="44"/>
          <w:szCs w:val="44"/>
        </w:rPr>
        <w:t>1</w:t>
      </w:r>
      <w:r>
        <w:rPr>
          <w:rFonts w:hAnsi="方正粗宋简体" w:eastAsia="方正粗宋简体"/>
          <w:w w:val="85"/>
          <w:sz w:val="44"/>
          <w:szCs w:val="44"/>
        </w:rPr>
        <w:t>年度新晃县</w:t>
      </w:r>
      <w:r>
        <w:rPr>
          <w:rFonts w:hint="eastAsia" w:hAnsi="方正粗宋简体" w:eastAsia="方正粗宋简体"/>
          <w:w w:val="85"/>
          <w:sz w:val="44"/>
          <w:szCs w:val="44"/>
        </w:rPr>
        <w:t>项目</w:t>
      </w:r>
      <w:r>
        <w:rPr>
          <w:rFonts w:hAnsi="方正粗宋简体" w:eastAsia="方正粗宋简体"/>
          <w:w w:val="85"/>
          <w:sz w:val="44"/>
          <w:szCs w:val="44"/>
        </w:rPr>
        <w:t>支出</w:t>
      </w:r>
      <w:r>
        <w:rPr>
          <w:rFonts w:hint="eastAsia" w:hAnsi="方正粗宋简体" w:eastAsia="方正粗宋简体"/>
          <w:w w:val="85"/>
          <w:sz w:val="44"/>
          <w:szCs w:val="44"/>
        </w:rPr>
        <w:t>绩效</w:t>
      </w:r>
      <w:r>
        <w:rPr>
          <w:rFonts w:hAnsi="方正粗宋简体" w:eastAsia="方正粗宋简体"/>
          <w:w w:val="85"/>
          <w:sz w:val="44"/>
          <w:szCs w:val="44"/>
        </w:rPr>
        <w:t>自评报告</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一、基本情况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（一）项目概况。</w:t>
      </w:r>
    </w:p>
    <w:p>
      <w:pPr>
        <w:spacing w:line="560" w:lineRule="exact"/>
        <w:ind w:firstLine="600" w:firstLineChars="200"/>
        <w:jc w:val="left"/>
        <w:rPr>
          <w:rFonts w:asciiTheme="minorEastAsia" w:hAnsiTheme="minorEastAsia" w:eastAsiaTheme="minorEastAsia"/>
          <w:sz w:val="30"/>
          <w:szCs w:val="30"/>
        </w:rPr>
      </w:pPr>
      <w:r>
        <w:rPr>
          <w:rFonts w:hint="eastAsia" w:cs="仿宋_GB2312" w:asciiTheme="minorEastAsia" w:hAnsiTheme="minorEastAsia" w:eastAsiaTheme="minorEastAsia"/>
          <w:sz w:val="30"/>
          <w:szCs w:val="30"/>
        </w:rPr>
        <w:t>餐厨垃圾收集处理服务费项目主要用于垃圾无害化处理场运行补差：1、保障垃圾的收集处理；2、保障垃圾场渗滤液的处理。</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（二）项目绩效目标。</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1、为城区餐厨垃圾提供保洁服务；2、完成餐厨垃圾的清运处理。</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二、绩效评价工作开展情况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（一）绩效评价目的、对象和范围。</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对县城区范围内所有从事餐饮的企业、门店、学校、单位、医院、厂矿工地及乡镇学校等产生的餐厨垃圾进行收集、密闭运输及终端无害化处理。2021年</w:t>
      </w:r>
      <w:r>
        <w:rPr>
          <w:rFonts w:hint="eastAsia" w:cs="仿宋_GB2312" w:asciiTheme="minorEastAsia" w:hAnsiTheme="minorEastAsia" w:eastAsiaTheme="minorEastAsia"/>
          <w:sz w:val="30"/>
          <w:szCs w:val="30"/>
        </w:rPr>
        <w:t>城市维护费支出100万元，餐厨垃圾收集处理服务费项目预算经费100万元，完成预算的100%。</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三、综合评价情况及评价结论（附相关评分表）</w:t>
      </w:r>
    </w:p>
    <w:p>
      <w:pPr>
        <w:spacing w:line="560" w:lineRule="exact"/>
        <w:ind w:firstLine="600" w:firstLineChars="200"/>
        <w:jc w:val="left"/>
        <w:rPr>
          <w:rFonts w:asciiTheme="minorEastAsia" w:hAnsiTheme="minorEastAsia" w:eastAsiaTheme="minorEastAsia"/>
          <w:b/>
          <w:bCs/>
          <w:sz w:val="30"/>
          <w:szCs w:val="30"/>
        </w:rPr>
      </w:pPr>
      <w:r>
        <w:rPr>
          <w:rFonts w:hint="eastAsia" w:cs="仿宋_GB2312" w:asciiTheme="minorEastAsia" w:hAnsiTheme="minorEastAsia" w:eastAsiaTheme="minorEastAsia"/>
          <w:sz w:val="30"/>
          <w:szCs w:val="30"/>
        </w:rPr>
        <w:t>餐厨垃圾收集处理服务费项目自评得分88分（评分表附后）。</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四、绩效评价指标分析</w:t>
      </w:r>
    </w:p>
    <w:tbl>
      <w:tblPr>
        <w:tblStyle w:val="6"/>
        <w:tblW w:w="9840" w:type="dxa"/>
        <w:tblInd w:w="96" w:type="dxa"/>
        <w:tblLayout w:type="fixed"/>
        <w:tblCellMar>
          <w:top w:w="0" w:type="dxa"/>
          <w:left w:w="108" w:type="dxa"/>
          <w:bottom w:w="0" w:type="dxa"/>
          <w:right w:w="108" w:type="dxa"/>
        </w:tblCellMar>
      </w:tblPr>
      <w:tblGrid>
        <w:gridCol w:w="1660"/>
        <w:gridCol w:w="1080"/>
        <w:gridCol w:w="1525"/>
        <w:gridCol w:w="1701"/>
        <w:gridCol w:w="1654"/>
        <w:gridCol w:w="2220"/>
      </w:tblGrid>
      <w:tr>
        <w:tblPrEx>
          <w:tblCellMar>
            <w:top w:w="0" w:type="dxa"/>
            <w:left w:w="108" w:type="dxa"/>
            <w:bottom w:w="0" w:type="dxa"/>
            <w:right w:w="108" w:type="dxa"/>
          </w:tblCellMar>
        </w:tblPrEx>
        <w:trPr>
          <w:trHeight w:val="540" w:hRule="atLeast"/>
        </w:trPr>
        <w:tc>
          <w:tcPr>
            <w:tcW w:w="1660" w:type="dxa"/>
            <w:vMerge w:val="restart"/>
            <w:tcBorders>
              <w:top w:val="nil"/>
              <w:left w:val="single" w:color="auto" w:sz="8" w:space="0"/>
              <w:bottom w:val="nil"/>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年度绩效指标</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一级指标</w:t>
            </w:r>
          </w:p>
        </w:tc>
        <w:tc>
          <w:tcPr>
            <w:tcW w:w="1525"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二级指标</w:t>
            </w:r>
          </w:p>
        </w:tc>
        <w:tc>
          <w:tcPr>
            <w:tcW w:w="1701"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三级指标</w:t>
            </w:r>
          </w:p>
        </w:tc>
        <w:tc>
          <w:tcPr>
            <w:tcW w:w="1654"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指标值</w:t>
            </w:r>
          </w:p>
        </w:tc>
        <w:tc>
          <w:tcPr>
            <w:tcW w:w="2220"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绩效标准</w:t>
            </w:r>
          </w:p>
        </w:tc>
      </w:tr>
      <w:tr>
        <w:tblPrEx>
          <w:tblCellMar>
            <w:top w:w="0" w:type="dxa"/>
            <w:left w:w="108" w:type="dxa"/>
            <w:bottom w:w="0" w:type="dxa"/>
            <w:right w:w="108" w:type="dxa"/>
          </w:tblCellMar>
        </w:tblPrEx>
        <w:trPr>
          <w:trHeight w:val="80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restart"/>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产出指标</w:t>
            </w: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数量指标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餐厨垃圾转运量</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10吨/天</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质量指标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运行天数</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365天</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994"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质量指标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餐厨垃圾保洁质量</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良好</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864"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成本指标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餐厨垃圾处置质量</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良好</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68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效益指标</w:t>
            </w:r>
          </w:p>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效益指标</w:t>
            </w:r>
          </w:p>
        </w:tc>
        <w:tc>
          <w:tcPr>
            <w:tcW w:w="1525"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时效指标</w:t>
            </w:r>
          </w:p>
        </w:tc>
        <w:tc>
          <w:tcPr>
            <w:tcW w:w="1701"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餐厨垃圾处理及时性</w:t>
            </w:r>
          </w:p>
        </w:tc>
        <w:tc>
          <w:tcPr>
            <w:tcW w:w="1654"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及时</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104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社会效益指标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餐厨垃圾中转站开放时间</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每日定时开放</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576"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成本指标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餐厨垃圾处理成本</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≦100万元</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68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经济效益指标</w:t>
            </w:r>
          </w:p>
        </w:tc>
        <w:tc>
          <w:tcPr>
            <w:tcW w:w="1701"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工作人员增收率</w:t>
            </w:r>
          </w:p>
        </w:tc>
        <w:tc>
          <w:tcPr>
            <w:tcW w:w="1654"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有所提升</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2309"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社会公众或服务对象满意度指标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工作人员劳动生产率</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有所提升</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bl>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五、主要经验及做法、存在的问题及原因分析</w:t>
      </w:r>
    </w:p>
    <w:p>
      <w:pPr>
        <w:spacing w:line="560" w:lineRule="exact"/>
        <w:ind w:firstLine="600" w:firstLineChars="200"/>
        <w:jc w:val="left"/>
        <w:rPr>
          <w:rFonts w:asciiTheme="minorEastAsia" w:hAnsiTheme="minorEastAsia" w:eastAsiaTheme="minorEastAsia"/>
          <w:b/>
          <w:bCs/>
          <w:sz w:val="30"/>
          <w:szCs w:val="30"/>
        </w:rPr>
      </w:pPr>
      <w:r>
        <w:rPr>
          <w:rFonts w:hint="eastAsia" w:cs="仿宋_GB2312" w:asciiTheme="minorEastAsia" w:hAnsiTheme="minorEastAsia" w:eastAsiaTheme="minorEastAsia"/>
          <w:sz w:val="30"/>
          <w:szCs w:val="30"/>
        </w:rPr>
        <w:t>餐厨垃圾收集处理服务</w:t>
      </w:r>
      <w:r>
        <w:rPr>
          <w:rFonts w:asciiTheme="minorEastAsia" w:hAnsiTheme="minorEastAsia" w:eastAsiaTheme="minorEastAsia"/>
          <w:color w:val="333333"/>
          <w:sz w:val="30"/>
          <w:szCs w:val="30"/>
        </w:rPr>
        <w:t>的管理只是城市环境卫生管理工作的一个方面，不完善的餐厨垃圾管理机制对城市环境卫生管理的问题存在着不利的影响。</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六、有关建议</w:t>
      </w:r>
    </w:p>
    <w:p>
      <w:pPr>
        <w:spacing w:line="560" w:lineRule="exact"/>
        <w:ind w:firstLine="600" w:firstLineChars="200"/>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无。</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七、其他需要说明的问题</w:t>
      </w:r>
    </w:p>
    <w:p>
      <w:pPr>
        <w:pStyle w:val="5"/>
        <w:widowControl w:val="0"/>
        <w:spacing w:before="0" w:beforeAutospacing="0" w:after="0" w:afterAutospacing="0" w:line="520" w:lineRule="exact"/>
        <w:ind w:firstLine="600" w:firstLineChars="200"/>
        <w:rPr>
          <w:rFonts w:cs="Times New Roman" w:asciiTheme="minorEastAsia" w:hAnsiTheme="minorEastAsia" w:eastAsiaTheme="minorEastAsia"/>
          <w:sz w:val="30"/>
          <w:szCs w:val="30"/>
        </w:rPr>
      </w:pPr>
      <w:r>
        <w:rPr>
          <w:rFonts w:hint="eastAsia" w:cs="Times New Roman" w:asciiTheme="minorEastAsia" w:hAnsiTheme="minorEastAsia" w:eastAsiaTheme="minorEastAsia"/>
          <w:sz w:val="30"/>
          <w:szCs w:val="30"/>
        </w:rPr>
        <w:t>无。</w:t>
      </w:r>
    </w:p>
    <w:p>
      <w:pPr>
        <w:ind w:left="7840" w:hanging="7840" w:hangingChars="2800"/>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项目单位（签）                        </w:t>
      </w:r>
    </w:p>
    <w:p>
      <w:pPr>
        <w:ind w:firstLine="5600" w:firstLineChars="2000"/>
        <w:rPr>
          <w:rFonts w:eastAsia="仿宋_GB2312"/>
          <w:sz w:val="28"/>
          <w:szCs w:val="28"/>
        </w:rPr>
      </w:pPr>
      <w:r>
        <w:rPr>
          <w:rFonts w:hint="eastAsia" w:eastAsia="仿宋_GB2312"/>
          <w:sz w:val="28"/>
          <w:szCs w:val="28"/>
        </w:rPr>
        <w:t>2022</w:t>
      </w:r>
      <w:r>
        <w:rPr>
          <w:rFonts w:eastAsia="仿宋_GB2312"/>
          <w:sz w:val="28"/>
          <w:szCs w:val="28"/>
        </w:rPr>
        <w:t xml:space="preserve">年  </w:t>
      </w:r>
      <w:r>
        <w:rPr>
          <w:rFonts w:hint="eastAsia" w:eastAsia="仿宋_GB2312"/>
          <w:sz w:val="28"/>
          <w:szCs w:val="28"/>
        </w:rPr>
        <w:t>5</w:t>
      </w:r>
      <w:r>
        <w:rPr>
          <w:rFonts w:eastAsia="仿宋_GB2312"/>
          <w:sz w:val="28"/>
          <w:szCs w:val="28"/>
        </w:rPr>
        <w:t xml:space="preserve"> 月 </w:t>
      </w:r>
      <w:r>
        <w:rPr>
          <w:rFonts w:hint="eastAsia" w:eastAsia="仿宋_GB2312"/>
          <w:sz w:val="28"/>
          <w:szCs w:val="28"/>
        </w:rPr>
        <w:t>24</w:t>
      </w:r>
      <w:r>
        <w:rPr>
          <w:rFonts w:eastAsia="仿宋_GB2312"/>
          <w:sz w:val="28"/>
          <w:szCs w:val="28"/>
        </w:rPr>
        <w:t xml:space="preserve"> 日</w:t>
      </w:r>
    </w:p>
    <w:p>
      <w:pPr>
        <w:spacing w:before="100" w:beforeAutospacing="1" w:after="100" w:afterAutospacing="1"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附件2-1</w:t>
      </w:r>
    </w:p>
    <w:p>
      <w:pPr>
        <w:spacing w:line="480" w:lineRule="exact"/>
        <w:jc w:val="center"/>
        <w:rPr>
          <w:rFonts w:eastAsia="方正粗宋简体"/>
          <w:w w:val="85"/>
          <w:sz w:val="44"/>
          <w:szCs w:val="44"/>
        </w:rPr>
      </w:pPr>
      <w:r>
        <w:rPr>
          <w:rFonts w:eastAsia="方正粗宋简体"/>
          <w:w w:val="85"/>
          <w:sz w:val="44"/>
          <w:szCs w:val="44"/>
        </w:rPr>
        <w:t>202</w:t>
      </w:r>
      <w:r>
        <w:rPr>
          <w:rFonts w:hint="eastAsia" w:eastAsia="方正粗宋简体"/>
          <w:w w:val="85"/>
          <w:sz w:val="44"/>
          <w:szCs w:val="44"/>
        </w:rPr>
        <w:t>1</w:t>
      </w:r>
      <w:r>
        <w:rPr>
          <w:rFonts w:hAnsi="方正粗宋简体" w:eastAsia="方正粗宋简体"/>
          <w:w w:val="85"/>
          <w:sz w:val="44"/>
          <w:szCs w:val="44"/>
        </w:rPr>
        <w:t>年度新晃县项目</w:t>
      </w:r>
      <w:r>
        <w:rPr>
          <w:rFonts w:hint="eastAsia" w:hAnsi="方正粗宋简体" w:eastAsia="方正粗宋简体"/>
          <w:w w:val="85"/>
          <w:sz w:val="44"/>
          <w:szCs w:val="44"/>
        </w:rPr>
        <w:t>支出</w:t>
      </w:r>
      <w:r>
        <w:rPr>
          <w:rFonts w:hAnsi="方正粗宋简体" w:eastAsia="方正粗宋简体"/>
          <w:w w:val="85"/>
          <w:sz w:val="44"/>
          <w:szCs w:val="44"/>
        </w:rPr>
        <w:t>绩效</w:t>
      </w:r>
      <w:r>
        <w:rPr>
          <w:rFonts w:hint="eastAsia" w:hAnsi="方正粗宋简体" w:eastAsia="方正粗宋简体"/>
          <w:w w:val="85"/>
          <w:sz w:val="44"/>
          <w:szCs w:val="44"/>
        </w:rPr>
        <w:t>自评</w:t>
      </w:r>
      <w:r>
        <w:rPr>
          <w:rFonts w:hAnsi="方正粗宋简体" w:eastAsia="方正粗宋简体"/>
          <w:w w:val="85"/>
          <w:sz w:val="44"/>
          <w:szCs w:val="44"/>
        </w:rPr>
        <w:t>表</w:t>
      </w:r>
    </w:p>
    <w:p>
      <w:pPr>
        <w:spacing w:beforeLines="50" w:line="240" w:lineRule="exact"/>
        <w:ind w:firstLine="482"/>
        <w:jc w:val="center"/>
        <w:rPr>
          <w:rFonts w:eastAsia="仿宋_GB2312"/>
          <w:szCs w:val="21"/>
        </w:rPr>
      </w:pPr>
      <w:r>
        <w:rPr>
          <w:sz w:val="24"/>
        </w:rPr>
        <w:t xml:space="preserve">                                                  </w:t>
      </w:r>
      <w:r>
        <w:rPr>
          <w:rFonts w:eastAsia="仿宋_GB2312"/>
          <w:szCs w:val="21"/>
        </w:rPr>
        <w:t>金额单位：万元</w:t>
      </w:r>
    </w:p>
    <w:tbl>
      <w:tblPr>
        <w:tblStyle w:val="6"/>
        <w:tblpPr w:leftFromText="180" w:rightFromText="180" w:vertAnchor="text" w:horzAnchor="page" w:tblpX="1195" w:tblpY="107"/>
        <w:tblOverlap w:val="never"/>
        <w:tblW w:w="98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143"/>
        <w:gridCol w:w="1800"/>
        <w:gridCol w:w="1628"/>
        <w:gridCol w:w="1097"/>
        <w:gridCol w:w="1206"/>
        <w:gridCol w:w="83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（盖章）</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4005"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公益性水电及城区路灯维护管养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责任部门</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城市管理和综合执法局</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项目负责人</w:t>
            </w:r>
          </w:p>
        </w:tc>
        <w:tc>
          <w:tcPr>
            <w:tcW w:w="109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黄超</w:t>
            </w:r>
          </w:p>
        </w:tc>
        <w:tc>
          <w:tcPr>
            <w:tcW w:w="120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15707450745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trPr>
        <w:tc>
          <w:tcPr>
            <w:tcW w:w="1312"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项目资金</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基本情况</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上年结转</w:t>
            </w: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年初预算安排数</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预算调整数</w:t>
            </w: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全年执行数</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blCellSpacing w:w="0" w:type="dxa"/>
        </w:trPr>
        <w:tc>
          <w:tcPr>
            <w:tcW w:w="1312" w:type="dxa"/>
            <w:vMerge w:val="continue"/>
            <w:vAlign w:val="center"/>
          </w:tcPr>
          <w:p>
            <w:pPr>
              <w:spacing w:line="320" w:lineRule="exact"/>
              <w:jc w:val="center"/>
              <w:rPr>
                <w:rFonts w:ascii="仿宋_GB2312" w:hAnsi="仿宋_GB2312" w:eastAsia="仿宋_GB2312" w:cs="仿宋_GB2312"/>
                <w:szCs w:val="21"/>
              </w:rPr>
            </w:pP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85</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71.81</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评价内容</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评价简述</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单位自评得分</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项目预算及预期绩效目标编制水平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例如：本项目预算（即投入目标）编制科学、规范、合理，预期绩效目标申报完整，产出、效果类关键性指标清晰、明确、量化，投入与项目产出、效果目标匹配。</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例如：该项目预算执行率为*%。根据实际情况评分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项目组织管理水平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例如：本项目建立了**等项目管理制度，并严格按相关制度执行。</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资金支出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合理合规</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例如：本年项目支出符合国家相关法律法规、财务管理制度等规定，且均在预算范围内，无与本项目预算不相符或无关的资金支出。</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项目产出</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对照项目产出目标，按产出数量、产出质量、产出时效以及成本控制等方面进行自我评价。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项目效益（效果）</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对照项目效益目标，可从经济效益、社会效益、环境效益和可持续影响及服务对象满意度等5个具体绩效指标进行评价。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服务对象满意度计分：90%≤满意度≤100%记10分，80%≤满意度&lt;90%记8分，70%≤满意度&lt;80%   记6分，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60%≤满意度&lt;70%记4分，满意度&lt;60%记0分。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小计</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86</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负向指标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主要评价自评得分与复评得分差异率。差异率≤10%，不扣分；10%&lt;差异率≤15%，扣2分；15%&lt;差异率≤20%，扣4分；差异率&gt;20%，扣6分。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评价结果</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7433" w:type="dxa"/>
            <w:gridSpan w:val="6"/>
            <w:tcMar>
              <w:top w:w="0" w:type="dxa"/>
              <w:left w:w="105" w:type="dxa"/>
              <w:bottom w:w="0" w:type="dxa"/>
              <w:right w:w="105" w:type="dxa"/>
            </w:tcMar>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优秀  90分≤得分≤100分；    □ 良好  </w:t>
            </w:r>
            <w:r>
              <w:rPr>
                <w:rFonts w:ascii="仿宋_GB2312" w:hAnsi="仿宋_GB2312" w:eastAsia="仿宋_GB2312" w:cs="仿宋_GB2312"/>
                <w:szCs w:val="21"/>
              </w:rPr>
              <w:t>80</w:t>
            </w:r>
            <w:r>
              <w:rPr>
                <w:rFonts w:hint="eastAsia" w:ascii="仿宋_GB2312" w:hAnsi="仿宋_GB2312" w:eastAsia="仿宋_GB2312" w:cs="仿宋_GB2312"/>
                <w:szCs w:val="21"/>
              </w:rPr>
              <w:t>分≤得分＜90分；</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较差   60分≤得分＜</w:t>
            </w:r>
            <w:r>
              <w:rPr>
                <w:rFonts w:ascii="仿宋_GB2312" w:hAnsi="仿宋_GB2312" w:eastAsia="仿宋_GB2312" w:cs="仿宋_GB2312"/>
                <w:szCs w:val="21"/>
              </w:rPr>
              <w:t>80</w:t>
            </w:r>
            <w:r>
              <w:rPr>
                <w:rFonts w:hint="eastAsia" w:ascii="仿宋_GB2312" w:hAnsi="仿宋_GB2312" w:eastAsia="仿宋_GB2312" w:cs="仿宋_GB2312"/>
                <w:szCs w:val="21"/>
              </w:rPr>
              <w:t>分；    □ 差    得分＜60分</w:t>
            </w:r>
          </w:p>
        </w:tc>
      </w:tr>
    </w:tbl>
    <w:p>
      <w:pPr>
        <w:spacing w:line="320" w:lineRule="exact"/>
        <w:ind w:left="0"/>
        <w:jc w:val="left"/>
        <w:rPr>
          <w:rFonts w:ascii="华文中宋" w:hAnsi="华文中宋" w:eastAsia="华文中宋"/>
          <w:sz w:val="8"/>
          <w:szCs w:val="10"/>
        </w:rPr>
      </w:pPr>
    </w:p>
    <w:p>
      <w:pPr>
        <w:spacing w:line="320" w:lineRule="exact"/>
        <w:ind w:left="0"/>
        <w:jc w:val="left"/>
        <w:rPr>
          <w:rFonts w:ascii="华文中宋" w:hAnsi="华文中宋" w:eastAsia="华文中宋"/>
          <w:szCs w:val="21"/>
        </w:rPr>
      </w:pPr>
      <w:r>
        <w:rPr>
          <w:rFonts w:hint="eastAsia" w:ascii="宋体" w:hAnsi="宋体" w:cs="宋体"/>
          <w:szCs w:val="21"/>
        </w:rPr>
        <w:t>单</w:t>
      </w:r>
      <w:r>
        <w:rPr>
          <w:rFonts w:hint="eastAsia" w:ascii="Dotum" w:hAnsi="Dotum" w:eastAsia="Dotum" w:cs="Dotum"/>
          <w:szCs w:val="21"/>
        </w:rPr>
        <w:t>位</w:t>
      </w:r>
      <w:r>
        <w:rPr>
          <w:rFonts w:hint="eastAsia" w:ascii="宋体" w:hAnsi="宋体" w:cs="宋体"/>
          <w:szCs w:val="21"/>
        </w:rPr>
        <w:t>负责</w:t>
      </w:r>
      <w:r>
        <w:rPr>
          <w:rFonts w:hint="eastAsia" w:ascii="Dotum" w:hAnsi="Dotum" w:eastAsia="Dotum" w:cs="Dotum"/>
          <w:szCs w:val="21"/>
        </w:rPr>
        <w:t>人（</w:t>
      </w:r>
      <w:r>
        <w:rPr>
          <w:rFonts w:hint="eastAsia" w:ascii="宋体" w:hAnsi="宋体" w:cs="宋体"/>
          <w:szCs w:val="21"/>
        </w:rPr>
        <w:t>签</w:t>
      </w:r>
      <w:r>
        <w:rPr>
          <w:rFonts w:hint="eastAsia" w:ascii="Dotum" w:hAnsi="Dotum" w:eastAsia="Dotum" w:cs="Dotum"/>
          <w:szCs w:val="21"/>
        </w:rPr>
        <w:t>字）：</w:t>
      </w:r>
      <w:r>
        <w:rPr>
          <w:rFonts w:ascii="华文中宋" w:hAnsi="华文中宋" w:eastAsia="华文中宋"/>
          <w:szCs w:val="21"/>
        </w:rPr>
        <w:t xml:space="preserve">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宋体" w:hAnsi="宋体" w:cs="宋体"/>
          <w:szCs w:val="21"/>
        </w:rPr>
        <w:t>项</w:t>
      </w:r>
      <w:r>
        <w:rPr>
          <w:rFonts w:hint="eastAsia" w:ascii="Dotum" w:hAnsi="Dotum" w:eastAsia="Dotum" w:cs="Dotum"/>
          <w:szCs w:val="21"/>
        </w:rPr>
        <w:t>目</w:t>
      </w:r>
      <w:r>
        <w:rPr>
          <w:rFonts w:hint="eastAsia" w:ascii="宋体" w:hAnsi="宋体" w:cs="宋体"/>
          <w:szCs w:val="21"/>
        </w:rPr>
        <w:t>负责</w:t>
      </w:r>
      <w:r>
        <w:rPr>
          <w:rFonts w:hint="eastAsia" w:ascii="Dotum" w:hAnsi="Dotum" w:eastAsia="Dotum" w:cs="Dotum"/>
          <w:szCs w:val="21"/>
        </w:rPr>
        <w:t>人（</w:t>
      </w:r>
      <w:r>
        <w:rPr>
          <w:rFonts w:hint="eastAsia" w:ascii="宋体" w:hAnsi="宋体" w:cs="宋体"/>
          <w:szCs w:val="21"/>
        </w:rPr>
        <w:t>签</w:t>
      </w:r>
      <w:r>
        <w:rPr>
          <w:rFonts w:hint="eastAsia" w:ascii="Dotum" w:hAnsi="Dotum" w:eastAsia="Dotum" w:cs="Dotum"/>
          <w:szCs w:val="21"/>
        </w:rPr>
        <w:t>字）：</w:t>
      </w:r>
      <w:r>
        <w:rPr>
          <w:rFonts w:ascii="华文中宋" w:hAnsi="华文中宋" w:eastAsia="华文中宋"/>
          <w:szCs w:val="21"/>
        </w:rPr>
        <w:t>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宋体" w:hAnsi="宋体" w:cs="宋体"/>
          <w:szCs w:val="21"/>
        </w:rPr>
        <w:t>填</w:t>
      </w:r>
      <w:r>
        <w:rPr>
          <w:rFonts w:hint="eastAsia" w:ascii="Dotum" w:hAnsi="Dotum" w:eastAsia="Dotum" w:cs="Dotum"/>
          <w:szCs w:val="21"/>
        </w:rPr>
        <w:t>表日期：</w:t>
      </w:r>
      <w:r>
        <w:rPr>
          <w:rFonts w:ascii="华文中宋" w:hAnsi="华文中宋" w:eastAsia="华文中宋"/>
          <w:szCs w:val="21"/>
        </w:rPr>
        <w:t> </w:t>
      </w:r>
      <w:r>
        <w:rPr>
          <w:rFonts w:hint="eastAsia" w:ascii="华文中宋" w:hAnsi="华文中宋" w:eastAsia="华文中宋"/>
          <w:szCs w:val="21"/>
        </w:rPr>
        <w:t xml:space="preserve">2022 </w:t>
      </w:r>
      <w:r>
        <w:rPr>
          <w:rFonts w:ascii="华文中宋" w:hAnsi="华文中宋" w:eastAsia="华文中宋"/>
          <w:szCs w:val="21"/>
        </w:rPr>
        <w:t>年  </w:t>
      </w:r>
      <w:r>
        <w:rPr>
          <w:rFonts w:hint="eastAsia" w:ascii="华文中宋" w:hAnsi="华文中宋" w:eastAsia="华文中宋"/>
          <w:szCs w:val="21"/>
        </w:rPr>
        <w:t>5</w:t>
      </w:r>
      <w:r>
        <w:rPr>
          <w:rFonts w:ascii="华文中宋" w:hAnsi="华文中宋" w:eastAsia="华文中宋"/>
          <w:szCs w:val="21"/>
        </w:rPr>
        <w:t xml:space="preserve"> 月 </w:t>
      </w:r>
      <w:r>
        <w:rPr>
          <w:rFonts w:hint="eastAsia" w:ascii="华文中宋" w:hAnsi="华文中宋" w:eastAsia="华文中宋"/>
          <w:szCs w:val="21"/>
        </w:rPr>
        <w:t>24</w:t>
      </w:r>
      <w:r>
        <w:rPr>
          <w:rFonts w:ascii="华文中宋" w:hAnsi="华文中宋" w:eastAsia="华文中宋"/>
          <w:szCs w:val="21"/>
        </w:rPr>
        <w:t>  日</w:t>
      </w:r>
    </w:p>
    <w:p>
      <w:pPr>
        <w:spacing w:before="240" w:line="340" w:lineRule="exact"/>
        <w:ind w:left="0"/>
        <w:jc w:val="left"/>
        <w:rPr>
          <w:rFonts w:asciiTheme="minorEastAsia" w:hAnsiTheme="minorEastAsia" w:eastAsiaTheme="minorEastAsia"/>
          <w:sz w:val="30"/>
          <w:szCs w:val="30"/>
        </w:rPr>
      </w:pPr>
      <w:r>
        <w:rPr>
          <w:rFonts w:hint="eastAsia" w:cs="仿宋_GB2312" w:asciiTheme="minorEastAsia" w:hAnsiTheme="minorEastAsia" w:eastAsiaTheme="minorEastAsia"/>
          <w:sz w:val="30"/>
          <w:szCs w:val="30"/>
        </w:rPr>
        <w:t>附件2-3 </w:t>
      </w:r>
    </w:p>
    <w:p>
      <w:pPr>
        <w:spacing w:line="600" w:lineRule="exact"/>
        <w:jc w:val="center"/>
        <w:rPr>
          <w:rFonts w:asciiTheme="minorEastAsia" w:hAnsiTheme="minorEastAsia" w:eastAsiaTheme="minorEastAsia"/>
          <w:w w:val="85"/>
          <w:sz w:val="30"/>
          <w:szCs w:val="30"/>
        </w:rPr>
      </w:pPr>
      <w:r>
        <w:rPr>
          <w:rFonts w:asciiTheme="minorEastAsia" w:hAnsiTheme="minorEastAsia" w:eastAsiaTheme="minorEastAsia"/>
          <w:w w:val="85"/>
          <w:sz w:val="30"/>
          <w:szCs w:val="30"/>
        </w:rPr>
        <w:t> 202</w:t>
      </w:r>
      <w:r>
        <w:rPr>
          <w:rFonts w:hint="eastAsia" w:asciiTheme="minorEastAsia" w:hAnsiTheme="minorEastAsia" w:eastAsiaTheme="minorEastAsia"/>
          <w:w w:val="85"/>
          <w:sz w:val="30"/>
          <w:szCs w:val="30"/>
        </w:rPr>
        <w:t>1</w:t>
      </w:r>
      <w:r>
        <w:rPr>
          <w:rFonts w:asciiTheme="minorEastAsia" w:hAnsiTheme="minorEastAsia" w:eastAsiaTheme="minorEastAsia"/>
          <w:w w:val="85"/>
          <w:sz w:val="30"/>
          <w:szCs w:val="30"/>
        </w:rPr>
        <w:t>年度新晃县</w:t>
      </w:r>
      <w:r>
        <w:rPr>
          <w:rFonts w:hint="eastAsia" w:asciiTheme="minorEastAsia" w:hAnsiTheme="minorEastAsia" w:eastAsiaTheme="minorEastAsia"/>
          <w:w w:val="85"/>
          <w:sz w:val="30"/>
          <w:szCs w:val="30"/>
        </w:rPr>
        <w:t>项目</w:t>
      </w:r>
      <w:r>
        <w:rPr>
          <w:rFonts w:asciiTheme="minorEastAsia" w:hAnsiTheme="minorEastAsia" w:eastAsiaTheme="minorEastAsia"/>
          <w:w w:val="85"/>
          <w:sz w:val="30"/>
          <w:szCs w:val="30"/>
        </w:rPr>
        <w:t>支出</w:t>
      </w:r>
      <w:r>
        <w:rPr>
          <w:rFonts w:hint="eastAsia" w:asciiTheme="minorEastAsia" w:hAnsiTheme="minorEastAsia" w:eastAsiaTheme="minorEastAsia"/>
          <w:w w:val="85"/>
          <w:sz w:val="30"/>
          <w:szCs w:val="30"/>
        </w:rPr>
        <w:t>绩效</w:t>
      </w:r>
      <w:r>
        <w:rPr>
          <w:rFonts w:asciiTheme="minorEastAsia" w:hAnsiTheme="minorEastAsia" w:eastAsiaTheme="minorEastAsia"/>
          <w:w w:val="85"/>
          <w:sz w:val="30"/>
          <w:szCs w:val="30"/>
        </w:rPr>
        <w:t>自评报告</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一、基本情况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（一）项目概况。</w:t>
      </w:r>
    </w:p>
    <w:p>
      <w:pPr>
        <w:spacing w:line="560" w:lineRule="exact"/>
        <w:ind w:firstLine="600" w:firstLineChars="200"/>
        <w:jc w:val="left"/>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公益性水电及城区路灯维护管养项目主要用于保障城市公益水电和城区路灯正常运行。</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（二）项目绩效目标。</w:t>
      </w:r>
    </w:p>
    <w:p>
      <w:pPr>
        <w:spacing w:line="560" w:lineRule="exact"/>
        <w:ind w:firstLine="600" w:firstLineChars="200"/>
        <w:jc w:val="left"/>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主要用于保障城市公益水电和城区路灯正常运行。</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二、绩效评价工作开展情况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（一）绩效评价目的、对象和范围。</w:t>
      </w:r>
    </w:p>
    <w:p>
      <w:pPr>
        <w:spacing w:line="560" w:lineRule="exact"/>
        <w:ind w:firstLine="600" w:firstLineChars="200"/>
        <w:jc w:val="left"/>
        <w:rPr>
          <w:rFonts w:asciiTheme="minorEastAsia" w:hAnsiTheme="minorEastAsia" w:eastAsiaTheme="minorEastAsia"/>
          <w:sz w:val="30"/>
          <w:szCs w:val="30"/>
        </w:rPr>
      </w:pPr>
      <w:r>
        <w:rPr>
          <w:rFonts w:hint="eastAsia" w:cs="仿宋_GB2312" w:asciiTheme="minorEastAsia" w:hAnsiTheme="minorEastAsia" w:eastAsiaTheme="minorEastAsia"/>
          <w:sz w:val="30"/>
          <w:szCs w:val="30"/>
        </w:rPr>
        <w:t>主要用于保障城市公益水电和城区路灯正常运行</w:t>
      </w:r>
      <w:r>
        <w:rPr>
          <w:rFonts w:hint="eastAsia" w:asciiTheme="minorEastAsia" w:hAnsiTheme="minorEastAsia" w:eastAsiaTheme="minorEastAsia"/>
          <w:sz w:val="30"/>
          <w:szCs w:val="30"/>
        </w:rPr>
        <w:t>。2021年</w:t>
      </w:r>
      <w:r>
        <w:rPr>
          <w:rFonts w:hint="eastAsia" w:cs="仿宋_GB2312" w:asciiTheme="minorEastAsia" w:hAnsiTheme="minorEastAsia" w:eastAsiaTheme="minorEastAsia"/>
          <w:sz w:val="30"/>
          <w:szCs w:val="30"/>
        </w:rPr>
        <w:t>公益性水电及城区路灯维护管养支出71.81万元，公益性水电及城区路灯维护管养项目预算经费85万元，完成预算的84.48%。</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三、综合评价情况及评价结论（附相关评分表）</w:t>
      </w:r>
    </w:p>
    <w:p>
      <w:pPr>
        <w:spacing w:line="560" w:lineRule="exact"/>
        <w:ind w:firstLine="600" w:firstLineChars="200"/>
        <w:jc w:val="left"/>
        <w:rPr>
          <w:rFonts w:asciiTheme="minorEastAsia" w:hAnsiTheme="minorEastAsia" w:eastAsiaTheme="minorEastAsia"/>
          <w:b/>
          <w:bCs/>
          <w:sz w:val="30"/>
          <w:szCs w:val="30"/>
        </w:rPr>
      </w:pPr>
      <w:r>
        <w:rPr>
          <w:rFonts w:hint="eastAsia" w:cs="仿宋_GB2312" w:asciiTheme="minorEastAsia" w:hAnsiTheme="minorEastAsia" w:eastAsiaTheme="minorEastAsia"/>
          <w:sz w:val="30"/>
          <w:szCs w:val="30"/>
        </w:rPr>
        <w:t>公益性水电及城区路灯维护管养项目自评得分86分（评分表附后）。</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四、绩效评价指标分析</w:t>
      </w:r>
    </w:p>
    <w:tbl>
      <w:tblPr>
        <w:tblStyle w:val="6"/>
        <w:tblW w:w="9840" w:type="dxa"/>
        <w:tblInd w:w="96" w:type="dxa"/>
        <w:tblLayout w:type="fixed"/>
        <w:tblCellMar>
          <w:top w:w="0" w:type="dxa"/>
          <w:left w:w="108" w:type="dxa"/>
          <w:bottom w:w="0" w:type="dxa"/>
          <w:right w:w="108" w:type="dxa"/>
        </w:tblCellMar>
      </w:tblPr>
      <w:tblGrid>
        <w:gridCol w:w="1660"/>
        <w:gridCol w:w="1080"/>
        <w:gridCol w:w="1525"/>
        <w:gridCol w:w="1701"/>
        <w:gridCol w:w="1654"/>
        <w:gridCol w:w="2220"/>
      </w:tblGrid>
      <w:tr>
        <w:tblPrEx>
          <w:tblCellMar>
            <w:top w:w="0" w:type="dxa"/>
            <w:left w:w="108" w:type="dxa"/>
            <w:bottom w:w="0" w:type="dxa"/>
            <w:right w:w="108" w:type="dxa"/>
          </w:tblCellMar>
        </w:tblPrEx>
        <w:trPr>
          <w:trHeight w:val="540" w:hRule="atLeast"/>
        </w:trPr>
        <w:tc>
          <w:tcPr>
            <w:tcW w:w="1660" w:type="dxa"/>
            <w:vMerge w:val="restart"/>
            <w:tcBorders>
              <w:top w:val="nil"/>
              <w:left w:val="single" w:color="auto" w:sz="8" w:space="0"/>
              <w:bottom w:val="nil"/>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本年度</w:t>
            </w:r>
            <w:r>
              <w:rPr>
                <w:rFonts w:hint="eastAsia" w:asciiTheme="minorEastAsia" w:hAnsiTheme="minorEastAsia" w:eastAsiaTheme="minorEastAsia"/>
                <w:color w:val="000000"/>
                <w:sz w:val="24"/>
                <w:szCs w:val="24"/>
              </w:rPr>
              <w:br w:type="textWrapping"/>
            </w:r>
            <w:r>
              <w:rPr>
                <w:rFonts w:hint="eastAsia" w:asciiTheme="minorEastAsia" w:hAnsiTheme="minorEastAsia" w:eastAsiaTheme="minorEastAsia"/>
                <w:color w:val="000000"/>
                <w:sz w:val="24"/>
                <w:szCs w:val="24"/>
              </w:rPr>
              <w:t>绩效指标</w:t>
            </w:r>
          </w:p>
        </w:tc>
        <w:tc>
          <w:tcPr>
            <w:tcW w:w="1080" w:type="dxa"/>
            <w:tcBorders>
              <w:top w:val="nil"/>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一级指标</w:t>
            </w:r>
          </w:p>
        </w:tc>
        <w:tc>
          <w:tcPr>
            <w:tcW w:w="1525" w:type="dxa"/>
            <w:tcBorders>
              <w:top w:val="single" w:color="auto" w:sz="8" w:space="0"/>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二级指标</w:t>
            </w:r>
          </w:p>
        </w:tc>
        <w:tc>
          <w:tcPr>
            <w:tcW w:w="1701" w:type="dxa"/>
            <w:tcBorders>
              <w:top w:val="single" w:color="auto" w:sz="8" w:space="0"/>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三级指标</w:t>
            </w:r>
          </w:p>
        </w:tc>
        <w:tc>
          <w:tcPr>
            <w:tcW w:w="1654" w:type="dxa"/>
            <w:tcBorders>
              <w:top w:val="single" w:color="auto" w:sz="8" w:space="0"/>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指标值及单位</w:t>
            </w:r>
          </w:p>
        </w:tc>
        <w:tc>
          <w:tcPr>
            <w:tcW w:w="2220" w:type="dxa"/>
            <w:tcBorders>
              <w:top w:val="single" w:color="auto" w:sz="8" w:space="0"/>
              <w:left w:val="nil"/>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绩效标准</w:t>
            </w:r>
          </w:p>
        </w:tc>
      </w:tr>
      <w:tr>
        <w:tblPrEx>
          <w:tblCellMar>
            <w:top w:w="0" w:type="dxa"/>
            <w:left w:w="108" w:type="dxa"/>
            <w:bottom w:w="0" w:type="dxa"/>
            <w:right w:w="108" w:type="dxa"/>
          </w:tblCellMar>
        </w:tblPrEx>
        <w:trPr>
          <w:trHeight w:val="80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restart"/>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产出指标</w:t>
            </w: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数量指标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路灯电费和用水量使用率</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质量指标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保障路灯亮灯率</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994"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时效指标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资金及时拨付率</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及时</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864"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成本指标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公益性水电及城区路灯维护管养费用</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≦85万元</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68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效益指标</w:t>
            </w:r>
          </w:p>
        </w:tc>
        <w:tc>
          <w:tcPr>
            <w:tcW w:w="1525"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经济效益指标</w:t>
            </w:r>
          </w:p>
        </w:tc>
        <w:tc>
          <w:tcPr>
            <w:tcW w:w="1701"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不适用</w:t>
            </w:r>
          </w:p>
        </w:tc>
        <w:tc>
          <w:tcPr>
            <w:tcW w:w="1654"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不适用</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104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社会效益指标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保障城市水电正常运行率</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576"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生态效益指标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不适用</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不适用</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68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525"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可持续影响指标</w:t>
            </w:r>
          </w:p>
        </w:tc>
        <w:tc>
          <w:tcPr>
            <w:tcW w:w="1701"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城市水电正常运行</w:t>
            </w:r>
          </w:p>
        </w:tc>
        <w:tc>
          <w:tcPr>
            <w:tcW w:w="1654"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可持续</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r>
        <w:tblPrEx>
          <w:tblCellMar>
            <w:top w:w="0" w:type="dxa"/>
            <w:left w:w="108" w:type="dxa"/>
            <w:bottom w:w="0" w:type="dxa"/>
            <w:right w:w="108" w:type="dxa"/>
          </w:tblCellMar>
        </w:tblPrEx>
        <w:trPr>
          <w:trHeight w:val="2309"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4"/>
                <w:szCs w:val="24"/>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社会公众或服务对象满意度指标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市民满意度</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计划标准</w:t>
            </w:r>
          </w:p>
        </w:tc>
      </w:tr>
    </w:tbl>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五、主要经验及做法、存在的问题及原因分析</w:t>
      </w:r>
    </w:p>
    <w:p>
      <w:pPr>
        <w:spacing w:line="560" w:lineRule="exact"/>
        <w:ind w:firstLine="600" w:firstLineChars="200"/>
        <w:jc w:val="left"/>
        <w:rPr>
          <w:rFonts w:asciiTheme="minorEastAsia" w:hAnsiTheme="minorEastAsia" w:eastAsiaTheme="minorEastAsia"/>
          <w:b/>
          <w:bCs/>
          <w:sz w:val="30"/>
          <w:szCs w:val="30"/>
        </w:rPr>
      </w:pPr>
      <w:r>
        <w:rPr>
          <w:rFonts w:hint="eastAsia" w:cs="仿宋_GB2312" w:asciiTheme="minorEastAsia" w:hAnsiTheme="minorEastAsia" w:eastAsiaTheme="minorEastAsia"/>
          <w:sz w:val="30"/>
          <w:szCs w:val="30"/>
        </w:rPr>
        <w:t>无。</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六、有关建议</w:t>
      </w:r>
    </w:p>
    <w:p>
      <w:pPr>
        <w:spacing w:line="560" w:lineRule="exact"/>
        <w:ind w:firstLine="600" w:firstLineChars="200"/>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无。</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七、其他需要说明的问题</w:t>
      </w:r>
    </w:p>
    <w:p>
      <w:pPr>
        <w:pStyle w:val="5"/>
        <w:widowControl w:val="0"/>
        <w:spacing w:before="0" w:beforeAutospacing="0" w:after="0" w:afterAutospacing="0" w:line="520" w:lineRule="exact"/>
        <w:ind w:firstLine="600" w:firstLineChars="200"/>
        <w:rPr>
          <w:rFonts w:hint="eastAsia" w:cs="Times New Roman" w:asciiTheme="minorEastAsia" w:hAnsiTheme="minorEastAsia" w:eastAsiaTheme="minorEastAsia"/>
          <w:sz w:val="30"/>
          <w:szCs w:val="30"/>
        </w:rPr>
      </w:pPr>
      <w:r>
        <w:rPr>
          <w:rFonts w:hint="eastAsia" w:cs="Times New Roman" w:asciiTheme="minorEastAsia" w:hAnsiTheme="minorEastAsia" w:eastAsiaTheme="minorEastAsia"/>
          <w:sz w:val="30"/>
          <w:szCs w:val="30"/>
        </w:rPr>
        <w:t>无。</w:t>
      </w:r>
    </w:p>
    <w:p>
      <w:pPr>
        <w:pStyle w:val="5"/>
        <w:widowControl w:val="0"/>
        <w:spacing w:before="0" w:beforeAutospacing="0" w:after="0" w:afterAutospacing="0" w:line="520" w:lineRule="exact"/>
        <w:ind w:firstLine="600" w:firstLineChars="200"/>
        <w:rPr>
          <w:rFonts w:hint="eastAsia" w:cs="Times New Roman" w:asciiTheme="minorEastAsia" w:hAnsiTheme="minorEastAsia" w:eastAsiaTheme="minorEastAsia"/>
          <w:sz w:val="30"/>
          <w:szCs w:val="30"/>
        </w:rPr>
      </w:pPr>
    </w:p>
    <w:p>
      <w:pPr>
        <w:pStyle w:val="5"/>
        <w:widowControl w:val="0"/>
        <w:spacing w:before="0" w:beforeAutospacing="0" w:after="0" w:afterAutospacing="0" w:line="520" w:lineRule="exact"/>
        <w:ind w:firstLine="600" w:firstLineChars="200"/>
        <w:rPr>
          <w:rFonts w:hint="eastAsia" w:cs="Times New Roman" w:asciiTheme="minorEastAsia" w:hAnsiTheme="minorEastAsia" w:eastAsiaTheme="minorEastAsia"/>
          <w:sz w:val="30"/>
          <w:szCs w:val="30"/>
        </w:rPr>
      </w:pPr>
    </w:p>
    <w:p>
      <w:pPr>
        <w:pStyle w:val="5"/>
        <w:widowControl w:val="0"/>
        <w:spacing w:before="0" w:beforeAutospacing="0" w:after="0" w:afterAutospacing="0" w:line="520" w:lineRule="exact"/>
        <w:ind w:firstLine="600" w:firstLineChars="200"/>
        <w:rPr>
          <w:rFonts w:hint="eastAsia" w:cs="Times New Roman" w:asciiTheme="minorEastAsia" w:hAnsiTheme="minorEastAsia" w:eastAsiaTheme="minorEastAsia"/>
          <w:sz w:val="30"/>
          <w:szCs w:val="30"/>
        </w:rPr>
      </w:pPr>
    </w:p>
    <w:p>
      <w:pPr>
        <w:pStyle w:val="5"/>
        <w:widowControl w:val="0"/>
        <w:spacing w:before="0" w:beforeAutospacing="0" w:after="0" w:afterAutospacing="0" w:line="520" w:lineRule="exact"/>
        <w:ind w:firstLine="600" w:firstLineChars="200"/>
        <w:rPr>
          <w:rFonts w:cs="Times New Roman" w:asciiTheme="minorEastAsia" w:hAnsiTheme="minorEastAsia" w:eastAsiaTheme="minorEastAsia"/>
          <w:sz w:val="30"/>
          <w:szCs w:val="30"/>
        </w:rPr>
      </w:pPr>
    </w:p>
    <w:p>
      <w:pPr>
        <w:ind w:left="8400" w:hanging="8400" w:hangingChars="2800"/>
        <w:rPr>
          <w:rFonts w:asciiTheme="minorEastAsia" w:hAnsiTheme="minorEastAsia" w:eastAsiaTheme="minorEastAsia"/>
          <w:sz w:val="30"/>
          <w:szCs w:val="30"/>
        </w:rPr>
      </w:pP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 xml:space="preserve">项目单位（签）                        </w:t>
      </w:r>
    </w:p>
    <w:p>
      <w:pPr>
        <w:jc w:val="right"/>
        <w:rPr>
          <w:rFonts w:asciiTheme="minorEastAsia" w:hAnsiTheme="minorEastAsia" w:eastAsiaTheme="minorEastAsia"/>
          <w:sz w:val="30"/>
          <w:szCs w:val="30"/>
        </w:rPr>
      </w:pPr>
      <w:r>
        <w:rPr>
          <w:rFonts w:hint="eastAsia" w:asciiTheme="minorEastAsia" w:hAnsiTheme="minorEastAsia" w:eastAsiaTheme="minorEastAsia"/>
          <w:sz w:val="30"/>
          <w:szCs w:val="30"/>
        </w:rPr>
        <w:t>2022</w:t>
      </w:r>
      <w:r>
        <w:rPr>
          <w:rFonts w:asciiTheme="minorEastAsia" w:hAnsiTheme="minorEastAsia" w:eastAsiaTheme="minorEastAsia"/>
          <w:sz w:val="30"/>
          <w:szCs w:val="30"/>
        </w:rPr>
        <w:t xml:space="preserve">年  </w:t>
      </w:r>
      <w:r>
        <w:rPr>
          <w:rFonts w:hint="eastAsia" w:asciiTheme="minorEastAsia" w:hAnsiTheme="minorEastAsia" w:eastAsiaTheme="minorEastAsia"/>
          <w:sz w:val="30"/>
          <w:szCs w:val="30"/>
        </w:rPr>
        <w:t>5</w:t>
      </w:r>
      <w:r>
        <w:rPr>
          <w:rFonts w:asciiTheme="minorEastAsia" w:hAnsiTheme="minorEastAsia" w:eastAsiaTheme="minorEastAsia"/>
          <w:sz w:val="30"/>
          <w:szCs w:val="30"/>
        </w:rPr>
        <w:t xml:space="preserve"> 月 </w:t>
      </w:r>
      <w:r>
        <w:rPr>
          <w:rFonts w:hint="eastAsia" w:asciiTheme="minorEastAsia" w:hAnsiTheme="minorEastAsia" w:eastAsiaTheme="minorEastAsia"/>
          <w:sz w:val="30"/>
          <w:szCs w:val="30"/>
        </w:rPr>
        <w:t>24</w:t>
      </w:r>
      <w:r>
        <w:rPr>
          <w:rFonts w:asciiTheme="minorEastAsia" w:hAnsiTheme="minorEastAsia" w:eastAsiaTheme="minorEastAsia"/>
          <w:sz w:val="30"/>
          <w:szCs w:val="30"/>
        </w:rPr>
        <w:t xml:space="preserve"> 日</w:t>
      </w:r>
    </w:p>
    <w:p>
      <w:pPr>
        <w:spacing w:line="560" w:lineRule="exact"/>
        <w:ind w:left="0"/>
        <w:jc w:val="left"/>
        <w:rPr>
          <w:rFonts w:eastAsia="仿宋_GB2312"/>
          <w:sz w:val="28"/>
          <w:szCs w:val="28"/>
        </w:rPr>
      </w:pPr>
    </w:p>
    <w:p>
      <w:pPr>
        <w:spacing w:line="560" w:lineRule="exact"/>
        <w:ind w:left="0"/>
        <w:jc w:val="left"/>
        <w:rPr>
          <w:rFonts w:eastAsia="仿宋_GB2312"/>
          <w:sz w:val="28"/>
          <w:szCs w:val="28"/>
        </w:rPr>
      </w:pPr>
    </w:p>
    <w:p>
      <w:pPr>
        <w:spacing w:line="560" w:lineRule="exact"/>
        <w:ind w:left="0"/>
        <w:jc w:val="left"/>
        <w:rPr>
          <w:rFonts w:eastAsia="仿宋_GB2312"/>
          <w:sz w:val="28"/>
          <w:szCs w:val="28"/>
        </w:rPr>
      </w:pPr>
    </w:p>
    <w:p>
      <w:pPr>
        <w:spacing w:before="100" w:beforeAutospacing="1" w:after="100" w:afterAutospacing="1"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附件2-1</w:t>
      </w:r>
    </w:p>
    <w:p>
      <w:pPr>
        <w:spacing w:line="480" w:lineRule="exact"/>
        <w:jc w:val="center"/>
        <w:rPr>
          <w:rFonts w:eastAsia="方正粗宋简体"/>
          <w:w w:val="85"/>
          <w:sz w:val="44"/>
          <w:szCs w:val="44"/>
        </w:rPr>
      </w:pPr>
      <w:r>
        <w:rPr>
          <w:rFonts w:eastAsia="方正粗宋简体"/>
          <w:w w:val="85"/>
          <w:sz w:val="44"/>
          <w:szCs w:val="44"/>
        </w:rPr>
        <w:t>202</w:t>
      </w:r>
      <w:r>
        <w:rPr>
          <w:rFonts w:hint="eastAsia" w:eastAsia="方正粗宋简体"/>
          <w:w w:val="85"/>
          <w:sz w:val="44"/>
          <w:szCs w:val="44"/>
        </w:rPr>
        <w:t>1</w:t>
      </w:r>
      <w:r>
        <w:rPr>
          <w:rFonts w:hAnsi="方正粗宋简体" w:eastAsia="方正粗宋简体"/>
          <w:w w:val="85"/>
          <w:sz w:val="44"/>
          <w:szCs w:val="44"/>
        </w:rPr>
        <w:t>年度新晃县项目</w:t>
      </w:r>
      <w:r>
        <w:rPr>
          <w:rFonts w:hint="eastAsia" w:hAnsi="方正粗宋简体" w:eastAsia="方正粗宋简体"/>
          <w:w w:val="85"/>
          <w:sz w:val="44"/>
          <w:szCs w:val="44"/>
        </w:rPr>
        <w:t>支出</w:t>
      </w:r>
      <w:r>
        <w:rPr>
          <w:rFonts w:hAnsi="方正粗宋简体" w:eastAsia="方正粗宋简体"/>
          <w:w w:val="85"/>
          <w:sz w:val="44"/>
          <w:szCs w:val="44"/>
        </w:rPr>
        <w:t>绩效</w:t>
      </w:r>
      <w:r>
        <w:rPr>
          <w:rFonts w:hint="eastAsia" w:hAnsi="方正粗宋简体" w:eastAsia="方正粗宋简体"/>
          <w:w w:val="85"/>
          <w:sz w:val="44"/>
          <w:szCs w:val="44"/>
        </w:rPr>
        <w:t>自评</w:t>
      </w:r>
      <w:r>
        <w:rPr>
          <w:rFonts w:hAnsi="方正粗宋简体" w:eastAsia="方正粗宋简体"/>
          <w:w w:val="85"/>
          <w:sz w:val="44"/>
          <w:szCs w:val="44"/>
        </w:rPr>
        <w:t>表</w:t>
      </w:r>
    </w:p>
    <w:p>
      <w:pPr>
        <w:spacing w:beforeLines="50" w:line="240" w:lineRule="exact"/>
        <w:ind w:firstLine="482"/>
        <w:jc w:val="center"/>
        <w:rPr>
          <w:rFonts w:eastAsia="仿宋_GB2312"/>
          <w:szCs w:val="21"/>
        </w:rPr>
      </w:pPr>
      <w:r>
        <w:rPr>
          <w:sz w:val="24"/>
        </w:rPr>
        <w:t xml:space="preserve">                                                  </w:t>
      </w:r>
      <w:r>
        <w:rPr>
          <w:rFonts w:eastAsia="仿宋_GB2312"/>
          <w:szCs w:val="21"/>
        </w:rPr>
        <w:t>金额单位：万元</w:t>
      </w:r>
    </w:p>
    <w:tbl>
      <w:tblPr>
        <w:tblStyle w:val="6"/>
        <w:tblpPr w:leftFromText="180" w:rightFromText="180" w:vertAnchor="text" w:horzAnchor="page" w:tblpX="1195" w:tblpY="107"/>
        <w:tblOverlap w:val="never"/>
        <w:tblW w:w="98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143"/>
        <w:gridCol w:w="1800"/>
        <w:gridCol w:w="1628"/>
        <w:gridCol w:w="1097"/>
        <w:gridCol w:w="1206"/>
        <w:gridCol w:w="83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（盖章）</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4005"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春节城区喜庆美化、亮化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责任部门</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城市管理和综合执法局</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项目负责人</w:t>
            </w:r>
          </w:p>
        </w:tc>
        <w:tc>
          <w:tcPr>
            <w:tcW w:w="109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黄超</w:t>
            </w:r>
          </w:p>
        </w:tc>
        <w:tc>
          <w:tcPr>
            <w:tcW w:w="120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15707450745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trPr>
        <w:tc>
          <w:tcPr>
            <w:tcW w:w="1312"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项目资金</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基本情况</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上年结转</w:t>
            </w: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年初预算安排数</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预算调整数</w:t>
            </w: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全年执行数</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blCellSpacing w:w="0" w:type="dxa"/>
        </w:trPr>
        <w:tc>
          <w:tcPr>
            <w:tcW w:w="1312" w:type="dxa"/>
            <w:vMerge w:val="continue"/>
            <w:vAlign w:val="center"/>
          </w:tcPr>
          <w:p>
            <w:pPr>
              <w:spacing w:line="320" w:lineRule="exact"/>
              <w:jc w:val="center"/>
              <w:rPr>
                <w:rFonts w:ascii="仿宋_GB2312" w:hAnsi="仿宋_GB2312" w:eastAsia="仿宋_GB2312" w:cs="仿宋_GB2312"/>
                <w:szCs w:val="21"/>
              </w:rPr>
            </w:pP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评价内容</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评价简述</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单位自评得分</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项目预算及预期绩效目标编制水平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例如：本项目预算（即投入目标）编制科学、规范、合理，预期绩效目标申报完整，产出、效果类关键性指标清晰、明确、量化，投入与项目产出、效果目标匹配。</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例如：该项目预算执行率为*%。根据实际情况评分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项目组织管理水平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例如：本项目建立了**等项目管理制度，并严格按相关制度执行。</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资金支出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合理合规</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例如：本年项目支出符合国家相关法律法规、财务管理制度等规定，且均在预算范围内，无与本项目预算不相符或无关的资金支出。</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项目产出</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对照项目产出目标，按产出数量、产出质量、产出时效以及成本控制等方面进行自我评价。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项目效益（效果）</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对照项目效益目标，可从经济效益、社会效益、环境效益和可持续影响及服务对象满意度等5个具体绩效指标进行评价。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服务对象满意度计分：90%≤满意度≤100%记10分，80%≤满意度&lt;90%记8分，70%≤满意度&lt;80%   记6分，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60%≤满意度&lt;70%记4分，满意度&lt;60%记0分。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小计</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88</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负向指标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主要评价自评得分与复评得分差异率。差异率≤10%，不扣分；10%&lt;差异率≤15%，扣2分；15%&lt;差异率≤20%，扣4分；差异率&gt;20%，扣6分。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评价结果</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7433" w:type="dxa"/>
            <w:gridSpan w:val="6"/>
            <w:tcMar>
              <w:top w:w="0" w:type="dxa"/>
              <w:left w:w="105" w:type="dxa"/>
              <w:bottom w:w="0" w:type="dxa"/>
              <w:right w:w="105" w:type="dxa"/>
            </w:tcMar>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优秀  90分≤得分≤100分；    □ 良好  </w:t>
            </w:r>
            <w:r>
              <w:rPr>
                <w:rFonts w:ascii="仿宋_GB2312" w:hAnsi="仿宋_GB2312" w:eastAsia="仿宋_GB2312" w:cs="仿宋_GB2312"/>
                <w:szCs w:val="21"/>
              </w:rPr>
              <w:t>80</w:t>
            </w:r>
            <w:r>
              <w:rPr>
                <w:rFonts w:hint="eastAsia" w:ascii="仿宋_GB2312" w:hAnsi="仿宋_GB2312" w:eastAsia="仿宋_GB2312" w:cs="仿宋_GB2312"/>
                <w:szCs w:val="21"/>
              </w:rPr>
              <w:t>分≤得分＜90分；</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较差   60分≤得分＜</w:t>
            </w:r>
            <w:r>
              <w:rPr>
                <w:rFonts w:ascii="仿宋_GB2312" w:hAnsi="仿宋_GB2312" w:eastAsia="仿宋_GB2312" w:cs="仿宋_GB2312"/>
                <w:szCs w:val="21"/>
              </w:rPr>
              <w:t>80</w:t>
            </w:r>
            <w:r>
              <w:rPr>
                <w:rFonts w:hint="eastAsia" w:ascii="仿宋_GB2312" w:hAnsi="仿宋_GB2312" w:eastAsia="仿宋_GB2312" w:cs="仿宋_GB2312"/>
                <w:szCs w:val="21"/>
              </w:rPr>
              <w:t>分；    □ 差    得分＜60分</w:t>
            </w:r>
          </w:p>
        </w:tc>
      </w:tr>
    </w:tbl>
    <w:p>
      <w:pPr>
        <w:spacing w:line="320" w:lineRule="exact"/>
        <w:ind w:left="0"/>
        <w:jc w:val="left"/>
        <w:rPr>
          <w:rFonts w:ascii="华文中宋" w:hAnsi="华文中宋" w:eastAsia="华文中宋"/>
          <w:sz w:val="8"/>
          <w:szCs w:val="10"/>
        </w:rPr>
      </w:pPr>
    </w:p>
    <w:p>
      <w:pPr>
        <w:spacing w:line="320" w:lineRule="exact"/>
        <w:ind w:left="0"/>
        <w:jc w:val="left"/>
        <w:rPr>
          <w:rFonts w:ascii="华文中宋" w:hAnsi="华文中宋" w:eastAsia="华文中宋"/>
          <w:szCs w:val="21"/>
        </w:rPr>
      </w:pPr>
      <w:r>
        <w:rPr>
          <w:rFonts w:hint="eastAsia" w:ascii="宋体" w:hAnsi="宋体" w:cs="宋体"/>
          <w:szCs w:val="21"/>
        </w:rPr>
        <w:t>单</w:t>
      </w:r>
      <w:r>
        <w:rPr>
          <w:rFonts w:hint="eastAsia" w:ascii="Dotum" w:hAnsi="Dotum" w:eastAsia="Dotum" w:cs="Dotum"/>
          <w:szCs w:val="21"/>
        </w:rPr>
        <w:t>位</w:t>
      </w:r>
      <w:r>
        <w:rPr>
          <w:rFonts w:hint="eastAsia" w:ascii="宋体" w:hAnsi="宋体" w:cs="宋体"/>
          <w:szCs w:val="21"/>
        </w:rPr>
        <w:t>负责</w:t>
      </w:r>
      <w:r>
        <w:rPr>
          <w:rFonts w:hint="eastAsia" w:ascii="Dotum" w:hAnsi="Dotum" w:eastAsia="Dotum" w:cs="Dotum"/>
          <w:szCs w:val="21"/>
        </w:rPr>
        <w:t>人（</w:t>
      </w:r>
      <w:r>
        <w:rPr>
          <w:rFonts w:hint="eastAsia" w:ascii="宋体" w:hAnsi="宋体" w:cs="宋体"/>
          <w:szCs w:val="21"/>
        </w:rPr>
        <w:t>签</w:t>
      </w:r>
      <w:r>
        <w:rPr>
          <w:rFonts w:hint="eastAsia" w:ascii="Dotum" w:hAnsi="Dotum" w:eastAsia="Dotum" w:cs="Dotum"/>
          <w:szCs w:val="21"/>
        </w:rPr>
        <w:t>字）：</w:t>
      </w:r>
      <w:r>
        <w:rPr>
          <w:rFonts w:ascii="华文中宋" w:hAnsi="华文中宋" w:eastAsia="华文中宋"/>
          <w:szCs w:val="21"/>
        </w:rPr>
        <w:t xml:space="preserve">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宋体" w:hAnsi="宋体" w:cs="宋体"/>
          <w:szCs w:val="21"/>
        </w:rPr>
        <w:t>项</w:t>
      </w:r>
      <w:r>
        <w:rPr>
          <w:rFonts w:hint="eastAsia" w:ascii="Dotum" w:hAnsi="Dotum" w:eastAsia="Dotum" w:cs="Dotum"/>
          <w:szCs w:val="21"/>
        </w:rPr>
        <w:t>目</w:t>
      </w:r>
      <w:r>
        <w:rPr>
          <w:rFonts w:hint="eastAsia" w:ascii="宋体" w:hAnsi="宋体" w:cs="宋体"/>
          <w:szCs w:val="21"/>
        </w:rPr>
        <w:t>负责</w:t>
      </w:r>
      <w:r>
        <w:rPr>
          <w:rFonts w:hint="eastAsia" w:ascii="Dotum" w:hAnsi="Dotum" w:eastAsia="Dotum" w:cs="Dotum"/>
          <w:szCs w:val="21"/>
        </w:rPr>
        <w:t>人（</w:t>
      </w:r>
      <w:r>
        <w:rPr>
          <w:rFonts w:hint="eastAsia" w:ascii="宋体" w:hAnsi="宋体" w:cs="宋体"/>
          <w:szCs w:val="21"/>
        </w:rPr>
        <w:t>签</w:t>
      </w:r>
      <w:r>
        <w:rPr>
          <w:rFonts w:hint="eastAsia" w:ascii="Dotum" w:hAnsi="Dotum" w:eastAsia="Dotum" w:cs="Dotum"/>
          <w:szCs w:val="21"/>
        </w:rPr>
        <w:t>字）：</w:t>
      </w:r>
      <w:r>
        <w:rPr>
          <w:rFonts w:ascii="华文中宋" w:hAnsi="华文中宋" w:eastAsia="华文中宋"/>
          <w:szCs w:val="21"/>
        </w:rPr>
        <w:t>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宋体" w:hAnsi="宋体" w:cs="宋体"/>
          <w:szCs w:val="21"/>
        </w:rPr>
        <w:t>填</w:t>
      </w:r>
      <w:r>
        <w:rPr>
          <w:rFonts w:hint="eastAsia" w:ascii="Dotum" w:hAnsi="Dotum" w:eastAsia="Dotum" w:cs="Dotum"/>
          <w:szCs w:val="21"/>
        </w:rPr>
        <w:t>表日期：</w:t>
      </w:r>
      <w:r>
        <w:rPr>
          <w:rFonts w:ascii="华文中宋" w:hAnsi="华文中宋" w:eastAsia="华文中宋"/>
          <w:szCs w:val="21"/>
        </w:rPr>
        <w:t> </w:t>
      </w:r>
      <w:r>
        <w:rPr>
          <w:rFonts w:hint="eastAsia" w:ascii="华文中宋" w:hAnsi="华文中宋" w:eastAsia="华文中宋"/>
          <w:szCs w:val="21"/>
        </w:rPr>
        <w:t xml:space="preserve">2022 </w:t>
      </w:r>
      <w:r>
        <w:rPr>
          <w:rFonts w:ascii="华文中宋" w:hAnsi="华文中宋" w:eastAsia="华文中宋"/>
          <w:szCs w:val="21"/>
        </w:rPr>
        <w:t>年  </w:t>
      </w:r>
      <w:r>
        <w:rPr>
          <w:rFonts w:hint="eastAsia" w:ascii="华文中宋" w:hAnsi="华文中宋" w:eastAsia="华文中宋"/>
          <w:szCs w:val="21"/>
        </w:rPr>
        <w:t>5</w:t>
      </w:r>
      <w:r>
        <w:rPr>
          <w:rFonts w:ascii="华文中宋" w:hAnsi="华文中宋" w:eastAsia="华文中宋"/>
          <w:szCs w:val="21"/>
        </w:rPr>
        <w:t xml:space="preserve"> 月 </w:t>
      </w:r>
      <w:r>
        <w:rPr>
          <w:rFonts w:hint="eastAsia" w:ascii="华文中宋" w:hAnsi="华文中宋" w:eastAsia="华文中宋"/>
          <w:szCs w:val="21"/>
        </w:rPr>
        <w:t>24</w:t>
      </w:r>
      <w:r>
        <w:rPr>
          <w:rFonts w:ascii="华文中宋" w:hAnsi="华文中宋" w:eastAsia="华文中宋"/>
          <w:szCs w:val="21"/>
        </w:rPr>
        <w:t>  日</w:t>
      </w:r>
    </w:p>
    <w:p>
      <w:pPr>
        <w:spacing w:before="240" w:line="340" w:lineRule="exact"/>
        <w:ind w:left="0"/>
        <w:jc w:val="left"/>
        <w:rPr>
          <w:sz w:val="24"/>
        </w:rPr>
      </w:pPr>
      <w:r>
        <w:rPr>
          <w:rFonts w:hint="eastAsia" w:ascii="仿宋_GB2312" w:hAnsi="仿宋_GB2312" w:eastAsia="仿宋_GB2312" w:cs="仿宋_GB2312"/>
          <w:sz w:val="24"/>
        </w:rPr>
        <w:t>附件2-3 </w:t>
      </w:r>
    </w:p>
    <w:p>
      <w:pPr>
        <w:spacing w:line="600" w:lineRule="exact"/>
        <w:jc w:val="center"/>
        <w:rPr>
          <w:rFonts w:hAnsi="方正粗宋简体" w:eastAsia="方正粗宋简体"/>
          <w:w w:val="85"/>
          <w:sz w:val="44"/>
          <w:szCs w:val="44"/>
        </w:rPr>
      </w:pPr>
      <w:r>
        <w:rPr>
          <w:rFonts w:eastAsia="方正粗宋简体"/>
          <w:w w:val="85"/>
          <w:sz w:val="44"/>
          <w:szCs w:val="44"/>
        </w:rPr>
        <w:t> 202</w:t>
      </w:r>
      <w:r>
        <w:rPr>
          <w:rFonts w:hint="eastAsia" w:eastAsia="方正粗宋简体"/>
          <w:w w:val="85"/>
          <w:sz w:val="44"/>
          <w:szCs w:val="44"/>
        </w:rPr>
        <w:t>1</w:t>
      </w:r>
      <w:r>
        <w:rPr>
          <w:rFonts w:hAnsi="方正粗宋简体" w:eastAsia="方正粗宋简体"/>
          <w:w w:val="85"/>
          <w:sz w:val="44"/>
          <w:szCs w:val="44"/>
        </w:rPr>
        <w:t>年度新晃县</w:t>
      </w:r>
      <w:r>
        <w:rPr>
          <w:rFonts w:hint="eastAsia" w:hAnsi="方正粗宋简体" w:eastAsia="方正粗宋简体"/>
          <w:w w:val="85"/>
          <w:sz w:val="44"/>
          <w:szCs w:val="44"/>
        </w:rPr>
        <w:t>项目</w:t>
      </w:r>
      <w:r>
        <w:rPr>
          <w:rFonts w:hAnsi="方正粗宋简体" w:eastAsia="方正粗宋简体"/>
          <w:w w:val="85"/>
          <w:sz w:val="44"/>
          <w:szCs w:val="44"/>
        </w:rPr>
        <w:t>支出</w:t>
      </w:r>
      <w:r>
        <w:rPr>
          <w:rFonts w:hint="eastAsia" w:hAnsi="方正粗宋简体" w:eastAsia="方正粗宋简体"/>
          <w:w w:val="85"/>
          <w:sz w:val="44"/>
          <w:szCs w:val="44"/>
        </w:rPr>
        <w:t>绩效</w:t>
      </w:r>
      <w:r>
        <w:rPr>
          <w:rFonts w:hAnsi="方正粗宋简体" w:eastAsia="方正粗宋简体"/>
          <w:w w:val="85"/>
          <w:sz w:val="44"/>
          <w:szCs w:val="44"/>
        </w:rPr>
        <w:t>自评报告</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一、基本情况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（一）项目概况。</w:t>
      </w:r>
    </w:p>
    <w:p>
      <w:pPr>
        <w:spacing w:line="560" w:lineRule="exact"/>
        <w:ind w:firstLine="600" w:firstLineChars="200"/>
        <w:jc w:val="left"/>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春节城区喜庆美化、亮化项目主要是春节氛围营造主题将围绕“大气、雅致、热烈、节俭”四项原则，以大红或金黄色为主色调，突出“传统、文化、时代、区域”四大元素，充分体现新晃地域文化，烘托“祥和、喜庆、欢快”的节日氛围。</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（二）项目绩效目标。</w:t>
      </w:r>
    </w:p>
    <w:p>
      <w:pPr>
        <w:spacing w:line="560" w:lineRule="exact"/>
        <w:ind w:firstLine="600" w:firstLineChars="200"/>
        <w:jc w:val="left"/>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为弘扬传统春节文化，给广大群众营造一个喜庆、祥和的节日气氛，我局将通过美化亮化环境，打造喜庆城市形象。</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二、绩效评价工作开展情况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（一）绩效评价目的、对象和范围。</w:t>
      </w:r>
    </w:p>
    <w:p>
      <w:pPr>
        <w:spacing w:line="560" w:lineRule="exact"/>
        <w:ind w:firstLine="600" w:firstLineChars="200"/>
        <w:jc w:val="left"/>
        <w:rPr>
          <w:rFonts w:asciiTheme="minorEastAsia" w:hAnsiTheme="minorEastAsia" w:eastAsiaTheme="minorEastAsia"/>
          <w:sz w:val="30"/>
          <w:szCs w:val="30"/>
        </w:rPr>
      </w:pPr>
      <w:r>
        <w:rPr>
          <w:rFonts w:hint="eastAsia" w:cs="仿宋_GB2312" w:asciiTheme="minorEastAsia" w:hAnsiTheme="minorEastAsia" w:eastAsiaTheme="minorEastAsia"/>
          <w:sz w:val="30"/>
          <w:szCs w:val="30"/>
        </w:rPr>
        <w:t>为弘扬传统春节文化，给广大群众营造一个喜庆、祥和的节日气氛，我局将通过美化亮化环境，打造喜庆城市形象</w:t>
      </w:r>
      <w:r>
        <w:rPr>
          <w:rFonts w:hint="eastAsia" w:asciiTheme="minorEastAsia" w:hAnsiTheme="minorEastAsia" w:eastAsiaTheme="minorEastAsia"/>
          <w:sz w:val="30"/>
          <w:szCs w:val="30"/>
        </w:rPr>
        <w:t>。2021年</w:t>
      </w:r>
      <w:r>
        <w:rPr>
          <w:rFonts w:hint="eastAsia" w:cs="仿宋_GB2312" w:asciiTheme="minorEastAsia" w:hAnsiTheme="minorEastAsia" w:eastAsiaTheme="minorEastAsia"/>
          <w:sz w:val="30"/>
          <w:szCs w:val="30"/>
        </w:rPr>
        <w:t>春节城区喜庆美化、亮化项目支出30万元，春节城区喜庆美化、亮化项目预算经费30万元，完成预算的100%。</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三、综合评价情况及评价结论（附相关评分表）</w:t>
      </w:r>
    </w:p>
    <w:p>
      <w:pPr>
        <w:spacing w:line="560" w:lineRule="exact"/>
        <w:ind w:firstLine="600" w:firstLineChars="200"/>
        <w:jc w:val="left"/>
        <w:rPr>
          <w:rFonts w:asciiTheme="minorEastAsia" w:hAnsiTheme="minorEastAsia" w:eastAsiaTheme="minorEastAsia"/>
          <w:b/>
          <w:bCs/>
          <w:sz w:val="30"/>
          <w:szCs w:val="30"/>
        </w:rPr>
      </w:pPr>
      <w:r>
        <w:rPr>
          <w:rFonts w:hint="eastAsia" w:cs="仿宋_GB2312" w:asciiTheme="minorEastAsia" w:hAnsiTheme="minorEastAsia" w:eastAsiaTheme="minorEastAsia"/>
          <w:sz w:val="30"/>
          <w:szCs w:val="30"/>
        </w:rPr>
        <w:t>春节城区喜庆美化、亮化项目自评得分88分（评分表附后）。</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四、绩效评价指标分析</w:t>
      </w:r>
    </w:p>
    <w:tbl>
      <w:tblPr>
        <w:tblStyle w:val="6"/>
        <w:tblW w:w="9840" w:type="dxa"/>
        <w:tblInd w:w="96" w:type="dxa"/>
        <w:tblLayout w:type="fixed"/>
        <w:tblCellMar>
          <w:top w:w="0" w:type="dxa"/>
          <w:left w:w="108" w:type="dxa"/>
          <w:bottom w:w="0" w:type="dxa"/>
          <w:right w:w="108" w:type="dxa"/>
        </w:tblCellMar>
      </w:tblPr>
      <w:tblGrid>
        <w:gridCol w:w="1660"/>
        <w:gridCol w:w="1080"/>
        <w:gridCol w:w="1525"/>
        <w:gridCol w:w="1701"/>
        <w:gridCol w:w="1654"/>
        <w:gridCol w:w="2220"/>
      </w:tblGrid>
      <w:tr>
        <w:tblPrEx>
          <w:tblCellMar>
            <w:top w:w="0" w:type="dxa"/>
            <w:left w:w="108" w:type="dxa"/>
            <w:bottom w:w="0" w:type="dxa"/>
            <w:right w:w="108" w:type="dxa"/>
          </w:tblCellMar>
        </w:tblPrEx>
        <w:trPr>
          <w:trHeight w:val="540" w:hRule="atLeast"/>
        </w:trPr>
        <w:tc>
          <w:tcPr>
            <w:tcW w:w="1660" w:type="dxa"/>
            <w:vMerge w:val="restart"/>
            <w:tcBorders>
              <w:top w:val="nil"/>
              <w:left w:val="single" w:color="auto" w:sz="8" w:space="0"/>
              <w:bottom w:val="nil"/>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年度绩效指标</w:t>
            </w:r>
          </w:p>
        </w:tc>
        <w:tc>
          <w:tcPr>
            <w:tcW w:w="1080" w:type="dxa"/>
            <w:tcBorders>
              <w:top w:val="nil"/>
              <w:left w:val="nil"/>
              <w:bottom w:val="single" w:color="auto" w:sz="8" w:space="0"/>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一级指标</w:t>
            </w:r>
          </w:p>
        </w:tc>
        <w:tc>
          <w:tcPr>
            <w:tcW w:w="1525"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二级指标</w:t>
            </w:r>
          </w:p>
        </w:tc>
        <w:tc>
          <w:tcPr>
            <w:tcW w:w="1701"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三级指标</w:t>
            </w:r>
          </w:p>
        </w:tc>
        <w:tc>
          <w:tcPr>
            <w:tcW w:w="1654"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指标值</w:t>
            </w:r>
          </w:p>
        </w:tc>
        <w:tc>
          <w:tcPr>
            <w:tcW w:w="2220" w:type="dxa"/>
            <w:tcBorders>
              <w:top w:val="single" w:color="auto" w:sz="8" w:space="0"/>
              <w:left w:val="nil"/>
              <w:bottom w:val="single" w:color="auto" w:sz="8" w:space="0"/>
              <w:right w:val="single" w:color="auto" w:sz="8" w:space="0"/>
            </w:tcBorders>
            <w:shd w:val="clear" w:color="auto" w:fill="auto"/>
            <w:vAlign w:val="center"/>
          </w:tcPr>
          <w:p>
            <w:pPr>
              <w:jc w:val="center"/>
              <w:rPr>
                <w:rFonts w:ascii="仿宋_GB2312" w:hAnsi="宋体" w:eastAsia="仿宋_GB2312" w:cs="宋体"/>
                <w:sz w:val="21"/>
                <w:szCs w:val="21"/>
              </w:rPr>
            </w:pPr>
            <w:r>
              <w:rPr>
                <w:rFonts w:hint="eastAsia" w:ascii="仿宋_GB2312" w:eastAsia="仿宋_GB2312"/>
                <w:sz w:val="21"/>
                <w:szCs w:val="21"/>
              </w:rPr>
              <w:t>绩效标准</w:t>
            </w:r>
          </w:p>
        </w:tc>
      </w:tr>
      <w:tr>
        <w:tblPrEx>
          <w:tblCellMar>
            <w:top w:w="0" w:type="dxa"/>
            <w:left w:w="108" w:type="dxa"/>
            <w:bottom w:w="0" w:type="dxa"/>
            <w:right w:w="108" w:type="dxa"/>
          </w:tblCellMar>
        </w:tblPrEx>
        <w:trPr>
          <w:trHeight w:val="80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restart"/>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产出指标</w:t>
            </w: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数量指标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按要求完成城市氛围营造任务</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≧95%</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600"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质量指标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达到验收要求标准</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≧95%</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994"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时效指标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及时完成</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及时性</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864"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成本指标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春节氛围营造成本</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≦30万元</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68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效益指标</w:t>
            </w:r>
          </w:p>
        </w:tc>
        <w:tc>
          <w:tcPr>
            <w:tcW w:w="1525"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经济效益指标</w:t>
            </w:r>
          </w:p>
        </w:tc>
        <w:tc>
          <w:tcPr>
            <w:tcW w:w="1701"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不适用</w:t>
            </w:r>
          </w:p>
        </w:tc>
        <w:tc>
          <w:tcPr>
            <w:tcW w:w="1654"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不适用</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　</w:t>
            </w:r>
          </w:p>
        </w:tc>
      </w:tr>
      <w:tr>
        <w:tblPrEx>
          <w:tblCellMar>
            <w:top w:w="0" w:type="dxa"/>
            <w:left w:w="108" w:type="dxa"/>
            <w:bottom w:w="0" w:type="dxa"/>
            <w:right w:w="108" w:type="dxa"/>
          </w:tblCellMar>
        </w:tblPrEx>
        <w:trPr>
          <w:trHeight w:val="104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社会效益指标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打造喜庆城市形象</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明显提升</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576"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生态效益指标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不适用</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不适用</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　</w:t>
            </w:r>
          </w:p>
        </w:tc>
      </w:tr>
      <w:tr>
        <w:tblPrEx>
          <w:tblCellMar>
            <w:top w:w="0" w:type="dxa"/>
            <w:left w:w="108" w:type="dxa"/>
            <w:bottom w:w="0" w:type="dxa"/>
            <w:right w:w="108" w:type="dxa"/>
          </w:tblCellMar>
        </w:tblPrEx>
        <w:trPr>
          <w:trHeight w:val="681"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可持续影响</w:t>
            </w:r>
            <w:r>
              <w:rPr>
                <w:rFonts w:hint="eastAsia" w:ascii="仿宋_GB2312" w:eastAsia="仿宋_GB2312"/>
                <w:sz w:val="21"/>
                <w:szCs w:val="21"/>
              </w:rPr>
              <w:br w:type="textWrapping"/>
            </w:r>
            <w:r>
              <w:rPr>
                <w:rFonts w:hint="eastAsia" w:ascii="仿宋_GB2312" w:eastAsia="仿宋_GB2312"/>
                <w:sz w:val="21"/>
                <w:szCs w:val="21"/>
              </w:rPr>
              <w:t>指标</w:t>
            </w:r>
          </w:p>
        </w:tc>
        <w:tc>
          <w:tcPr>
            <w:tcW w:w="1701"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提高春节氛围</w:t>
            </w:r>
          </w:p>
        </w:tc>
        <w:tc>
          <w:tcPr>
            <w:tcW w:w="1654"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可持续</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r>
        <w:tblPrEx>
          <w:tblCellMar>
            <w:top w:w="0" w:type="dxa"/>
            <w:left w:w="108" w:type="dxa"/>
            <w:bottom w:w="0" w:type="dxa"/>
            <w:right w:w="108" w:type="dxa"/>
          </w:tblCellMar>
        </w:tblPrEx>
        <w:trPr>
          <w:trHeight w:val="2309" w:hRule="atLeast"/>
        </w:trPr>
        <w:tc>
          <w:tcPr>
            <w:tcW w:w="1660" w:type="dxa"/>
            <w:vMerge w:val="continue"/>
            <w:tcBorders>
              <w:top w:val="nil"/>
              <w:left w:val="single" w:color="auto" w:sz="8" w:space="0"/>
              <w:bottom w:val="nil"/>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080"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8"/>
                <w:szCs w:val="28"/>
              </w:rPr>
            </w:pPr>
          </w:p>
        </w:tc>
        <w:tc>
          <w:tcPr>
            <w:tcW w:w="1525"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社会公众或服务对象满意度指标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市民满意度</w:t>
            </w:r>
          </w:p>
        </w:tc>
        <w:tc>
          <w:tcPr>
            <w:tcW w:w="1654"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sz w:val="21"/>
                <w:szCs w:val="21"/>
              </w:rPr>
              <w:t>≧95%</w:t>
            </w:r>
          </w:p>
        </w:tc>
        <w:tc>
          <w:tcPr>
            <w:tcW w:w="22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8"/>
                <w:szCs w:val="28"/>
              </w:rPr>
            </w:pPr>
            <w:r>
              <w:rPr>
                <w:rFonts w:hint="eastAsia" w:ascii="仿宋_GB2312" w:eastAsia="仿宋_GB2312"/>
                <w:color w:val="000000"/>
                <w:sz w:val="21"/>
                <w:szCs w:val="21"/>
              </w:rPr>
              <w:t>计划标准</w:t>
            </w:r>
          </w:p>
        </w:tc>
      </w:tr>
    </w:tbl>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五、主要经验及做法、存在的问题及原因分析</w:t>
      </w:r>
    </w:p>
    <w:p>
      <w:pPr>
        <w:spacing w:line="560" w:lineRule="exact"/>
        <w:ind w:firstLine="600" w:firstLineChars="200"/>
        <w:jc w:val="left"/>
        <w:rPr>
          <w:rFonts w:asciiTheme="minorEastAsia" w:hAnsiTheme="minorEastAsia" w:eastAsiaTheme="minorEastAsia"/>
          <w:b/>
          <w:bCs/>
          <w:sz w:val="30"/>
          <w:szCs w:val="30"/>
        </w:rPr>
      </w:pPr>
      <w:r>
        <w:rPr>
          <w:rFonts w:hint="eastAsia" w:cs="仿宋_GB2312" w:asciiTheme="minorEastAsia" w:hAnsiTheme="minorEastAsia" w:eastAsiaTheme="minorEastAsia"/>
          <w:sz w:val="30"/>
          <w:szCs w:val="30"/>
        </w:rPr>
        <w:t>无。</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六、有关建议</w:t>
      </w:r>
    </w:p>
    <w:p>
      <w:pPr>
        <w:spacing w:line="560" w:lineRule="exact"/>
        <w:ind w:firstLine="600" w:firstLineChars="200"/>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无。</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七、其他需要说明的问题</w:t>
      </w:r>
    </w:p>
    <w:p>
      <w:pPr>
        <w:pStyle w:val="5"/>
        <w:widowControl w:val="0"/>
        <w:spacing w:before="0" w:beforeAutospacing="0" w:after="0" w:afterAutospacing="0" w:line="520" w:lineRule="exact"/>
        <w:ind w:firstLine="600" w:firstLineChars="200"/>
        <w:rPr>
          <w:rFonts w:cs="Times New Roman" w:asciiTheme="minorEastAsia" w:hAnsiTheme="minorEastAsia" w:eastAsiaTheme="minorEastAsia"/>
          <w:sz w:val="30"/>
          <w:szCs w:val="30"/>
        </w:rPr>
      </w:pPr>
      <w:r>
        <w:rPr>
          <w:rFonts w:hint="eastAsia" w:cs="Times New Roman" w:asciiTheme="minorEastAsia" w:hAnsiTheme="minorEastAsia" w:eastAsiaTheme="minorEastAsia"/>
          <w:sz w:val="30"/>
          <w:szCs w:val="30"/>
        </w:rPr>
        <w:t>无。</w:t>
      </w:r>
    </w:p>
    <w:p>
      <w:pPr>
        <w:ind w:left="7840" w:hanging="7840" w:hangingChars="2800"/>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项目单位（签）                        </w:t>
      </w:r>
    </w:p>
    <w:p>
      <w:pPr>
        <w:ind w:firstLine="5600" w:firstLineChars="2000"/>
        <w:rPr>
          <w:rFonts w:eastAsia="仿宋_GB2312"/>
          <w:sz w:val="28"/>
          <w:szCs w:val="28"/>
        </w:rPr>
      </w:pPr>
      <w:r>
        <w:rPr>
          <w:rFonts w:hint="eastAsia" w:eastAsia="仿宋_GB2312"/>
          <w:sz w:val="28"/>
          <w:szCs w:val="28"/>
        </w:rPr>
        <w:t>2022</w:t>
      </w:r>
      <w:r>
        <w:rPr>
          <w:rFonts w:eastAsia="仿宋_GB2312"/>
          <w:sz w:val="28"/>
          <w:szCs w:val="28"/>
        </w:rPr>
        <w:t xml:space="preserve">年  </w:t>
      </w:r>
      <w:r>
        <w:rPr>
          <w:rFonts w:hint="eastAsia" w:eastAsia="仿宋_GB2312"/>
          <w:sz w:val="28"/>
          <w:szCs w:val="28"/>
        </w:rPr>
        <w:t>5</w:t>
      </w:r>
      <w:r>
        <w:rPr>
          <w:rFonts w:eastAsia="仿宋_GB2312"/>
          <w:sz w:val="28"/>
          <w:szCs w:val="28"/>
        </w:rPr>
        <w:t xml:space="preserve"> 月 </w:t>
      </w:r>
      <w:r>
        <w:rPr>
          <w:rFonts w:hint="eastAsia" w:eastAsia="仿宋_GB2312"/>
          <w:sz w:val="28"/>
          <w:szCs w:val="28"/>
        </w:rPr>
        <w:t>24</w:t>
      </w:r>
      <w:r>
        <w:rPr>
          <w:rFonts w:eastAsia="仿宋_GB2312"/>
          <w:sz w:val="28"/>
          <w:szCs w:val="28"/>
        </w:rPr>
        <w:t xml:space="preserve"> 日</w:t>
      </w:r>
    </w:p>
    <w:p>
      <w:pPr>
        <w:spacing w:before="100" w:beforeAutospacing="1" w:after="100" w:afterAutospacing="1"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附件2-1</w:t>
      </w:r>
    </w:p>
    <w:p>
      <w:pPr>
        <w:spacing w:line="480" w:lineRule="exact"/>
        <w:jc w:val="center"/>
        <w:rPr>
          <w:rFonts w:eastAsia="方正粗宋简体"/>
          <w:w w:val="85"/>
          <w:sz w:val="44"/>
          <w:szCs w:val="44"/>
        </w:rPr>
      </w:pPr>
      <w:r>
        <w:rPr>
          <w:rFonts w:eastAsia="方正粗宋简体"/>
          <w:w w:val="85"/>
          <w:sz w:val="44"/>
          <w:szCs w:val="44"/>
        </w:rPr>
        <w:t>202</w:t>
      </w:r>
      <w:r>
        <w:rPr>
          <w:rFonts w:hint="eastAsia" w:eastAsia="方正粗宋简体"/>
          <w:w w:val="85"/>
          <w:sz w:val="44"/>
          <w:szCs w:val="44"/>
        </w:rPr>
        <w:t>1</w:t>
      </w:r>
      <w:r>
        <w:rPr>
          <w:rFonts w:hAnsi="方正粗宋简体" w:eastAsia="方正粗宋简体"/>
          <w:w w:val="85"/>
          <w:sz w:val="44"/>
          <w:szCs w:val="44"/>
        </w:rPr>
        <w:t>年度新晃县项目</w:t>
      </w:r>
      <w:r>
        <w:rPr>
          <w:rFonts w:hint="eastAsia" w:hAnsi="方正粗宋简体" w:eastAsia="方正粗宋简体"/>
          <w:w w:val="85"/>
          <w:sz w:val="44"/>
          <w:szCs w:val="44"/>
        </w:rPr>
        <w:t>支出</w:t>
      </w:r>
      <w:r>
        <w:rPr>
          <w:rFonts w:hAnsi="方正粗宋简体" w:eastAsia="方正粗宋简体"/>
          <w:w w:val="85"/>
          <w:sz w:val="44"/>
          <w:szCs w:val="44"/>
        </w:rPr>
        <w:t>绩效</w:t>
      </w:r>
      <w:r>
        <w:rPr>
          <w:rFonts w:hint="eastAsia" w:hAnsi="方正粗宋简体" w:eastAsia="方正粗宋简体"/>
          <w:w w:val="85"/>
          <w:sz w:val="44"/>
          <w:szCs w:val="44"/>
        </w:rPr>
        <w:t>自评</w:t>
      </w:r>
      <w:r>
        <w:rPr>
          <w:rFonts w:hAnsi="方正粗宋简体" w:eastAsia="方正粗宋简体"/>
          <w:w w:val="85"/>
          <w:sz w:val="44"/>
          <w:szCs w:val="44"/>
        </w:rPr>
        <w:t>表</w:t>
      </w:r>
    </w:p>
    <w:p>
      <w:pPr>
        <w:spacing w:beforeLines="50" w:line="240" w:lineRule="exact"/>
        <w:ind w:firstLine="482"/>
        <w:jc w:val="center"/>
        <w:rPr>
          <w:rFonts w:eastAsia="仿宋_GB2312"/>
          <w:szCs w:val="21"/>
        </w:rPr>
      </w:pPr>
      <w:r>
        <w:rPr>
          <w:sz w:val="24"/>
        </w:rPr>
        <w:t xml:space="preserve">                                                  </w:t>
      </w:r>
      <w:r>
        <w:rPr>
          <w:rFonts w:eastAsia="仿宋_GB2312"/>
          <w:szCs w:val="21"/>
        </w:rPr>
        <w:t>金额单位：万元</w:t>
      </w:r>
    </w:p>
    <w:tbl>
      <w:tblPr>
        <w:tblStyle w:val="6"/>
        <w:tblpPr w:leftFromText="180" w:rightFromText="180" w:vertAnchor="text" w:horzAnchor="page" w:tblpX="1195" w:tblpY="107"/>
        <w:tblOverlap w:val="never"/>
        <w:tblW w:w="98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143"/>
        <w:gridCol w:w="1800"/>
        <w:gridCol w:w="1628"/>
        <w:gridCol w:w="1097"/>
        <w:gridCol w:w="1206"/>
        <w:gridCol w:w="83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（盖章）</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4005"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城区沥青路面零星维修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责任部门</w:t>
            </w:r>
          </w:p>
        </w:tc>
        <w:tc>
          <w:tcPr>
            <w:tcW w:w="294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城市管理和综合执法局</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项目负责人</w:t>
            </w:r>
          </w:p>
        </w:tc>
        <w:tc>
          <w:tcPr>
            <w:tcW w:w="109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黄超</w:t>
            </w:r>
          </w:p>
        </w:tc>
        <w:tc>
          <w:tcPr>
            <w:tcW w:w="120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15707450745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trPr>
        <w:tc>
          <w:tcPr>
            <w:tcW w:w="1312"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项目资金</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基本情况</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上年结转</w:t>
            </w: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年初预算安排数</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预算调整数</w:t>
            </w: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全年执行数</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blCellSpacing w:w="0" w:type="dxa"/>
        </w:trPr>
        <w:tc>
          <w:tcPr>
            <w:tcW w:w="1312" w:type="dxa"/>
            <w:vMerge w:val="continue"/>
            <w:vAlign w:val="center"/>
          </w:tcPr>
          <w:p>
            <w:pPr>
              <w:spacing w:line="320" w:lineRule="exact"/>
              <w:jc w:val="center"/>
              <w:rPr>
                <w:rFonts w:ascii="仿宋_GB2312" w:hAnsi="仿宋_GB2312" w:eastAsia="仿宋_GB2312" w:cs="仿宋_GB2312"/>
                <w:szCs w:val="21"/>
              </w:rPr>
            </w:pP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243.91</w:t>
            </w: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243.91</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评价内容</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评价简述</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单位自评得分</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项目预算及预期绩效目标编制水平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例如：本项目预算（即投入目标）编制科学、规范、合理，预期绩效目标申报完整，产出、效果类关键性指标清晰、明确、量化，投入与项目产出、效果目标匹配。</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例如：该项目预算执行率为*%。根据实际情况评分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项目组织管理水平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例如：本项目建立了**等项目管理制度，并严格按相关制度执行。</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资金支出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合理合规</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例如：本年项目支出符合国家相关法律法规、财务管理制度等规定，且均在预算范围内，无与本项目预算不相符或无关的资金支出。</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项目产出</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对照项目产出目标，按产出数量、产出质量、产出时效以及成本控制等方面进行自我评价。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项目效益（效果）</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对照项目效益目标，可从经济效益、社会效益、环境效益和可持续影响及服务对象满意度等5个具体绩效指标进行评价。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服务对象满意度计分：90%≤满意度≤100%记10分，80%≤满意度&lt;90%记8分，70%≤满意度&lt;80%   记6分，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60%≤满意度&lt;70%记4分，满意度&lt;60%记0分。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小计</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87</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负向指标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主要评价自评得分与复评得分差异率。差异率≤10%，不扣分；10%&lt;差异率≤15%，扣2分；15%&lt;差异率≤20%，扣4分；差异率&gt;20%，扣6分。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评价结果</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7433" w:type="dxa"/>
            <w:gridSpan w:val="6"/>
            <w:tcMar>
              <w:top w:w="0" w:type="dxa"/>
              <w:left w:w="105" w:type="dxa"/>
              <w:bottom w:w="0" w:type="dxa"/>
              <w:right w:w="105" w:type="dxa"/>
            </w:tcMar>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优秀  90分≤得分≤100分；    □ 良好  </w:t>
            </w:r>
            <w:r>
              <w:rPr>
                <w:rFonts w:ascii="仿宋_GB2312" w:hAnsi="仿宋_GB2312" w:eastAsia="仿宋_GB2312" w:cs="仿宋_GB2312"/>
                <w:szCs w:val="21"/>
              </w:rPr>
              <w:t>80</w:t>
            </w:r>
            <w:r>
              <w:rPr>
                <w:rFonts w:hint="eastAsia" w:ascii="仿宋_GB2312" w:hAnsi="仿宋_GB2312" w:eastAsia="仿宋_GB2312" w:cs="仿宋_GB2312"/>
                <w:szCs w:val="21"/>
              </w:rPr>
              <w:t>分≤得分＜90分；</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较差   60分≤得分＜</w:t>
            </w:r>
            <w:r>
              <w:rPr>
                <w:rFonts w:ascii="仿宋_GB2312" w:hAnsi="仿宋_GB2312" w:eastAsia="仿宋_GB2312" w:cs="仿宋_GB2312"/>
                <w:szCs w:val="21"/>
              </w:rPr>
              <w:t>80</w:t>
            </w:r>
            <w:r>
              <w:rPr>
                <w:rFonts w:hint="eastAsia" w:ascii="仿宋_GB2312" w:hAnsi="仿宋_GB2312" w:eastAsia="仿宋_GB2312" w:cs="仿宋_GB2312"/>
                <w:szCs w:val="21"/>
              </w:rPr>
              <w:t>分；    □ 差    得分＜60分</w:t>
            </w:r>
          </w:p>
        </w:tc>
      </w:tr>
    </w:tbl>
    <w:p>
      <w:pPr>
        <w:spacing w:line="320" w:lineRule="exact"/>
        <w:ind w:left="0"/>
        <w:jc w:val="left"/>
        <w:rPr>
          <w:rFonts w:ascii="华文中宋" w:hAnsi="华文中宋" w:eastAsia="华文中宋"/>
          <w:sz w:val="8"/>
          <w:szCs w:val="10"/>
        </w:rPr>
      </w:pPr>
    </w:p>
    <w:p>
      <w:pPr>
        <w:spacing w:line="320" w:lineRule="exact"/>
        <w:ind w:left="0"/>
        <w:jc w:val="left"/>
        <w:rPr>
          <w:rFonts w:ascii="华文中宋" w:hAnsi="华文中宋" w:eastAsia="华文中宋"/>
          <w:szCs w:val="21"/>
        </w:rPr>
      </w:pPr>
      <w:r>
        <w:rPr>
          <w:rFonts w:hint="eastAsia" w:ascii="宋体" w:hAnsi="宋体" w:cs="宋体"/>
          <w:szCs w:val="21"/>
        </w:rPr>
        <w:t>单</w:t>
      </w:r>
      <w:r>
        <w:rPr>
          <w:rFonts w:hint="eastAsia" w:ascii="Dotum" w:hAnsi="Dotum" w:eastAsia="Dotum" w:cs="Dotum"/>
          <w:szCs w:val="21"/>
        </w:rPr>
        <w:t>位</w:t>
      </w:r>
      <w:r>
        <w:rPr>
          <w:rFonts w:hint="eastAsia" w:ascii="宋体" w:hAnsi="宋体" w:cs="宋体"/>
          <w:szCs w:val="21"/>
        </w:rPr>
        <w:t>负责</w:t>
      </w:r>
      <w:r>
        <w:rPr>
          <w:rFonts w:hint="eastAsia" w:ascii="Dotum" w:hAnsi="Dotum" w:eastAsia="Dotum" w:cs="Dotum"/>
          <w:szCs w:val="21"/>
        </w:rPr>
        <w:t>人（</w:t>
      </w:r>
      <w:r>
        <w:rPr>
          <w:rFonts w:hint="eastAsia" w:ascii="宋体" w:hAnsi="宋体" w:cs="宋体"/>
          <w:szCs w:val="21"/>
        </w:rPr>
        <w:t>签</w:t>
      </w:r>
      <w:r>
        <w:rPr>
          <w:rFonts w:hint="eastAsia" w:ascii="Dotum" w:hAnsi="Dotum" w:eastAsia="Dotum" w:cs="Dotum"/>
          <w:szCs w:val="21"/>
        </w:rPr>
        <w:t>字）：</w:t>
      </w:r>
      <w:r>
        <w:rPr>
          <w:rFonts w:ascii="华文中宋" w:hAnsi="华文中宋" w:eastAsia="华文中宋"/>
          <w:szCs w:val="21"/>
        </w:rPr>
        <w:t xml:space="preserve">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宋体" w:hAnsi="宋体" w:cs="宋体"/>
          <w:szCs w:val="21"/>
        </w:rPr>
        <w:t>项</w:t>
      </w:r>
      <w:r>
        <w:rPr>
          <w:rFonts w:hint="eastAsia" w:ascii="Dotum" w:hAnsi="Dotum" w:eastAsia="Dotum" w:cs="Dotum"/>
          <w:szCs w:val="21"/>
        </w:rPr>
        <w:t>目</w:t>
      </w:r>
      <w:r>
        <w:rPr>
          <w:rFonts w:hint="eastAsia" w:ascii="宋体" w:hAnsi="宋体" w:cs="宋体"/>
          <w:szCs w:val="21"/>
        </w:rPr>
        <w:t>负责</w:t>
      </w:r>
      <w:r>
        <w:rPr>
          <w:rFonts w:hint="eastAsia" w:ascii="Dotum" w:hAnsi="Dotum" w:eastAsia="Dotum" w:cs="Dotum"/>
          <w:szCs w:val="21"/>
        </w:rPr>
        <w:t>人（</w:t>
      </w:r>
      <w:r>
        <w:rPr>
          <w:rFonts w:hint="eastAsia" w:ascii="宋体" w:hAnsi="宋体" w:cs="宋体"/>
          <w:szCs w:val="21"/>
        </w:rPr>
        <w:t>签</w:t>
      </w:r>
      <w:r>
        <w:rPr>
          <w:rFonts w:hint="eastAsia" w:ascii="Dotum" w:hAnsi="Dotum" w:eastAsia="Dotum" w:cs="Dotum"/>
          <w:szCs w:val="21"/>
        </w:rPr>
        <w:t>字）：</w:t>
      </w:r>
      <w:r>
        <w:rPr>
          <w:rFonts w:ascii="华文中宋" w:hAnsi="华文中宋" w:eastAsia="华文中宋"/>
          <w:szCs w:val="21"/>
        </w:rPr>
        <w:t> </w:t>
      </w:r>
      <w:r>
        <w:rPr>
          <w:rFonts w:hint="eastAsia" w:ascii="华文中宋" w:hAnsi="华文中宋" w:eastAsia="华文中宋"/>
          <w:szCs w:val="21"/>
        </w:rPr>
        <w:t xml:space="preserve">      </w:t>
      </w:r>
      <w:r>
        <w:rPr>
          <w:rFonts w:ascii="华文中宋" w:hAnsi="华文中宋" w:eastAsia="华文中宋"/>
          <w:szCs w:val="21"/>
        </w:rPr>
        <w:t xml:space="preserve"> </w:t>
      </w:r>
      <w:r>
        <w:rPr>
          <w:rFonts w:hint="eastAsia" w:ascii="宋体" w:hAnsi="宋体" w:cs="宋体"/>
          <w:szCs w:val="21"/>
        </w:rPr>
        <w:t>填</w:t>
      </w:r>
      <w:r>
        <w:rPr>
          <w:rFonts w:hint="eastAsia" w:ascii="Dotum" w:hAnsi="Dotum" w:eastAsia="Dotum" w:cs="Dotum"/>
          <w:szCs w:val="21"/>
        </w:rPr>
        <w:t>表日期：</w:t>
      </w:r>
      <w:r>
        <w:rPr>
          <w:rFonts w:ascii="华文中宋" w:hAnsi="华文中宋" w:eastAsia="华文中宋"/>
          <w:szCs w:val="21"/>
        </w:rPr>
        <w:t> </w:t>
      </w:r>
      <w:r>
        <w:rPr>
          <w:rFonts w:hint="eastAsia" w:ascii="华文中宋" w:hAnsi="华文中宋" w:eastAsia="华文中宋"/>
          <w:szCs w:val="21"/>
        </w:rPr>
        <w:t xml:space="preserve">2022 </w:t>
      </w:r>
      <w:r>
        <w:rPr>
          <w:rFonts w:ascii="华文中宋" w:hAnsi="华文中宋" w:eastAsia="华文中宋"/>
          <w:szCs w:val="21"/>
        </w:rPr>
        <w:t>年  </w:t>
      </w:r>
      <w:r>
        <w:rPr>
          <w:rFonts w:hint="eastAsia" w:ascii="华文中宋" w:hAnsi="华文中宋" w:eastAsia="华文中宋"/>
          <w:szCs w:val="21"/>
        </w:rPr>
        <w:t>5</w:t>
      </w:r>
      <w:r>
        <w:rPr>
          <w:rFonts w:ascii="华文中宋" w:hAnsi="华文中宋" w:eastAsia="华文中宋"/>
          <w:szCs w:val="21"/>
        </w:rPr>
        <w:t xml:space="preserve"> 月 </w:t>
      </w:r>
      <w:r>
        <w:rPr>
          <w:rFonts w:hint="eastAsia" w:ascii="华文中宋" w:hAnsi="华文中宋" w:eastAsia="华文中宋"/>
          <w:szCs w:val="21"/>
        </w:rPr>
        <w:t>24</w:t>
      </w:r>
      <w:r>
        <w:rPr>
          <w:rFonts w:ascii="华文中宋" w:hAnsi="华文中宋" w:eastAsia="华文中宋"/>
          <w:szCs w:val="21"/>
        </w:rPr>
        <w:t>  日</w:t>
      </w:r>
    </w:p>
    <w:p>
      <w:pPr>
        <w:spacing w:before="240" w:line="340" w:lineRule="exact"/>
        <w:ind w:left="0"/>
        <w:jc w:val="left"/>
        <w:rPr>
          <w:sz w:val="24"/>
        </w:rPr>
      </w:pPr>
      <w:r>
        <w:rPr>
          <w:rFonts w:hint="eastAsia" w:ascii="仿宋_GB2312" w:hAnsi="仿宋_GB2312" w:eastAsia="仿宋_GB2312" w:cs="仿宋_GB2312"/>
          <w:sz w:val="24"/>
        </w:rPr>
        <w:t>附件2-3 </w:t>
      </w:r>
    </w:p>
    <w:p>
      <w:pPr>
        <w:spacing w:line="600" w:lineRule="exact"/>
        <w:jc w:val="center"/>
        <w:rPr>
          <w:rFonts w:hAnsi="方正粗宋简体" w:eastAsia="方正粗宋简体"/>
          <w:w w:val="85"/>
          <w:sz w:val="44"/>
          <w:szCs w:val="44"/>
        </w:rPr>
      </w:pPr>
      <w:r>
        <w:rPr>
          <w:rFonts w:eastAsia="方正粗宋简体"/>
          <w:w w:val="85"/>
          <w:sz w:val="44"/>
          <w:szCs w:val="44"/>
        </w:rPr>
        <w:t> 202</w:t>
      </w:r>
      <w:r>
        <w:rPr>
          <w:rFonts w:hint="eastAsia" w:eastAsia="方正粗宋简体"/>
          <w:w w:val="85"/>
          <w:sz w:val="44"/>
          <w:szCs w:val="44"/>
        </w:rPr>
        <w:t>1</w:t>
      </w:r>
      <w:r>
        <w:rPr>
          <w:rFonts w:hAnsi="方正粗宋简体" w:eastAsia="方正粗宋简体"/>
          <w:w w:val="85"/>
          <w:sz w:val="44"/>
          <w:szCs w:val="44"/>
        </w:rPr>
        <w:t>年度新晃县</w:t>
      </w:r>
      <w:r>
        <w:rPr>
          <w:rFonts w:hint="eastAsia" w:hAnsi="方正粗宋简体" w:eastAsia="方正粗宋简体"/>
          <w:w w:val="85"/>
          <w:sz w:val="44"/>
          <w:szCs w:val="44"/>
        </w:rPr>
        <w:t>项目</w:t>
      </w:r>
      <w:r>
        <w:rPr>
          <w:rFonts w:hAnsi="方正粗宋简体" w:eastAsia="方正粗宋简体"/>
          <w:w w:val="85"/>
          <w:sz w:val="44"/>
          <w:szCs w:val="44"/>
        </w:rPr>
        <w:t>支出</w:t>
      </w:r>
      <w:r>
        <w:rPr>
          <w:rFonts w:hint="eastAsia" w:hAnsi="方正粗宋简体" w:eastAsia="方正粗宋简体"/>
          <w:w w:val="85"/>
          <w:sz w:val="44"/>
          <w:szCs w:val="44"/>
        </w:rPr>
        <w:t>绩效</w:t>
      </w:r>
      <w:r>
        <w:rPr>
          <w:rFonts w:hAnsi="方正粗宋简体" w:eastAsia="方正粗宋简体"/>
          <w:w w:val="85"/>
          <w:sz w:val="44"/>
          <w:szCs w:val="44"/>
        </w:rPr>
        <w:t>自评报告</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一、基本情况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（一）项目概况。</w:t>
      </w:r>
    </w:p>
    <w:p>
      <w:pPr>
        <w:spacing w:line="560" w:lineRule="exact"/>
        <w:ind w:firstLine="600" w:firstLineChars="200"/>
        <w:jc w:val="left"/>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城区沥青路面零星维修项目主要是对城区破损的沥青路面进行维修。</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（二）项目绩效目标。</w:t>
      </w:r>
    </w:p>
    <w:p>
      <w:pPr>
        <w:spacing w:line="560" w:lineRule="exact"/>
        <w:ind w:firstLine="600" w:firstLineChars="200"/>
        <w:jc w:val="left"/>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1、维护市容形象；2、方面市民出行，给大家营造一个美好的人居环境。</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二、绩效评价工作开展情况</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（一）绩效评价目的、对象和范围。</w:t>
      </w:r>
    </w:p>
    <w:p>
      <w:pPr>
        <w:spacing w:line="560" w:lineRule="exact"/>
        <w:ind w:firstLine="600" w:firstLineChars="200"/>
        <w:jc w:val="left"/>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城区沥青路面零星维修项目主要是对城区破损的沥青路面进行维修。</w:t>
      </w:r>
      <w:r>
        <w:rPr>
          <w:rFonts w:hint="eastAsia" w:asciiTheme="minorEastAsia" w:hAnsiTheme="minorEastAsia" w:eastAsiaTheme="minorEastAsia"/>
          <w:sz w:val="30"/>
          <w:szCs w:val="30"/>
        </w:rPr>
        <w:t>2021年</w:t>
      </w:r>
      <w:r>
        <w:rPr>
          <w:rFonts w:hint="eastAsia" w:cs="仿宋_GB2312" w:asciiTheme="minorEastAsia" w:hAnsiTheme="minorEastAsia" w:eastAsiaTheme="minorEastAsia"/>
          <w:sz w:val="30"/>
          <w:szCs w:val="30"/>
        </w:rPr>
        <w:t>城区沥青路面零星维修项目支出243.91万元，城区沥青路面零星维修项目预算调整经费243.91万元，完成预算的100%。</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三、综合评价情况及评价结论（附相关评分表）</w:t>
      </w:r>
    </w:p>
    <w:p>
      <w:pPr>
        <w:spacing w:line="560" w:lineRule="exact"/>
        <w:ind w:firstLine="600" w:firstLineChars="200"/>
        <w:jc w:val="left"/>
        <w:rPr>
          <w:rFonts w:asciiTheme="minorEastAsia" w:hAnsiTheme="minorEastAsia" w:eastAsiaTheme="minorEastAsia"/>
          <w:b/>
          <w:bCs/>
          <w:sz w:val="30"/>
          <w:szCs w:val="30"/>
        </w:rPr>
      </w:pPr>
      <w:r>
        <w:rPr>
          <w:rFonts w:hint="eastAsia" w:cs="仿宋_GB2312" w:asciiTheme="minorEastAsia" w:hAnsiTheme="minorEastAsia" w:eastAsiaTheme="minorEastAsia"/>
          <w:sz w:val="30"/>
          <w:szCs w:val="30"/>
        </w:rPr>
        <w:t>城区沥青路面零星维修项目自评得分87分（评分表附后）。</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四、绩效评价指标分析</w:t>
      </w:r>
    </w:p>
    <w:tbl>
      <w:tblPr>
        <w:tblStyle w:val="6"/>
        <w:tblW w:w="9700" w:type="dxa"/>
        <w:tblInd w:w="96" w:type="dxa"/>
        <w:tblLayout w:type="fixed"/>
        <w:tblCellMar>
          <w:top w:w="0" w:type="dxa"/>
          <w:left w:w="108" w:type="dxa"/>
          <w:bottom w:w="0" w:type="dxa"/>
          <w:right w:w="108" w:type="dxa"/>
        </w:tblCellMar>
      </w:tblPr>
      <w:tblGrid>
        <w:gridCol w:w="1080"/>
        <w:gridCol w:w="1980"/>
        <w:gridCol w:w="1520"/>
        <w:gridCol w:w="2080"/>
        <w:gridCol w:w="1080"/>
        <w:gridCol w:w="1960"/>
      </w:tblGrid>
      <w:tr>
        <w:tblPrEx>
          <w:tblCellMar>
            <w:top w:w="0" w:type="dxa"/>
            <w:left w:w="108" w:type="dxa"/>
            <w:bottom w:w="0" w:type="dxa"/>
            <w:right w:w="108" w:type="dxa"/>
          </w:tblCellMar>
        </w:tblPrEx>
        <w:trPr>
          <w:trHeight w:val="312" w:hRule="atLeast"/>
        </w:trPr>
        <w:tc>
          <w:tcPr>
            <w:tcW w:w="1080"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年度绩效指标</w:t>
            </w:r>
          </w:p>
        </w:tc>
        <w:tc>
          <w:tcPr>
            <w:tcW w:w="19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一级指标</w:t>
            </w:r>
          </w:p>
        </w:tc>
        <w:tc>
          <w:tcPr>
            <w:tcW w:w="15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二级指标</w:t>
            </w:r>
          </w:p>
        </w:tc>
        <w:tc>
          <w:tcPr>
            <w:tcW w:w="20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三级指标</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指标值</w:t>
            </w:r>
          </w:p>
        </w:tc>
        <w:tc>
          <w:tcPr>
            <w:tcW w:w="196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绩效标准</w:t>
            </w:r>
          </w:p>
        </w:tc>
      </w:tr>
      <w:tr>
        <w:tblPrEx>
          <w:tblCellMar>
            <w:top w:w="0" w:type="dxa"/>
            <w:left w:w="108" w:type="dxa"/>
            <w:bottom w:w="0" w:type="dxa"/>
            <w:right w:w="108" w:type="dxa"/>
          </w:tblCellMar>
        </w:tblPrEx>
        <w:trPr>
          <w:trHeight w:val="864"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980"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产出指标</w:t>
            </w:r>
          </w:p>
        </w:tc>
        <w:tc>
          <w:tcPr>
            <w:tcW w:w="15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数量指标</w:t>
            </w:r>
          </w:p>
        </w:tc>
        <w:tc>
          <w:tcPr>
            <w:tcW w:w="2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维护范围</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全县范围内路面维修</w:t>
            </w:r>
          </w:p>
        </w:tc>
        <w:tc>
          <w:tcPr>
            <w:tcW w:w="19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color w:val="000000"/>
                <w:sz w:val="21"/>
                <w:szCs w:val="21"/>
              </w:rPr>
            </w:pPr>
            <w:r>
              <w:rPr>
                <w:rFonts w:hint="eastAsia" w:ascii="仿宋_GB2312" w:hAnsi="宋体" w:eastAsia="仿宋_GB2312" w:cs="宋体"/>
                <w:color w:val="000000"/>
                <w:sz w:val="21"/>
                <w:szCs w:val="21"/>
              </w:rPr>
              <w:t>计划标准</w:t>
            </w:r>
          </w:p>
        </w:tc>
      </w:tr>
      <w:tr>
        <w:tblPrEx>
          <w:tblCellMar>
            <w:top w:w="0" w:type="dxa"/>
            <w:left w:w="108" w:type="dxa"/>
            <w:bottom w:w="0" w:type="dxa"/>
            <w:right w:w="108" w:type="dxa"/>
          </w:tblCellMar>
        </w:tblPrEx>
        <w:trPr>
          <w:trHeight w:val="441"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9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5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质量指标</w:t>
            </w:r>
          </w:p>
        </w:tc>
        <w:tc>
          <w:tcPr>
            <w:tcW w:w="2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工程质量合格率</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≧95%</w:t>
            </w:r>
          </w:p>
        </w:tc>
        <w:tc>
          <w:tcPr>
            <w:tcW w:w="19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color w:val="000000"/>
                <w:sz w:val="21"/>
                <w:szCs w:val="21"/>
              </w:rPr>
            </w:pPr>
            <w:r>
              <w:rPr>
                <w:rFonts w:hint="eastAsia" w:ascii="仿宋_GB2312" w:hAnsi="宋体" w:eastAsia="仿宋_GB2312" w:cs="宋体"/>
                <w:color w:val="000000"/>
                <w:sz w:val="21"/>
                <w:szCs w:val="21"/>
              </w:rPr>
              <w:t>计划标准</w:t>
            </w:r>
          </w:p>
        </w:tc>
      </w:tr>
      <w:tr>
        <w:tblPrEx>
          <w:tblCellMar>
            <w:top w:w="0" w:type="dxa"/>
            <w:left w:w="108" w:type="dxa"/>
            <w:bottom w:w="0" w:type="dxa"/>
            <w:right w:w="108" w:type="dxa"/>
          </w:tblCellMar>
        </w:tblPrEx>
        <w:trPr>
          <w:trHeight w:val="501"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9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5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时效指标</w:t>
            </w:r>
          </w:p>
        </w:tc>
        <w:tc>
          <w:tcPr>
            <w:tcW w:w="2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计划进度完成及时率</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100%</w:t>
            </w:r>
          </w:p>
        </w:tc>
        <w:tc>
          <w:tcPr>
            <w:tcW w:w="19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color w:val="000000"/>
                <w:sz w:val="21"/>
                <w:szCs w:val="21"/>
              </w:rPr>
            </w:pPr>
            <w:r>
              <w:rPr>
                <w:rFonts w:hint="eastAsia" w:ascii="仿宋_GB2312" w:hAnsi="宋体" w:eastAsia="仿宋_GB2312" w:cs="宋体"/>
                <w:color w:val="000000"/>
                <w:sz w:val="21"/>
                <w:szCs w:val="21"/>
              </w:rPr>
              <w:t>计划标准</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980"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效益指标</w:t>
            </w:r>
          </w:p>
        </w:tc>
        <w:tc>
          <w:tcPr>
            <w:tcW w:w="15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经济效益指标</w:t>
            </w:r>
          </w:p>
        </w:tc>
        <w:tc>
          <w:tcPr>
            <w:tcW w:w="2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不适用</w:t>
            </w:r>
          </w:p>
        </w:tc>
        <w:tc>
          <w:tcPr>
            <w:tcW w:w="1080"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ascii="仿宋_GB2312" w:hAnsi="宋体" w:eastAsia="仿宋_GB2312" w:cs="宋体"/>
                <w:color w:val="000000"/>
                <w:sz w:val="21"/>
                <w:szCs w:val="21"/>
              </w:rPr>
            </w:pPr>
            <w:r>
              <w:rPr>
                <w:rFonts w:hint="eastAsia" w:ascii="仿宋_GB2312" w:hAnsi="宋体" w:eastAsia="仿宋_GB2312" w:cs="宋体"/>
                <w:color w:val="000000"/>
                <w:sz w:val="21"/>
                <w:szCs w:val="21"/>
              </w:rPr>
              <w:t>不适用</w:t>
            </w:r>
          </w:p>
        </w:tc>
        <w:tc>
          <w:tcPr>
            <w:tcW w:w="19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color w:val="000000"/>
                <w:sz w:val="21"/>
                <w:szCs w:val="21"/>
              </w:rPr>
            </w:pPr>
            <w:r>
              <w:rPr>
                <w:rFonts w:hint="eastAsia" w:ascii="仿宋_GB2312" w:hAnsi="宋体" w:eastAsia="仿宋_GB2312" w:cs="宋体"/>
                <w:color w:val="000000"/>
                <w:sz w:val="21"/>
                <w:szCs w:val="21"/>
              </w:rPr>
              <w:t>　</w:t>
            </w:r>
          </w:p>
        </w:tc>
      </w:tr>
      <w:tr>
        <w:tblPrEx>
          <w:tblCellMar>
            <w:top w:w="0" w:type="dxa"/>
            <w:left w:w="108" w:type="dxa"/>
            <w:bottom w:w="0" w:type="dxa"/>
            <w:right w:w="108" w:type="dxa"/>
          </w:tblCellMar>
        </w:tblPrEx>
        <w:trPr>
          <w:trHeight w:val="1041"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9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5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社会效益指标</w:t>
            </w:r>
          </w:p>
        </w:tc>
        <w:tc>
          <w:tcPr>
            <w:tcW w:w="2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城市路面维修对市民产生的投诉率</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较上年减少或增加的百分比</w:t>
            </w:r>
          </w:p>
        </w:tc>
        <w:tc>
          <w:tcPr>
            <w:tcW w:w="19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color w:val="000000"/>
                <w:sz w:val="21"/>
                <w:szCs w:val="21"/>
              </w:rPr>
            </w:pPr>
            <w:r>
              <w:rPr>
                <w:rFonts w:hint="eastAsia" w:ascii="仿宋_GB2312" w:hAnsi="宋体" w:eastAsia="仿宋_GB2312" w:cs="宋体"/>
                <w:color w:val="000000"/>
                <w:sz w:val="21"/>
                <w:szCs w:val="21"/>
              </w:rPr>
              <w:t>计划标准</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9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520" w:type="dxa"/>
            <w:tcBorders>
              <w:top w:val="nil"/>
              <w:left w:val="nil"/>
              <w:bottom w:val="nil"/>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生态效益指标</w:t>
            </w:r>
          </w:p>
        </w:tc>
        <w:tc>
          <w:tcPr>
            <w:tcW w:w="2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提供良好出行环境</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有效提升</w:t>
            </w:r>
          </w:p>
        </w:tc>
        <w:tc>
          <w:tcPr>
            <w:tcW w:w="19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color w:val="000000"/>
                <w:sz w:val="21"/>
                <w:szCs w:val="21"/>
              </w:rPr>
            </w:pPr>
            <w:r>
              <w:rPr>
                <w:rFonts w:hint="eastAsia" w:ascii="仿宋_GB2312" w:hAnsi="宋体" w:eastAsia="仿宋_GB2312" w:cs="宋体"/>
                <w:color w:val="000000"/>
                <w:sz w:val="21"/>
                <w:szCs w:val="21"/>
              </w:rPr>
              <w:t>计划标准</w:t>
            </w:r>
          </w:p>
        </w:tc>
      </w:tr>
      <w:tr>
        <w:tblPrEx>
          <w:tblCellMar>
            <w:top w:w="0" w:type="dxa"/>
            <w:left w:w="108" w:type="dxa"/>
            <w:bottom w:w="0" w:type="dxa"/>
            <w:right w:w="108" w:type="dxa"/>
          </w:tblCellMar>
        </w:tblPrEx>
        <w:trPr>
          <w:trHeight w:val="576"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9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可持续影响</w:t>
            </w:r>
            <w:r>
              <w:rPr>
                <w:rFonts w:hint="eastAsia" w:ascii="仿宋_GB2312" w:hAnsi="宋体" w:eastAsia="仿宋_GB2312" w:cs="宋体"/>
                <w:sz w:val="21"/>
                <w:szCs w:val="21"/>
              </w:rPr>
              <w:br w:type="textWrapping"/>
            </w:r>
            <w:r>
              <w:rPr>
                <w:rFonts w:hint="eastAsia" w:ascii="仿宋_GB2312" w:hAnsi="宋体" w:eastAsia="仿宋_GB2312" w:cs="宋体"/>
                <w:sz w:val="21"/>
                <w:szCs w:val="21"/>
              </w:rPr>
              <w:t>指标</w:t>
            </w:r>
          </w:p>
        </w:tc>
        <w:tc>
          <w:tcPr>
            <w:tcW w:w="2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反映项目可持续性</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可持续</w:t>
            </w:r>
          </w:p>
        </w:tc>
        <w:tc>
          <w:tcPr>
            <w:tcW w:w="19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color w:val="000000"/>
                <w:sz w:val="21"/>
                <w:szCs w:val="21"/>
              </w:rPr>
            </w:pPr>
            <w:r>
              <w:rPr>
                <w:rFonts w:hint="eastAsia" w:ascii="仿宋_GB2312" w:hAnsi="宋体" w:eastAsia="仿宋_GB2312" w:cs="宋体"/>
                <w:color w:val="000000"/>
                <w:sz w:val="21"/>
                <w:szCs w:val="21"/>
              </w:rPr>
              <w:t>计划标准</w:t>
            </w:r>
          </w:p>
        </w:tc>
      </w:tr>
      <w:tr>
        <w:tblPrEx>
          <w:tblCellMar>
            <w:top w:w="0" w:type="dxa"/>
            <w:left w:w="108" w:type="dxa"/>
            <w:bottom w:w="0" w:type="dxa"/>
            <w:right w:w="108" w:type="dxa"/>
          </w:tblCellMar>
        </w:tblPrEx>
        <w:trPr>
          <w:trHeight w:val="864"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980" w:type="dxa"/>
            <w:vMerge w:val="continue"/>
            <w:tcBorders>
              <w:top w:val="nil"/>
              <w:left w:val="single" w:color="auto" w:sz="8" w:space="0"/>
              <w:bottom w:val="single" w:color="auto" w:sz="8" w:space="0"/>
              <w:right w:val="single" w:color="auto" w:sz="8" w:space="0"/>
            </w:tcBorders>
            <w:vAlign w:val="center"/>
          </w:tcPr>
          <w:p>
            <w:pPr>
              <w:widowControl/>
              <w:spacing w:line="240" w:lineRule="auto"/>
              <w:ind w:left="0"/>
              <w:jc w:val="left"/>
              <w:textAlignment w:val="auto"/>
              <w:rPr>
                <w:rFonts w:ascii="仿宋_GB2312" w:hAnsi="宋体" w:eastAsia="仿宋_GB2312" w:cs="宋体"/>
                <w:sz w:val="21"/>
                <w:szCs w:val="21"/>
              </w:rPr>
            </w:pPr>
          </w:p>
        </w:tc>
        <w:tc>
          <w:tcPr>
            <w:tcW w:w="152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社会公众或服务对象满意度指标</w:t>
            </w:r>
          </w:p>
        </w:tc>
        <w:tc>
          <w:tcPr>
            <w:tcW w:w="2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市民对城市路面维修满意度</w:t>
            </w:r>
          </w:p>
        </w:tc>
        <w:tc>
          <w:tcPr>
            <w:tcW w:w="108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≧95%</w:t>
            </w:r>
          </w:p>
        </w:tc>
        <w:tc>
          <w:tcPr>
            <w:tcW w:w="196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ascii="仿宋_GB2312" w:hAnsi="宋体" w:eastAsia="仿宋_GB2312" w:cs="宋体"/>
                <w:color w:val="000000"/>
                <w:sz w:val="21"/>
                <w:szCs w:val="21"/>
              </w:rPr>
            </w:pPr>
            <w:r>
              <w:rPr>
                <w:rFonts w:hint="eastAsia" w:ascii="仿宋_GB2312" w:hAnsi="宋体" w:eastAsia="仿宋_GB2312" w:cs="宋体"/>
                <w:color w:val="000000"/>
                <w:sz w:val="21"/>
                <w:szCs w:val="21"/>
              </w:rPr>
              <w:t>计划标准</w:t>
            </w:r>
          </w:p>
        </w:tc>
      </w:tr>
    </w:tbl>
    <w:p>
      <w:pPr>
        <w:spacing w:line="560" w:lineRule="exact"/>
        <w:ind w:firstLine="602" w:firstLineChars="200"/>
        <w:jc w:val="left"/>
        <w:rPr>
          <w:rFonts w:asciiTheme="minorEastAsia" w:hAnsiTheme="minorEastAsia" w:eastAsiaTheme="minorEastAsia"/>
          <w:b/>
          <w:bCs/>
          <w:sz w:val="30"/>
          <w:szCs w:val="30"/>
        </w:rPr>
      </w:pP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五、主要经验及做法、存在的问题及原因分析</w:t>
      </w:r>
    </w:p>
    <w:p>
      <w:pPr>
        <w:spacing w:line="560" w:lineRule="exact"/>
        <w:ind w:firstLine="600" w:firstLineChars="200"/>
        <w:jc w:val="left"/>
        <w:rPr>
          <w:rFonts w:asciiTheme="minorEastAsia" w:hAnsiTheme="minorEastAsia" w:eastAsiaTheme="minorEastAsia"/>
          <w:b/>
          <w:bCs/>
          <w:sz w:val="30"/>
          <w:szCs w:val="30"/>
        </w:rPr>
      </w:pPr>
      <w:r>
        <w:rPr>
          <w:rFonts w:hint="eastAsia" w:cs="仿宋_GB2312" w:asciiTheme="minorEastAsia" w:hAnsiTheme="minorEastAsia" w:eastAsiaTheme="minorEastAsia"/>
          <w:sz w:val="30"/>
          <w:szCs w:val="30"/>
        </w:rPr>
        <w:t>无。</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六、有关建议</w:t>
      </w:r>
    </w:p>
    <w:p>
      <w:pPr>
        <w:spacing w:line="560" w:lineRule="exact"/>
        <w:ind w:firstLine="600" w:firstLineChars="200"/>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无。</w:t>
      </w:r>
    </w:p>
    <w:p>
      <w:pPr>
        <w:spacing w:line="560" w:lineRule="exact"/>
        <w:ind w:firstLine="602" w:firstLineChars="200"/>
        <w:jc w:val="left"/>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七、其他需要说明的问题</w:t>
      </w:r>
    </w:p>
    <w:p>
      <w:pPr>
        <w:pStyle w:val="5"/>
        <w:widowControl w:val="0"/>
        <w:spacing w:before="0" w:beforeAutospacing="0" w:after="0" w:afterAutospacing="0" w:line="520" w:lineRule="exact"/>
        <w:ind w:firstLine="600" w:firstLineChars="200"/>
        <w:rPr>
          <w:rFonts w:cs="Times New Roman" w:asciiTheme="minorEastAsia" w:hAnsiTheme="minorEastAsia" w:eastAsiaTheme="minorEastAsia"/>
          <w:sz w:val="30"/>
          <w:szCs w:val="30"/>
        </w:rPr>
      </w:pPr>
      <w:r>
        <w:rPr>
          <w:rFonts w:hint="eastAsia" w:cs="Times New Roman" w:asciiTheme="minorEastAsia" w:hAnsiTheme="minorEastAsia" w:eastAsiaTheme="minorEastAsia"/>
          <w:sz w:val="30"/>
          <w:szCs w:val="30"/>
        </w:rPr>
        <w:t>无。</w:t>
      </w:r>
    </w:p>
    <w:p>
      <w:pPr>
        <w:ind w:left="7840" w:hanging="7840" w:hangingChars="2800"/>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项目单位（签）                        </w:t>
      </w:r>
    </w:p>
    <w:p>
      <w:pPr>
        <w:ind w:firstLine="5600" w:firstLineChars="2000"/>
        <w:rPr>
          <w:rFonts w:eastAsia="仿宋_GB2312"/>
          <w:sz w:val="28"/>
          <w:szCs w:val="28"/>
        </w:rPr>
      </w:pPr>
      <w:r>
        <w:rPr>
          <w:rFonts w:hint="eastAsia" w:eastAsia="仿宋_GB2312"/>
          <w:sz w:val="28"/>
          <w:szCs w:val="28"/>
        </w:rPr>
        <w:t>2022</w:t>
      </w:r>
      <w:r>
        <w:rPr>
          <w:rFonts w:eastAsia="仿宋_GB2312"/>
          <w:sz w:val="28"/>
          <w:szCs w:val="28"/>
        </w:rPr>
        <w:t xml:space="preserve">年  </w:t>
      </w:r>
      <w:r>
        <w:rPr>
          <w:rFonts w:hint="eastAsia" w:eastAsia="仿宋_GB2312"/>
          <w:sz w:val="28"/>
          <w:szCs w:val="28"/>
        </w:rPr>
        <w:t>5</w:t>
      </w:r>
      <w:r>
        <w:rPr>
          <w:rFonts w:eastAsia="仿宋_GB2312"/>
          <w:sz w:val="28"/>
          <w:szCs w:val="28"/>
        </w:rPr>
        <w:t xml:space="preserve"> 月 </w:t>
      </w:r>
      <w:r>
        <w:rPr>
          <w:rFonts w:hint="eastAsia" w:eastAsia="仿宋_GB2312"/>
          <w:sz w:val="28"/>
          <w:szCs w:val="28"/>
        </w:rPr>
        <w:t>24</w:t>
      </w:r>
      <w:r>
        <w:rPr>
          <w:rFonts w:eastAsia="仿宋_GB2312"/>
          <w:sz w:val="28"/>
          <w:szCs w:val="28"/>
        </w:rPr>
        <w:t xml:space="preserve"> 日</w:t>
      </w:r>
    </w:p>
    <w:p>
      <w:pPr>
        <w:spacing w:line="560" w:lineRule="exact"/>
        <w:ind w:left="0"/>
        <w:jc w:val="left"/>
        <w:rPr>
          <w:rFonts w:eastAsia="仿宋_GB2312"/>
          <w:sz w:val="28"/>
          <w:szCs w:val="28"/>
        </w:rPr>
      </w:pPr>
    </w:p>
    <w:p>
      <w:pPr>
        <w:spacing w:line="560" w:lineRule="exact"/>
        <w:ind w:left="0"/>
        <w:jc w:val="left"/>
        <w:rPr>
          <w:rFonts w:eastAsia="仿宋_GB2312"/>
          <w:sz w:val="28"/>
          <w:szCs w:val="28"/>
        </w:rPr>
      </w:pPr>
    </w:p>
    <w:p>
      <w:pPr>
        <w:spacing w:line="560" w:lineRule="exact"/>
        <w:ind w:left="0"/>
        <w:jc w:val="left"/>
        <w:rPr>
          <w:rFonts w:eastAsia="仿宋_GB2312"/>
          <w:sz w:val="28"/>
          <w:szCs w:val="28"/>
        </w:rPr>
      </w:pPr>
    </w:p>
    <w:p>
      <w:pPr>
        <w:spacing w:line="560" w:lineRule="exact"/>
        <w:ind w:left="0"/>
        <w:jc w:val="left"/>
        <w:rPr>
          <w:sz w:val="24"/>
        </w:rPr>
      </w:pPr>
      <w:r>
        <w:rPr>
          <w:rFonts w:hint="eastAsia" w:ascii="仿宋_GB2312" w:hAnsi="仿宋_GB2312" w:eastAsia="仿宋_GB2312" w:cs="仿宋_GB2312"/>
          <w:sz w:val="24"/>
        </w:rPr>
        <w:t>附件3-1</w:t>
      </w:r>
    </w:p>
    <w:p>
      <w:pPr>
        <w:pStyle w:val="5"/>
        <w:widowControl w:val="0"/>
        <w:spacing w:before="0" w:beforeAutospacing="0" w:after="0" w:afterAutospacing="0" w:line="800" w:lineRule="exact"/>
        <w:jc w:val="center"/>
        <w:rPr>
          <w:rStyle w:val="9"/>
          <w:rFonts w:ascii="Times New Roman" w:hAnsi="Times New Roman" w:eastAsia="方正粗宋简体" w:cs="Times New Roman"/>
          <w:b w:val="0"/>
          <w:sz w:val="44"/>
          <w:szCs w:val="44"/>
        </w:rPr>
      </w:pPr>
      <w:r>
        <w:rPr>
          <w:rStyle w:val="9"/>
          <w:rFonts w:ascii="Times New Roman" w:hAnsi="Times New Roman" w:eastAsia="方正粗宋简体" w:cs="Times New Roman"/>
          <w:b w:val="0"/>
          <w:sz w:val="44"/>
          <w:szCs w:val="44"/>
        </w:rPr>
        <w:t>202</w:t>
      </w:r>
      <w:r>
        <w:rPr>
          <w:rStyle w:val="9"/>
          <w:rFonts w:hint="eastAsia" w:ascii="Times New Roman" w:hAnsi="Times New Roman" w:eastAsia="方正粗宋简体" w:cs="Times New Roman"/>
          <w:b w:val="0"/>
          <w:sz w:val="44"/>
          <w:szCs w:val="44"/>
        </w:rPr>
        <w:t>1</w:t>
      </w:r>
      <w:r>
        <w:rPr>
          <w:rStyle w:val="9"/>
          <w:rFonts w:ascii="Times New Roman" w:hAnsi="Times New Roman" w:eastAsia="方正粗宋简体" w:cs="Times New Roman"/>
          <w:b w:val="0"/>
          <w:sz w:val="44"/>
          <w:szCs w:val="44"/>
        </w:rPr>
        <w:t>年度绩效自评完成情况汇总表</w:t>
      </w:r>
    </w:p>
    <w:p>
      <w:pPr>
        <w:spacing w:line="400" w:lineRule="exact"/>
        <w:rPr>
          <w:rFonts w:eastAsia="华文中宋"/>
          <w:sz w:val="24"/>
        </w:rPr>
      </w:pPr>
      <w:r>
        <w:rPr>
          <w:rFonts w:eastAsia="华文中宋"/>
          <w:sz w:val="24"/>
        </w:rPr>
        <w:t>主管部门（盖章）：               填报人： </w:t>
      </w:r>
      <w:r>
        <w:rPr>
          <w:rFonts w:hint="eastAsia" w:asciiTheme="minorEastAsia" w:hAnsiTheme="minorEastAsia" w:eastAsiaTheme="minorEastAsia"/>
          <w:sz w:val="24"/>
        </w:rPr>
        <w:t>吴文婷</w:t>
      </w:r>
      <w:r>
        <w:rPr>
          <w:rFonts w:eastAsia="华文中宋"/>
          <w:sz w:val="24"/>
        </w:rPr>
        <w:t>             联系电话： </w:t>
      </w:r>
      <w:r>
        <w:rPr>
          <w:rFonts w:hint="eastAsia" w:eastAsia="华文中宋"/>
          <w:sz w:val="24"/>
        </w:rPr>
        <w:t>18942055098</w:t>
      </w:r>
      <w:r>
        <w:rPr>
          <w:rFonts w:eastAsia="华文中宋"/>
          <w:sz w:val="24"/>
        </w:rPr>
        <w:t>         </w:t>
      </w:r>
    </w:p>
    <w:tbl>
      <w:tblPr>
        <w:tblStyle w:val="6"/>
        <w:tblW w:w="9680"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4"/>
        <w:gridCol w:w="1894"/>
        <w:gridCol w:w="2410"/>
        <w:gridCol w:w="776"/>
        <w:gridCol w:w="862"/>
        <w:gridCol w:w="992"/>
        <w:gridCol w:w="733"/>
        <w:gridCol w:w="777"/>
        <w:gridCol w:w="5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vMerge w:val="restart"/>
            <w:tcBorders>
              <w:top w:val="single" w:color="auto" w:sz="2" w:space="0"/>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序号</w:t>
            </w:r>
          </w:p>
        </w:tc>
        <w:tc>
          <w:tcPr>
            <w:tcW w:w="1894"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项目单位</w:t>
            </w:r>
          </w:p>
        </w:tc>
        <w:tc>
          <w:tcPr>
            <w:tcW w:w="2410"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项目名称</w:t>
            </w:r>
          </w:p>
        </w:tc>
        <w:tc>
          <w:tcPr>
            <w:tcW w:w="2630" w:type="dxa"/>
            <w:gridSpan w:val="3"/>
            <w:tcBorders>
              <w:top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项目资金情况</w:t>
            </w:r>
          </w:p>
        </w:tc>
        <w:tc>
          <w:tcPr>
            <w:tcW w:w="733"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自评分数</w:t>
            </w:r>
          </w:p>
        </w:tc>
        <w:tc>
          <w:tcPr>
            <w:tcW w:w="777"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自评等级</w:t>
            </w:r>
          </w:p>
        </w:tc>
        <w:tc>
          <w:tcPr>
            <w:tcW w:w="532" w:type="dxa"/>
            <w:vMerge w:val="restart"/>
            <w:tcBorders>
              <w:top w:val="single" w:color="auto" w:sz="2" w:space="0"/>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vMerge w:val="continue"/>
            <w:tcBorders>
              <w:left w:val="single" w:color="auto" w:sz="2" w:space="0"/>
            </w:tcBorders>
            <w:vAlign w:val="center"/>
          </w:tcPr>
          <w:p>
            <w:pPr>
              <w:spacing w:line="300" w:lineRule="exact"/>
              <w:jc w:val="center"/>
              <w:rPr>
                <w:rFonts w:eastAsia="仿宋_GB2312"/>
                <w:sz w:val="24"/>
              </w:rPr>
            </w:pPr>
          </w:p>
        </w:tc>
        <w:tc>
          <w:tcPr>
            <w:tcW w:w="1894" w:type="dxa"/>
            <w:vMerge w:val="continue"/>
            <w:vAlign w:val="center"/>
          </w:tcPr>
          <w:p>
            <w:pPr>
              <w:spacing w:line="300" w:lineRule="exact"/>
              <w:jc w:val="center"/>
              <w:rPr>
                <w:rFonts w:eastAsia="仿宋_GB2312"/>
                <w:sz w:val="24"/>
              </w:rPr>
            </w:pPr>
          </w:p>
        </w:tc>
        <w:tc>
          <w:tcPr>
            <w:tcW w:w="2410" w:type="dxa"/>
            <w:vMerge w:val="continue"/>
            <w:vAlign w:val="center"/>
          </w:tcPr>
          <w:p>
            <w:pPr>
              <w:spacing w:line="300" w:lineRule="exact"/>
              <w:jc w:val="center"/>
              <w:rPr>
                <w:rFonts w:eastAsia="仿宋_GB2312"/>
                <w:sz w:val="24"/>
              </w:rPr>
            </w:pPr>
          </w:p>
        </w:tc>
        <w:tc>
          <w:tcPr>
            <w:tcW w:w="776" w:type="dxa"/>
            <w:vMerge w:val="restart"/>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预算总金额</w:t>
            </w:r>
          </w:p>
        </w:tc>
        <w:tc>
          <w:tcPr>
            <w:tcW w:w="1854" w:type="dxa"/>
            <w:gridSpan w:val="2"/>
            <w:tcMar>
              <w:top w:w="15" w:type="dxa"/>
              <w:left w:w="15" w:type="dxa"/>
              <w:bottom w:w="15" w:type="dxa"/>
              <w:right w:w="15" w:type="dxa"/>
            </w:tcMar>
          </w:tcPr>
          <w:p>
            <w:pPr>
              <w:spacing w:line="300" w:lineRule="exact"/>
              <w:rPr>
                <w:rFonts w:eastAsia="仿宋_GB2312"/>
                <w:sz w:val="24"/>
              </w:rPr>
            </w:pPr>
            <w:r>
              <w:rPr>
                <w:rFonts w:eastAsia="仿宋_GB2312"/>
                <w:sz w:val="24"/>
              </w:rPr>
              <w:t>其中：</w:t>
            </w:r>
          </w:p>
          <w:p>
            <w:pPr>
              <w:spacing w:line="300" w:lineRule="exact"/>
              <w:ind w:firstLine="240" w:firstLineChars="100"/>
              <w:rPr>
                <w:rFonts w:eastAsia="仿宋_GB2312"/>
                <w:sz w:val="24"/>
              </w:rPr>
            </w:pPr>
            <w:r>
              <w:rPr>
                <w:rFonts w:eastAsia="仿宋_GB2312"/>
                <w:sz w:val="24"/>
              </w:rPr>
              <w:t>县级财政资金</w:t>
            </w:r>
          </w:p>
        </w:tc>
        <w:tc>
          <w:tcPr>
            <w:tcW w:w="733" w:type="dxa"/>
            <w:vMerge w:val="continue"/>
            <w:vAlign w:val="center"/>
          </w:tcPr>
          <w:p>
            <w:pPr>
              <w:spacing w:line="300" w:lineRule="exact"/>
              <w:jc w:val="center"/>
              <w:rPr>
                <w:rFonts w:eastAsia="仿宋_GB2312"/>
                <w:sz w:val="24"/>
              </w:rPr>
            </w:pPr>
          </w:p>
        </w:tc>
        <w:tc>
          <w:tcPr>
            <w:tcW w:w="777" w:type="dxa"/>
            <w:vMerge w:val="continue"/>
            <w:vAlign w:val="center"/>
          </w:tcPr>
          <w:p>
            <w:pPr>
              <w:spacing w:line="300" w:lineRule="exact"/>
              <w:jc w:val="center"/>
              <w:rPr>
                <w:rFonts w:eastAsia="仿宋_GB2312"/>
                <w:sz w:val="24"/>
              </w:rPr>
            </w:pPr>
          </w:p>
        </w:tc>
        <w:tc>
          <w:tcPr>
            <w:tcW w:w="532" w:type="dxa"/>
            <w:vMerge w:val="continue"/>
            <w:tcBorders>
              <w:right w:val="single" w:color="auto" w:sz="2" w:space="0"/>
            </w:tcBorders>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vMerge w:val="continue"/>
            <w:tcBorders>
              <w:left w:val="single" w:color="auto" w:sz="2" w:space="0"/>
            </w:tcBorders>
            <w:vAlign w:val="center"/>
          </w:tcPr>
          <w:p>
            <w:pPr>
              <w:spacing w:line="300" w:lineRule="exact"/>
              <w:jc w:val="center"/>
              <w:rPr>
                <w:rFonts w:eastAsia="仿宋_GB2312"/>
                <w:sz w:val="24"/>
              </w:rPr>
            </w:pPr>
          </w:p>
        </w:tc>
        <w:tc>
          <w:tcPr>
            <w:tcW w:w="1894" w:type="dxa"/>
            <w:vMerge w:val="continue"/>
            <w:vAlign w:val="center"/>
          </w:tcPr>
          <w:p>
            <w:pPr>
              <w:spacing w:line="300" w:lineRule="exact"/>
              <w:jc w:val="center"/>
              <w:rPr>
                <w:rFonts w:eastAsia="仿宋_GB2312"/>
                <w:sz w:val="24"/>
              </w:rPr>
            </w:pPr>
          </w:p>
        </w:tc>
        <w:tc>
          <w:tcPr>
            <w:tcW w:w="2410" w:type="dxa"/>
            <w:vMerge w:val="continue"/>
            <w:vAlign w:val="center"/>
          </w:tcPr>
          <w:p>
            <w:pPr>
              <w:spacing w:line="300" w:lineRule="exact"/>
              <w:jc w:val="center"/>
              <w:rPr>
                <w:rFonts w:eastAsia="仿宋_GB2312"/>
                <w:sz w:val="24"/>
              </w:rPr>
            </w:pPr>
          </w:p>
        </w:tc>
        <w:tc>
          <w:tcPr>
            <w:tcW w:w="776" w:type="dxa"/>
            <w:vMerge w:val="continue"/>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预算</w:t>
            </w:r>
          </w:p>
          <w:p>
            <w:pPr>
              <w:spacing w:line="300" w:lineRule="exact"/>
              <w:jc w:val="center"/>
              <w:rPr>
                <w:rFonts w:eastAsia="仿宋_GB2312"/>
                <w:sz w:val="24"/>
              </w:rPr>
            </w:pPr>
            <w:r>
              <w:rPr>
                <w:rFonts w:eastAsia="仿宋_GB2312"/>
                <w:sz w:val="24"/>
              </w:rPr>
              <w:t>安排</w:t>
            </w:r>
          </w:p>
        </w:tc>
        <w:tc>
          <w:tcPr>
            <w:tcW w:w="992" w:type="dxa"/>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实际</w:t>
            </w:r>
          </w:p>
          <w:p>
            <w:pPr>
              <w:spacing w:line="300" w:lineRule="exact"/>
              <w:jc w:val="center"/>
              <w:rPr>
                <w:rFonts w:eastAsia="仿宋_GB2312"/>
                <w:sz w:val="24"/>
              </w:rPr>
            </w:pPr>
            <w:r>
              <w:rPr>
                <w:rFonts w:eastAsia="仿宋_GB2312"/>
                <w:sz w:val="24"/>
              </w:rPr>
              <w:t>支出</w:t>
            </w:r>
          </w:p>
        </w:tc>
        <w:tc>
          <w:tcPr>
            <w:tcW w:w="733" w:type="dxa"/>
            <w:vMerge w:val="continue"/>
            <w:vAlign w:val="center"/>
          </w:tcPr>
          <w:p>
            <w:pPr>
              <w:spacing w:line="300" w:lineRule="exact"/>
              <w:jc w:val="center"/>
              <w:rPr>
                <w:rFonts w:eastAsia="仿宋_GB2312"/>
                <w:sz w:val="24"/>
              </w:rPr>
            </w:pPr>
          </w:p>
        </w:tc>
        <w:tc>
          <w:tcPr>
            <w:tcW w:w="777" w:type="dxa"/>
            <w:vMerge w:val="continue"/>
            <w:vAlign w:val="center"/>
          </w:tcPr>
          <w:p>
            <w:pPr>
              <w:spacing w:line="300" w:lineRule="exact"/>
              <w:jc w:val="center"/>
              <w:rPr>
                <w:rFonts w:eastAsia="仿宋_GB2312"/>
                <w:sz w:val="24"/>
              </w:rPr>
            </w:pPr>
          </w:p>
        </w:tc>
        <w:tc>
          <w:tcPr>
            <w:tcW w:w="532" w:type="dxa"/>
            <w:vMerge w:val="continue"/>
            <w:tcBorders>
              <w:right w:val="single" w:color="auto" w:sz="2" w:space="0"/>
            </w:tcBorders>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9680" w:type="dxa"/>
            <w:gridSpan w:val="9"/>
            <w:tcBorders>
              <w:left w:val="single" w:color="auto" w:sz="2" w:space="0"/>
              <w:right w:val="single" w:color="auto" w:sz="2" w:space="0"/>
            </w:tcBorders>
            <w:tcMar>
              <w:top w:w="15" w:type="dxa"/>
              <w:left w:w="15" w:type="dxa"/>
              <w:bottom w:w="15" w:type="dxa"/>
              <w:right w:w="15" w:type="dxa"/>
            </w:tcMar>
          </w:tcPr>
          <w:p>
            <w:pPr>
              <w:spacing w:line="300" w:lineRule="exact"/>
              <w:rPr>
                <w:rFonts w:eastAsia="仿宋_GB2312"/>
                <w:sz w:val="24"/>
              </w:rPr>
            </w:pPr>
            <w:r>
              <w:rPr>
                <w:rFonts w:eastAsia="仿宋_GB2312"/>
                <w:sz w:val="24"/>
              </w:rPr>
              <w:t>一、项目绩效自评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1</w:t>
            </w:r>
          </w:p>
        </w:tc>
        <w:tc>
          <w:tcPr>
            <w:tcW w:w="1894"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城市管理和综合执法局</w:t>
            </w:r>
          </w:p>
        </w:tc>
        <w:tc>
          <w:tcPr>
            <w:tcW w:w="2410"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景观亮化维护和一河两岸电费</w:t>
            </w:r>
          </w:p>
        </w:tc>
        <w:tc>
          <w:tcPr>
            <w:tcW w:w="776"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500</w:t>
            </w:r>
          </w:p>
        </w:tc>
        <w:tc>
          <w:tcPr>
            <w:tcW w:w="86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171.98</w:t>
            </w:r>
          </w:p>
        </w:tc>
        <w:tc>
          <w:tcPr>
            <w:tcW w:w="99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171.98</w:t>
            </w:r>
          </w:p>
        </w:tc>
        <w:tc>
          <w:tcPr>
            <w:tcW w:w="733"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89</w:t>
            </w:r>
          </w:p>
        </w:tc>
        <w:tc>
          <w:tcPr>
            <w:tcW w:w="777" w:type="dxa"/>
            <w:tcMar>
              <w:top w:w="15" w:type="dxa"/>
              <w:left w:w="15" w:type="dxa"/>
              <w:bottom w:w="15" w:type="dxa"/>
              <w:right w:w="15" w:type="dxa"/>
            </w:tcMar>
            <w:vAlign w:val="center"/>
          </w:tcPr>
          <w:p>
            <w:pPr>
              <w:spacing w:line="300" w:lineRule="exact"/>
              <w:jc w:val="center"/>
              <w:rPr>
                <w:rFonts w:hint="eastAsia" w:eastAsia="仿宋_GB2312"/>
                <w:sz w:val="24"/>
                <w:lang w:val="en-US" w:eastAsia="zh-CN"/>
              </w:rPr>
            </w:pPr>
            <w:r>
              <w:rPr>
                <w:rFonts w:hint="eastAsia" w:eastAsia="仿宋_GB2312"/>
                <w:sz w:val="24"/>
                <w:lang w:val="en-US" w:eastAsia="zh-CN"/>
              </w:rPr>
              <w:t>良好</w:t>
            </w: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2</w:t>
            </w:r>
          </w:p>
        </w:tc>
        <w:tc>
          <w:tcPr>
            <w:tcW w:w="1894"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城市管理和综合执法局</w:t>
            </w:r>
          </w:p>
        </w:tc>
        <w:tc>
          <w:tcPr>
            <w:tcW w:w="2410"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城市维护费</w:t>
            </w:r>
          </w:p>
        </w:tc>
        <w:tc>
          <w:tcPr>
            <w:tcW w:w="776"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120</w:t>
            </w:r>
          </w:p>
        </w:tc>
        <w:tc>
          <w:tcPr>
            <w:tcW w:w="86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50</w:t>
            </w:r>
          </w:p>
        </w:tc>
        <w:tc>
          <w:tcPr>
            <w:tcW w:w="99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50</w:t>
            </w:r>
          </w:p>
        </w:tc>
        <w:tc>
          <w:tcPr>
            <w:tcW w:w="733"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86</w:t>
            </w:r>
          </w:p>
        </w:tc>
        <w:tc>
          <w:tcPr>
            <w:tcW w:w="777"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lang w:val="en-US" w:eastAsia="zh-CN"/>
              </w:rPr>
              <w:t>良好</w:t>
            </w: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3</w:t>
            </w:r>
          </w:p>
        </w:tc>
        <w:tc>
          <w:tcPr>
            <w:tcW w:w="1894"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城市管理和综合执法局</w:t>
            </w:r>
          </w:p>
        </w:tc>
        <w:tc>
          <w:tcPr>
            <w:tcW w:w="2410"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餐厨垃圾收集处理服务费</w:t>
            </w:r>
          </w:p>
        </w:tc>
        <w:tc>
          <w:tcPr>
            <w:tcW w:w="776"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100</w:t>
            </w:r>
          </w:p>
        </w:tc>
        <w:tc>
          <w:tcPr>
            <w:tcW w:w="86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100</w:t>
            </w:r>
          </w:p>
        </w:tc>
        <w:tc>
          <w:tcPr>
            <w:tcW w:w="99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100</w:t>
            </w:r>
          </w:p>
        </w:tc>
        <w:tc>
          <w:tcPr>
            <w:tcW w:w="733"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88</w:t>
            </w:r>
          </w:p>
        </w:tc>
        <w:tc>
          <w:tcPr>
            <w:tcW w:w="777"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lang w:val="en-US" w:eastAsia="zh-CN"/>
              </w:rPr>
              <w:t>良好</w:t>
            </w: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4</w:t>
            </w:r>
          </w:p>
        </w:tc>
        <w:tc>
          <w:tcPr>
            <w:tcW w:w="1894"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城市管理和综合执法局</w:t>
            </w:r>
          </w:p>
        </w:tc>
        <w:tc>
          <w:tcPr>
            <w:tcW w:w="2410"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公益性水电及城区路灯维护管养</w:t>
            </w:r>
          </w:p>
        </w:tc>
        <w:tc>
          <w:tcPr>
            <w:tcW w:w="776"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85</w:t>
            </w:r>
          </w:p>
        </w:tc>
        <w:tc>
          <w:tcPr>
            <w:tcW w:w="86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71.81</w:t>
            </w:r>
          </w:p>
        </w:tc>
        <w:tc>
          <w:tcPr>
            <w:tcW w:w="99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71.81</w:t>
            </w:r>
          </w:p>
        </w:tc>
        <w:tc>
          <w:tcPr>
            <w:tcW w:w="733"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86</w:t>
            </w:r>
          </w:p>
        </w:tc>
        <w:tc>
          <w:tcPr>
            <w:tcW w:w="777"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lang w:val="en-US" w:eastAsia="zh-CN"/>
              </w:rPr>
              <w:t>良好</w:t>
            </w: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5</w:t>
            </w:r>
          </w:p>
        </w:tc>
        <w:tc>
          <w:tcPr>
            <w:tcW w:w="1894"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城市管理和综合执法局</w:t>
            </w:r>
          </w:p>
        </w:tc>
        <w:tc>
          <w:tcPr>
            <w:tcW w:w="2410"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春节城区喜庆美化、亮化</w:t>
            </w:r>
          </w:p>
        </w:tc>
        <w:tc>
          <w:tcPr>
            <w:tcW w:w="776"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30</w:t>
            </w:r>
          </w:p>
        </w:tc>
        <w:tc>
          <w:tcPr>
            <w:tcW w:w="86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30</w:t>
            </w:r>
          </w:p>
        </w:tc>
        <w:tc>
          <w:tcPr>
            <w:tcW w:w="99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30</w:t>
            </w:r>
          </w:p>
        </w:tc>
        <w:tc>
          <w:tcPr>
            <w:tcW w:w="733"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88</w:t>
            </w:r>
          </w:p>
        </w:tc>
        <w:tc>
          <w:tcPr>
            <w:tcW w:w="777"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lang w:val="en-US" w:eastAsia="zh-CN"/>
              </w:rPr>
              <w:t>良好</w:t>
            </w: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6</w:t>
            </w:r>
          </w:p>
        </w:tc>
        <w:tc>
          <w:tcPr>
            <w:tcW w:w="1894"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城市管理和综合执法局</w:t>
            </w:r>
          </w:p>
        </w:tc>
        <w:tc>
          <w:tcPr>
            <w:tcW w:w="2410"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城区沥青路面零星维修</w:t>
            </w:r>
          </w:p>
        </w:tc>
        <w:tc>
          <w:tcPr>
            <w:tcW w:w="776"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243.91</w:t>
            </w:r>
          </w:p>
        </w:tc>
        <w:tc>
          <w:tcPr>
            <w:tcW w:w="86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243.91</w:t>
            </w:r>
          </w:p>
        </w:tc>
        <w:tc>
          <w:tcPr>
            <w:tcW w:w="99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243.91</w:t>
            </w:r>
          </w:p>
        </w:tc>
        <w:tc>
          <w:tcPr>
            <w:tcW w:w="733"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87</w:t>
            </w:r>
          </w:p>
        </w:tc>
        <w:tc>
          <w:tcPr>
            <w:tcW w:w="777"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lang w:val="en-US" w:eastAsia="zh-CN"/>
              </w:rPr>
              <w:t>良好</w:t>
            </w: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51" w:hRule="atLeast"/>
          <w:tblCellSpacing w:w="0" w:type="dxa"/>
          <w:jc w:val="center"/>
        </w:trPr>
        <w:tc>
          <w:tcPr>
            <w:tcW w:w="9680" w:type="dxa"/>
            <w:gridSpan w:val="9"/>
            <w:tcBorders>
              <w:left w:val="single" w:color="auto" w:sz="2" w:space="0"/>
              <w:bottom w:val="single" w:color="auto" w:sz="2" w:space="0"/>
              <w:right w:val="single" w:color="auto" w:sz="2" w:space="0"/>
            </w:tcBorders>
            <w:tcMar>
              <w:top w:w="15" w:type="dxa"/>
              <w:left w:w="15" w:type="dxa"/>
              <w:bottom w:w="15" w:type="dxa"/>
              <w:right w:w="15" w:type="dxa"/>
            </w:tcMar>
            <w:vAlign w:val="center"/>
          </w:tcPr>
          <w:p>
            <w:pPr>
              <w:spacing w:line="300" w:lineRule="exact"/>
              <w:rPr>
                <w:rFonts w:eastAsia="仿宋_GB2312"/>
                <w:sz w:val="24"/>
              </w:rPr>
            </w:pPr>
            <w:r>
              <w:rPr>
                <w:rFonts w:eastAsia="仿宋_GB2312"/>
                <w:sz w:val="24"/>
              </w:rPr>
              <w:t>二、部门（单位）整体支出绩效自评：</w:t>
            </w:r>
          </w:p>
          <w:p>
            <w:pPr>
              <w:spacing w:line="300" w:lineRule="exact"/>
              <w:rPr>
                <w:rFonts w:eastAsia="仿宋_GB2312"/>
                <w:sz w:val="24"/>
              </w:rPr>
            </w:pPr>
          </w:p>
          <w:p>
            <w:pPr>
              <w:spacing w:line="300" w:lineRule="exact"/>
              <w:ind w:firstLine="360" w:firstLineChars="150"/>
              <w:rPr>
                <w:rFonts w:eastAsia="仿宋_GB2312"/>
                <w:sz w:val="24"/>
              </w:rPr>
            </w:pPr>
            <w:r>
              <w:rPr>
                <w:rFonts w:eastAsia="仿宋_GB2312"/>
                <w:sz w:val="24"/>
              </w:rPr>
              <w:t>部门（单位）：    </w:t>
            </w:r>
            <w:r>
              <w:rPr>
                <w:rFonts w:hint="eastAsia" w:ascii="仿宋_GB2312" w:hAnsi="仿宋_GB2312" w:eastAsia="仿宋_GB2312" w:cs="仿宋_GB2312"/>
                <w:szCs w:val="21"/>
              </w:rPr>
              <w:t>城市管理和综合执法局</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 xml:space="preserve"> </w:t>
            </w:r>
            <w:r>
              <w:rPr>
                <w:rFonts w:eastAsia="仿宋_GB2312"/>
                <w:sz w:val="24"/>
              </w:rPr>
              <w:t xml:space="preserve">  自评分数：</w:t>
            </w:r>
            <w:r>
              <w:rPr>
                <w:rFonts w:hint="eastAsia" w:eastAsia="仿宋_GB2312"/>
                <w:sz w:val="24"/>
              </w:rPr>
              <w:t>86</w:t>
            </w:r>
            <w:r>
              <w:rPr>
                <w:rFonts w:eastAsia="仿宋_GB2312"/>
                <w:sz w:val="24"/>
              </w:rPr>
              <w:t xml:space="preserve">      </w:t>
            </w:r>
            <w:r>
              <w:rPr>
                <w:rFonts w:hint="eastAsia" w:eastAsia="仿宋_GB2312"/>
                <w:sz w:val="24"/>
              </w:rPr>
              <w:t xml:space="preserve"> </w:t>
            </w:r>
            <w:r>
              <w:rPr>
                <w:rFonts w:eastAsia="仿宋_GB2312"/>
                <w:sz w:val="24"/>
              </w:rPr>
              <w:t xml:space="preserve">    自评等级：</w:t>
            </w:r>
            <w:r>
              <w:rPr>
                <w:rFonts w:hint="eastAsia" w:eastAsia="仿宋_GB2312"/>
                <w:sz w:val="24"/>
              </w:rPr>
              <w:t>良好</w:t>
            </w:r>
          </w:p>
        </w:tc>
      </w:tr>
    </w:tbl>
    <w:p>
      <w:pPr>
        <w:spacing w:line="400" w:lineRule="exact"/>
        <w:jc w:val="left"/>
        <w:rPr>
          <w:rFonts w:eastAsia="仿宋_GB2312"/>
          <w:sz w:val="24"/>
        </w:rPr>
      </w:pPr>
      <w:r>
        <w:rPr>
          <w:rFonts w:eastAsia="仿宋_GB2312"/>
          <w:sz w:val="24"/>
        </w:rPr>
        <w:t>备注：评价等级划分如下</w:t>
      </w:r>
    </w:p>
    <w:p>
      <w:pPr>
        <w:spacing w:line="400" w:lineRule="exact"/>
        <w:jc w:val="left"/>
        <w:rPr>
          <w:rFonts w:eastAsia="仿宋_GB2312"/>
          <w:sz w:val="24"/>
        </w:rPr>
      </w:pPr>
      <w:r>
        <w:rPr>
          <w:rFonts w:eastAsia="仿宋_GB2312"/>
          <w:sz w:val="24"/>
        </w:rPr>
        <w:t>优秀  9</w:t>
      </w:r>
      <w:r>
        <w:rPr>
          <w:rFonts w:hint="eastAsia" w:eastAsia="仿宋_GB2312"/>
          <w:sz w:val="24"/>
        </w:rPr>
        <w:t>0</w:t>
      </w:r>
      <w:r>
        <w:rPr>
          <w:rFonts w:eastAsia="仿宋_GB2312"/>
          <w:sz w:val="24"/>
        </w:rPr>
        <w:t>分≤得分≤100分；良好  80分≤得分＜9</w:t>
      </w:r>
      <w:r>
        <w:rPr>
          <w:rFonts w:hint="eastAsia" w:eastAsia="仿宋_GB2312"/>
          <w:sz w:val="24"/>
        </w:rPr>
        <w:t>0</w:t>
      </w:r>
      <w:r>
        <w:rPr>
          <w:rFonts w:eastAsia="仿宋_GB2312"/>
          <w:sz w:val="24"/>
        </w:rPr>
        <w:t>分；</w:t>
      </w:r>
      <w:r>
        <w:rPr>
          <w:rFonts w:hint="eastAsia" w:eastAsia="仿宋_GB2312"/>
          <w:sz w:val="24"/>
        </w:rPr>
        <w:t>较差</w:t>
      </w:r>
      <w:r>
        <w:rPr>
          <w:rFonts w:eastAsia="仿宋_GB2312"/>
          <w:sz w:val="24"/>
        </w:rPr>
        <w:t xml:space="preserve"> 60分≤得分＜80分；差 </w:t>
      </w:r>
      <w:r>
        <w:rPr>
          <w:rFonts w:hint="eastAsia" w:eastAsia="仿宋_GB2312"/>
          <w:sz w:val="24"/>
        </w:rPr>
        <w:t xml:space="preserve">  </w:t>
      </w:r>
      <w:r>
        <w:rPr>
          <w:rFonts w:eastAsia="仿宋_GB2312"/>
          <w:sz w:val="24"/>
        </w:rPr>
        <w:t xml:space="preserve"> 得分＜60分</w:t>
      </w:r>
    </w:p>
    <w:sectPr>
      <w:pgSz w:w="11906" w:h="16838"/>
      <w:pgMar w:top="1440" w:right="1689" w:bottom="1440" w:left="168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jc w:val="center"/>
                  <w:rPr>
                    <w:rStyle w:val="10"/>
                  </w:rPr>
                </w:pPr>
                <w:r>
                  <w:rPr>
                    <w:rStyle w:val="10"/>
                  </w:rPr>
                  <w:fldChar w:fldCharType="begin"/>
                </w:r>
                <w:r>
                  <w:rPr>
                    <w:rStyle w:val="10"/>
                  </w:rPr>
                  <w:instrText xml:space="preserve">PAGE  </w:instrText>
                </w:r>
                <w:r>
                  <w:rPr>
                    <w:rStyle w:val="10"/>
                  </w:rPr>
                  <w:fldChar w:fldCharType="separate"/>
                </w:r>
                <w:r>
                  <w:rPr>
                    <w:rStyle w:val="10"/>
                  </w:rPr>
                  <w:t>47</w:t>
                </w:r>
                <w:r>
                  <w:rPr>
                    <w:rStyle w:val="10"/>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hZjhjMWVmZDQ4Zjg0YWIzMDVlYWQwOTc0YTM0NDAifQ=="/>
  </w:docVars>
  <w:rsids>
    <w:rsidRoot w:val="00B76EA6"/>
    <w:rsid w:val="00071232"/>
    <w:rsid w:val="00072761"/>
    <w:rsid w:val="00082D8C"/>
    <w:rsid w:val="00085FDA"/>
    <w:rsid w:val="00087765"/>
    <w:rsid w:val="000B74A1"/>
    <w:rsid w:val="000F62F6"/>
    <w:rsid w:val="00116218"/>
    <w:rsid w:val="00151AB6"/>
    <w:rsid w:val="00153EC7"/>
    <w:rsid w:val="001A685B"/>
    <w:rsid w:val="001C062E"/>
    <w:rsid w:val="001C6809"/>
    <w:rsid w:val="001C7D81"/>
    <w:rsid w:val="00220D1C"/>
    <w:rsid w:val="00227C9E"/>
    <w:rsid w:val="002440AF"/>
    <w:rsid w:val="00261615"/>
    <w:rsid w:val="002777C8"/>
    <w:rsid w:val="00287891"/>
    <w:rsid w:val="002A615C"/>
    <w:rsid w:val="002B4BFE"/>
    <w:rsid w:val="003008D4"/>
    <w:rsid w:val="00303D73"/>
    <w:rsid w:val="00343567"/>
    <w:rsid w:val="00346E02"/>
    <w:rsid w:val="00366C0A"/>
    <w:rsid w:val="0042596C"/>
    <w:rsid w:val="00426D87"/>
    <w:rsid w:val="004548A4"/>
    <w:rsid w:val="00454F73"/>
    <w:rsid w:val="00466FC4"/>
    <w:rsid w:val="004A4D23"/>
    <w:rsid w:val="004E2756"/>
    <w:rsid w:val="004E376E"/>
    <w:rsid w:val="004F21D2"/>
    <w:rsid w:val="004F599E"/>
    <w:rsid w:val="005028D9"/>
    <w:rsid w:val="00530F21"/>
    <w:rsid w:val="00534A0B"/>
    <w:rsid w:val="00540E1F"/>
    <w:rsid w:val="00561601"/>
    <w:rsid w:val="005E78F8"/>
    <w:rsid w:val="006216C1"/>
    <w:rsid w:val="006447DC"/>
    <w:rsid w:val="006B48F7"/>
    <w:rsid w:val="006B7340"/>
    <w:rsid w:val="006C1E49"/>
    <w:rsid w:val="006E6EFF"/>
    <w:rsid w:val="00700EA2"/>
    <w:rsid w:val="00762F07"/>
    <w:rsid w:val="00771BFA"/>
    <w:rsid w:val="0079640D"/>
    <w:rsid w:val="007B0039"/>
    <w:rsid w:val="007B74CF"/>
    <w:rsid w:val="007C6030"/>
    <w:rsid w:val="007F791A"/>
    <w:rsid w:val="00810482"/>
    <w:rsid w:val="0083682C"/>
    <w:rsid w:val="008421EC"/>
    <w:rsid w:val="008455BB"/>
    <w:rsid w:val="0085316D"/>
    <w:rsid w:val="0085344D"/>
    <w:rsid w:val="00853874"/>
    <w:rsid w:val="008627CA"/>
    <w:rsid w:val="00865824"/>
    <w:rsid w:val="008A18C2"/>
    <w:rsid w:val="008C7A48"/>
    <w:rsid w:val="008E1C64"/>
    <w:rsid w:val="009377E2"/>
    <w:rsid w:val="009429A6"/>
    <w:rsid w:val="00964273"/>
    <w:rsid w:val="00972BFB"/>
    <w:rsid w:val="00973F8D"/>
    <w:rsid w:val="009A7A12"/>
    <w:rsid w:val="00A358C8"/>
    <w:rsid w:val="00A50A7C"/>
    <w:rsid w:val="00A61ED1"/>
    <w:rsid w:val="00A753FA"/>
    <w:rsid w:val="00A824FC"/>
    <w:rsid w:val="00A93761"/>
    <w:rsid w:val="00B00C2D"/>
    <w:rsid w:val="00B16B57"/>
    <w:rsid w:val="00B27CE7"/>
    <w:rsid w:val="00B62BD3"/>
    <w:rsid w:val="00B67500"/>
    <w:rsid w:val="00B76EA6"/>
    <w:rsid w:val="00B833BE"/>
    <w:rsid w:val="00B94A3B"/>
    <w:rsid w:val="00BE1F96"/>
    <w:rsid w:val="00BE2129"/>
    <w:rsid w:val="00C24A74"/>
    <w:rsid w:val="00C31504"/>
    <w:rsid w:val="00C31999"/>
    <w:rsid w:val="00C40E71"/>
    <w:rsid w:val="00C55E2E"/>
    <w:rsid w:val="00CA3872"/>
    <w:rsid w:val="00CC15CB"/>
    <w:rsid w:val="00D0079E"/>
    <w:rsid w:val="00D124C5"/>
    <w:rsid w:val="00D23056"/>
    <w:rsid w:val="00D301FB"/>
    <w:rsid w:val="00D41182"/>
    <w:rsid w:val="00D840BE"/>
    <w:rsid w:val="00DA49D4"/>
    <w:rsid w:val="00DB7419"/>
    <w:rsid w:val="00DE3518"/>
    <w:rsid w:val="00DE633A"/>
    <w:rsid w:val="00E101A8"/>
    <w:rsid w:val="00E3790A"/>
    <w:rsid w:val="00E413AD"/>
    <w:rsid w:val="00E647FB"/>
    <w:rsid w:val="00E8655B"/>
    <w:rsid w:val="00E94418"/>
    <w:rsid w:val="00E97B8B"/>
    <w:rsid w:val="00EB073A"/>
    <w:rsid w:val="00EB7B52"/>
    <w:rsid w:val="00EF1D67"/>
    <w:rsid w:val="00F00ECC"/>
    <w:rsid w:val="00F01DC6"/>
    <w:rsid w:val="00F37467"/>
    <w:rsid w:val="00F45436"/>
    <w:rsid w:val="00FD1296"/>
    <w:rsid w:val="00FE06A7"/>
    <w:rsid w:val="08322FC0"/>
    <w:rsid w:val="1F463CEC"/>
    <w:rsid w:val="209E05F3"/>
    <w:rsid w:val="215326A4"/>
    <w:rsid w:val="228B7D11"/>
    <w:rsid w:val="23996B76"/>
    <w:rsid w:val="250F64F2"/>
    <w:rsid w:val="29316F93"/>
    <w:rsid w:val="296F1E2E"/>
    <w:rsid w:val="299D769A"/>
    <w:rsid w:val="2F756F0F"/>
    <w:rsid w:val="30E16D58"/>
    <w:rsid w:val="32160058"/>
    <w:rsid w:val="326571C3"/>
    <w:rsid w:val="374F52B2"/>
    <w:rsid w:val="3D377FE8"/>
    <w:rsid w:val="40700133"/>
    <w:rsid w:val="408F0F86"/>
    <w:rsid w:val="41DE284D"/>
    <w:rsid w:val="42E34DC3"/>
    <w:rsid w:val="439E6A72"/>
    <w:rsid w:val="4A506004"/>
    <w:rsid w:val="4BFE3E36"/>
    <w:rsid w:val="4D6E2A5C"/>
    <w:rsid w:val="51AF590F"/>
    <w:rsid w:val="51DC1903"/>
    <w:rsid w:val="52FB52AE"/>
    <w:rsid w:val="537C375A"/>
    <w:rsid w:val="545F5FDC"/>
    <w:rsid w:val="548E64A2"/>
    <w:rsid w:val="566070FF"/>
    <w:rsid w:val="5C1F7B6D"/>
    <w:rsid w:val="5F6339FE"/>
    <w:rsid w:val="60641C99"/>
    <w:rsid w:val="62DC1442"/>
    <w:rsid w:val="68F361A3"/>
    <w:rsid w:val="6B52582F"/>
    <w:rsid w:val="74151E00"/>
    <w:rsid w:val="74FF2112"/>
    <w:rsid w:val="75653BFE"/>
    <w:rsid w:val="7773308B"/>
    <w:rsid w:val="7AE13994"/>
    <w:rsid w:val="7C4A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uiPriority w:val="0"/>
    <w:pPr>
      <w:widowControl/>
      <w:spacing w:before="100" w:beforeAutospacing="1" w:after="100" w:afterAutospacing="1" w:line="240" w:lineRule="auto"/>
      <w:ind w:left="0"/>
      <w:jc w:val="left"/>
      <w:textAlignment w:val="auto"/>
    </w:pPr>
    <w:rPr>
      <w:rFonts w:ascii="宋体" w:hAnsi="宋体" w:cs="宋体"/>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customStyle="1" w:styleId="12">
    <w:name w:val="日期 Char"/>
    <w:basedOn w:val="8"/>
    <w:link w:val="2"/>
    <w:qFormat/>
    <w:uiPriority w:val="0"/>
  </w:style>
  <w:style w:type="paragraph" w:styleId="13">
    <w:name w:val="List Paragraph"/>
    <w:basedOn w:val="1"/>
    <w:qFormat/>
    <w:uiPriority w:val="99"/>
    <w:pPr>
      <w:spacing w:line="240" w:lineRule="auto"/>
      <w:ind w:left="0" w:firstLine="420" w:firstLineChars="200"/>
      <w:textAlignment w:val="auto"/>
    </w:pPr>
    <w:rPr>
      <w:kern w:val="2"/>
      <w:sz w:val="21"/>
      <w:szCs w:val="24"/>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36BD4-6012-4A02-9ED8-CD48CF5B98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22423</Words>
  <Characters>24225</Characters>
  <Lines>193</Lines>
  <Paragraphs>54</Paragraphs>
  <TotalTime>1</TotalTime>
  <ScaleCrop>false</ScaleCrop>
  <LinksUpToDate>false</LinksUpToDate>
  <CharactersWithSpaces>25476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2022-05-25T07:08:00Z</dcterms:created>
  <dc:creator>User</dc:creator>
  <cp:lastModifiedBy>白菜花</cp:lastModifiedBy>
  <cp:lastPrinted>2003-12-31T16:07:00Z</cp:lastPrinted>
  <dcterms:modified xsi:type="dcterms:W3CDTF">2023-07-13T09:27:06Z</dcterms:modified>
  <dc:title>新晃侗族自治县财政局</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0A5A49ABA8E44E5D8B9A66611A443629</vt:lpwstr>
  </property>
</Properties>
</file>