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60" w:firstLineChars="150"/>
        <w:rPr>
          <w:rFonts w:eastAsia="仿宋_GB2312"/>
          <w:sz w:val="32"/>
          <w:szCs w:val="32"/>
        </w:rPr>
      </w:pPr>
      <w:r>
        <w:rPr>
          <w:rFonts w:hint="eastAsia" w:ascii="仿宋_GB2312" w:hAnsi="仿宋_GB2312" w:eastAsia="仿宋_GB2312" w:cs="仿宋_GB2312"/>
          <w:sz w:val="24"/>
        </w:rPr>
        <w:t>附件1-1</w:t>
      </w:r>
    </w:p>
    <w:p>
      <w:pPr>
        <w:spacing w:line="480" w:lineRule="exact"/>
        <w:jc w:val="center"/>
        <w:rPr>
          <w:rFonts w:eastAsia="方正粗宋简体"/>
          <w:w w:val="85"/>
          <w:kern w:val="0"/>
          <w:sz w:val="44"/>
          <w:szCs w:val="44"/>
        </w:rPr>
      </w:pPr>
      <w:r>
        <w:rPr>
          <w:rFonts w:eastAsia="方正粗宋简体"/>
          <w:w w:val="85"/>
          <w:kern w:val="0"/>
          <w:sz w:val="44"/>
          <w:szCs w:val="44"/>
        </w:rPr>
        <w:t>2020</w:t>
      </w:r>
      <w:r>
        <w:rPr>
          <w:rFonts w:hAnsi="方正粗宋简体" w:eastAsia="方正粗宋简体"/>
          <w:w w:val="85"/>
          <w:kern w:val="0"/>
          <w:sz w:val="44"/>
          <w:szCs w:val="44"/>
        </w:rPr>
        <w:t>年度新晃侗族自治县财政支出项目绩效评分表</w:t>
      </w:r>
    </w:p>
    <w:p>
      <w:pPr>
        <w:spacing w:beforeLines="50" w:line="240" w:lineRule="exact"/>
        <w:ind w:firstLine="482"/>
        <w:jc w:val="center"/>
        <w:rPr>
          <w:rFonts w:eastAsia="仿宋_GB2312"/>
          <w:kern w:val="0"/>
          <w:szCs w:val="21"/>
        </w:rPr>
      </w:pPr>
      <w:r>
        <w:rPr>
          <w:kern w:val="0"/>
          <w:sz w:val="24"/>
        </w:rPr>
        <w:t xml:space="preserve">                                                  </w:t>
      </w:r>
      <w:r>
        <w:rPr>
          <w:rFonts w:eastAsia="仿宋_GB2312"/>
          <w:kern w:val="0"/>
          <w:szCs w:val="21"/>
        </w:rPr>
        <w:t>金额单位：万元</w:t>
      </w:r>
    </w:p>
    <w:tbl>
      <w:tblPr>
        <w:tblStyle w:val="9"/>
        <w:tblpPr w:leftFromText="180" w:rightFromText="180" w:vertAnchor="text" w:horzAnchor="page" w:tblpX="1195" w:tblpY="107"/>
        <w:tblOverlap w:val="never"/>
        <w:tblW w:w="967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2"/>
        <w:gridCol w:w="1356"/>
        <w:gridCol w:w="1307"/>
        <w:gridCol w:w="1339"/>
        <w:gridCol w:w="1666"/>
        <w:gridCol w:w="1084"/>
        <w:gridCol w:w="122"/>
        <w:gridCol w:w="758"/>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atLeast"/>
          <w:tblCellSpacing w:w="0" w:type="dxa"/>
        </w:trPr>
        <w:tc>
          <w:tcPr>
            <w:tcW w:w="1312"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项目单位</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名称</w:t>
            </w:r>
          </w:p>
        </w:tc>
        <w:tc>
          <w:tcPr>
            <w:tcW w:w="2663" w:type="dxa"/>
            <w:gridSpan w:val="2"/>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（盖章）</w:t>
            </w:r>
          </w:p>
        </w:tc>
        <w:tc>
          <w:tcPr>
            <w:tcW w:w="1339"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项目名称</w:t>
            </w:r>
          </w:p>
        </w:tc>
        <w:tc>
          <w:tcPr>
            <w:tcW w:w="4364" w:type="dxa"/>
            <w:gridSpan w:val="5"/>
            <w:tcBorders>
              <w:tl2br w:val="nil"/>
              <w:tr2bl w:val="nil"/>
            </w:tcBorders>
            <w:tcMar>
              <w:top w:w="0" w:type="dxa"/>
              <w:left w:w="105" w:type="dxa"/>
              <w:bottom w:w="0" w:type="dxa"/>
              <w:right w:w="105" w:type="dxa"/>
            </w:tcMar>
            <w:vAlign w:val="center"/>
          </w:tcPr>
          <w:p>
            <w:pPr>
              <w:jc w:val="center"/>
              <w:rPr>
                <w:rFonts w:ascii="宋体" w:hAnsi="宋体" w:cs="宋体"/>
                <w:sz w:val="24"/>
              </w:rPr>
            </w:pPr>
            <w:r>
              <w:rPr>
                <w:rFonts w:hint="eastAsia"/>
              </w:rPr>
              <w:t>新晃县一完小至污水处理厂管网改造工程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5" w:hRule="atLeast"/>
          <w:tblCellSpacing w:w="0" w:type="dxa"/>
        </w:trPr>
        <w:tc>
          <w:tcPr>
            <w:tcW w:w="1312"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责任部门</w:t>
            </w:r>
          </w:p>
        </w:tc>
        <w:tc>
          <w:tcPr>
            <w:tcW w:w="2663" w:type="dxa"/>
            <w:gridSpan w:val="2"/>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新晃县城市管理和综合执法局</w:t>
            </w:r>
          </w:p>
        </w:tc>
        <w:tc>
          <w:tcPr>
            <w:tcW w:w="1339"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项目负责人</w:t>
            </w:r>
          </w:p>
        </w:tc>
        <w:tc>
          <w:tcPr>
            <w:tcW w:w="1666"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姚志祥</w:t>
            </w:r>
          </w:p>
        </w:tc>
        <w:tc>
          <w:tcPr>
            <w:tcW w:w="1084"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联系</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电话</w:t>
            </w:r>
          </w:p>
        </w:tc>
        <w:tc>
          <w:tcPr>
            <w:tcW w:w="1614" w:type="dxa"/>
            <w:gridSpan w:val="3"/>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19118587311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5" w:hRule="atLeast"/>
          <w:tblCellSpacing w:w="0" w:type="dxa"/>
        </w:trPr>
        <w:tc>
          <w:tcPr>
            <w:tcW w:w="1312" w:type="dxa"/>
            <w:vMerge w:val="restart"/>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基本</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情况</w:t>
            </w:r>
          </w:p>
        </w:tc>
        <w:tc>
          <w:tcPr>
            <w:tcW w:w="1356"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上年</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结转</w:t>
            </w:r>
          </w:p>
        </w:tc>
        <w:tc>
          <w:tcPr>
            <w:tcW w:w="1307"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年初预算安排数</w:t>
            </w:r>
          </w:p>
        </w:tc>
        <w:tc>
          <w:tcPr>
            <w:tcW w:w="1339"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预算调整数</w:t>
            </w:r>
          </w:p>
        </w:tc>
        <w:tc>
          <w:tcPr>
            <w:tcW w:w="1666"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财政支付数</w:t>
            </w:r>
          </w:p>
        </w:tc>
        <w:tc>
          <w:tcPr>
            <w:tcW w:w="2698" w:type="dxa"/>
            <w:gridSpan w:val="4"/>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预算结余数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4" w:hRule="atLeast"/>
          <w:tblCellSpacing w:w="0" w:type="dxa"/>
        </w:trPr>
        <w:tc>
          <w:tcPr>
            <w:tcW w:w="1312" w:type="dxa"/>
            <w:vMerge w:val="continue"/>
            <w:tcBorders>
              <w:tl2br w:val="nil"/>
              <w:tr2bl w:val="nil"/>
            </w:tcBorders>
            <w:vAlign w:val="center"/>
          </w:tcPr>
          <w:p>
            <w:pPr>
              <w:spacing w:line="320" w:lineRule="exact"/>
              <w:jc w:val="center"/>
              <w:rPr>
                <w:rFonts w:ascii="仿宋_GB2312" w:hAnsi="仿宋_GB2312" w:eastAsia="仿宋_GB2312" w:cs="仿宋_GB2312"/>
                <w:kern w:val="0"/>
                <w:szCs w:val="21"/>
              </w:rPr>
            </w:pPr>
          </w:p>
        </w:tc>
        <w:tc>
          <w:tcPr>
            <w:tcW w:w="1356"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c>
          <w:tcPr>
            <w:tcW w:w="1307"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221.25</w:t>
            </w:r>
          </w:p>
        </w:tc>
        <w:tc>
          <w:tcPr>
            <w:tcW w:w="1339"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c>
          <w:tcPr>
            <w:tcW w:w="1666"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w:t>
            </w:r>
          </w:p>
        </w:tc>
        <w:tc>
          <w:tcPr>
            <w:tcW w:w="2698" w:type="dxa"/>
            <w:gridSpan w:val="4"/>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8" w:hRule="atLeast"/>
          <w:tblCellSpacing w:w="0" w:type="dxa"/>
        </w:trPr>
        <w:tc>
          <w:tcPr>
            <w:tcW w:w="1312"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评价内容</w:t>
            </w:r>
          </w:p>
        </w:tc>
        <w:tc>
          <w:tcPr>
            <w:tcW w:w="1356"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分值</w:t>
            </w:r>
          </w:p>
        </w:tc>
        <w:tc>
          <w:tcPr>
            <w:tcW w:w="5518" w:type="dxa"/>
            <w:gridSpan w:val="5"/>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评价简述</w:t>
            </w:r>
          </w:p>
        </w:tc>
        <w:tc>
          <w:tcPr>
            <w:tcW w:w="758"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自评得分</w:t>
            </w:r>
          </w:p>
        </w:tc>
        <w:tc>
          <w:tcPr>
            <w:tcW w:w="734"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复评得分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1" w:hRule="atLeast"/>
          <w:tblCellSpacing w:w="0" w:type="dxa"/>
        </w:trPr>
        <w:tc>
          <w:tcPr>
            <w:tcW w:w="1312" w:type="dxa"/>
            <w:tcBorders>
              <w:tl2br w:val="nil"/>
              <w:tr2bl w:val="nil"/>
            </w:tcBorders>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项目预算及预期绩效目标编制水平</w:t>
            </w:r>
          </w:p>
        </w:tc>
        <w:tc>
          <w:tcPr>
            <w:tcW w:w="1356" w:type="dxa"/>
            <w:tcBorders>
              <w:tl2br w:val="nil"/>
              <w:tr2bl w:val="nil"/>
            </w:tcBorders>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5518" w:type="dxa"/>
            <w:gridSpan w:val="5"/>
            <w:tcBorders>
              <w:tl2br w:val="nil"/>
              <w:tr2bl w:val="nil"/>
            </w:tcBorders>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例如：本项目预算（即投入目标）编制科学、规范、合理，预期绩效目标申报完整，产出、效果类关键性指标清晰、明确、量化，投入与项目产出、效果目标匹配。</w:t>
            </w:r>
          </w:p>
        </w:tc>
        <w:tc>
          <w:tcPr>
            <w:tcW w:w="758"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734"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7" w:hRule="atLeast"/>
          <w:tblCellSpacing w:w="0" w:type="dxa"/>
        </w:trPr>
        <w:tc>
          <w:tcPr>
            <w:tcW w:w="1312" w:type="dxa"/>
            <w:tcBorders>
              <w:tl2br w:val="nil"/>
              <w:tr2bl w:val="nil"/>
            </w:tcBorders>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预算执行率</w:t>
            </w:r>
          </w:p>
        </w:tc>
        <w:tc>
          <w:tcPr>
            <w:tcW w:w="1356" w:type="dxa"/>
            <w:tcBorders>
              <w:tl2br w:val="nil"/>
              <w:tr2bl w:val="nil"/>
            </w:tcBorders>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5518" w:type="dxa"/>
            <w:gridSpan w:val="5"/>
            <w:tcBorders>
              <w:tl2br w:val="nil"/>
              <w:tr2bl w:val="nil"/>
            </w:tcBorders>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例如：该项目预算执行率为*%。根据实际情况评分</w:t>
            </w:r>
          </w:p>
        </w:tc>
        <w:tc>
          <w:tcPr>
            <w:tcW w:w="758" w:type="dxa"/>
            <w:tcBorders>
              <w:tl2br w:val="nil"/>
              <w:tr2bl w:val="nil"/>
            </w:tcBorders>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0</w:t>
            </w:r>
          </w:p>
        </w:tc>
        <w:tc>
          <w:tcPr>
            <w:tcW w:w="734"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5" w:hRule="atLeast"/>
          <w:tblCellSpacing w:w="0" w:type="dxa"/>
        </w:trPr>
        <w:tc>
          <w:tcPr>
            <w:tcW w:w="1312" w:type="dxa"/>
            <w:tcBorders>
              <w:tl2br w:val="nil"/>
              <w:tr2bl w:val="nil"/>
            </w:tcBorders>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项目组织管理水平</w:t>
            </w:r>
          </w:p>
        </w:tc>
        <w:tc>
          <w:tcPr>
            <w:tcW w:w="1356" w:type="dxa"/>
            <w:tcBorders>
              <w:tl2br w:val="nil"/>
              <w:tr2bl w:val="nil"/>
            </w:tcBorders>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5518" w:type="dxa"/>
            <w:gridSpan w:val="5"/>
            <w:tcBorders>
              <w:tl2br w:val="nil"/>
              <w:tr2bl w:val="nil"/>
            </w:tcBorders>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例如：本项目建立了**等项目管理制度，并严格按相关制度执行。</w:t>
            </w:r>
          </w:p>
        </w:tc>
        <w:tc>
          <w:tcPr>
            <w:tcW w:w="758"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734"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8" w:hRule="atLeast"/>
          <w:tblCellSpacing w:w="0" w:type="dxa"/>
        </w:trPr>
        <w:tc>
          <w:tcPr>
            <w:tcW w:w="1312" w:type="dxa"/>
            <w:tcBorders>
              <w:tl2br w:val="nil"/>
              <w:tr2bl w:val="nil"/>
            </w:tcBorders>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资金支出</w:t>
            </w:r>
          </w:p>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合理合规</w:t>
            </w:r>
          </w:p>
        </w:tc>
        <w:tc>
          <w:tcPr>
            <w:tcW w:w="1356" w:type="dxa"/>
            <w:tcBorders>
              <w:tl2br w:val="nil"/>
              <w:tr2bl w:val="nil"/>
            </w:tcBorders>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5518" w:type="dxa"/>
            <w:gridSpan w:val="5"/>
            <w:tcBorders>
              <w:tl2br w:val="nil"/>
              <w:tr2bl w:val="nil"/>
            </w:tcBorders>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例如：本年项目支出符合国家相关法律法规、财务管理制度等规定，且均在预算范围内，无与本项目预算不相符或无关的资金支出。</w:t>
            </w:r>
          </w:p>
        </w:tc>
        <w:tc>
          <w:tcPr>
            <w:tcW w:w="758"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734"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7" w:hRule="atLeast"/>
          <w:tblCellSpacing w:w="0" w:type="dxa"/>
        </w:trPr>
        <w:tc>
          <w:tcPr>
            <w:tcW w:w="1312" w:type="dxa"/>
            <w:tcBorders>
              <w:tl2br w:val="nil"/>
              <w:tr2bl w:val="nil"/>
            </w:tcBorders>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项目产出</w:t>
            </w:r>
          </w:p>
        </w:tc>
        <w:tc>
          <w:tcPr>
            <w:tcW w:w="1356" w:type="dxa"/>
            <w:tcBorders>
              <w:tl2br w:val="nil"/>
              <w:tr2bl w:val="nil"/>
            </w:tcBorders>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w:t>
            </w:r>
          </w:p>
        </w:tc>
        <w:tc>
          <w:tcPr>
            <w:tcW w:w="5518" w:type="dxa"/>
            <w:gridSpan w:val="5"/>
            <w:tcBorders>
              <w:tl2br w:val="nil"/>
              <w:tr2bl w:val="nil"/>
            </w:tcBorders>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对照项目产出目标，按产出数量、产出质量、产出时效以及成本控制等方面进行自我评价。</w:t>
            </w:r>
          </w:p>
        </w:tc>
        <w:tc>
          <w:tcPr>
            <w:tcW w:w="758"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w:t>
            </w:r>
          </w:p>
        </w:tc>
        <w:tc>
          <w:tcPr>
            <w:tcW w:w="734"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8" w:hRule="atLeast"/>
          <w:tblCellSpacing w:w="0" w:type="dxa"/>
        </w:trPr>
        <w:tc>
          <w:tcPr>
            <w:tcW w:w="1312" w:type="dxa"/>
            <w:tcBorders>
              <w:tl2br w:val="nil"/>
              <w:tr2bl w:val="nil"/>
            </w:tcBorders>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项目效益（效果）</w:t>
            </w:r>
          </w:p>
        </w:tc>
        <w:tc>
          <w:tcPr>
            <w:tcW w:w="1356" w:type="dxa"/>
            <w:tcBorders>
              <w:tl2br w:val="nil"/>
              <w:tr2bl w:val="nil"/>
            </w:tcBorders>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5518" w:type="dxa"/>
            <w:gridSpan w:val="5"/>
            <w:tcBorders>
              <w:tl2br w:val="nil"/>
              <w:tr2bl w:val="nil"/>
            </w:tcBorders>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对照项目效益目标，可从经济效益、社会效益、环境效益和可持续影响及服务对象满意度等5个具体绩效指标进行评价。</w:t>
            </w:r>
          </w:p>
        </w:tc>
        <w:tc>
          <w:tcPr>
            <w:tcW w:w="758"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734"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1" w:hRule="atLeast"/>
          <w:tblCellSpacing w:w="0" w:type="dxa"/>
        </w:trPr>
        <w:tc>
          <w:tcPr>
            <w:tcW w:w="1312" w:type="dxa"/>
            <w:tcBorders>
              <w:tl2br w:val="nil"/>
              <w:tr2bl w:val="nil"/>
            </w:tcBorders>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小计</w:t>
            </w:r>
          </w:p>
        </w:tc>
        <w:tc>
          <w:tcPr>
            <w:tcW w:w="1356" w:type="dxa"/>
            <w:tcBorders>
              <w:tl2br w:val="nil"/>
              <w:tr2bl w:val="nil"/>
            </w:tcBorders>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5518" w:type="dxa"/>
            <w:gridSpan w:val="5"/>
            <w:tcBorders>
              <w:tl2br w:val="nil"/>
              <w:tr2bl w:val="nil"/>
            </w:tcBorders>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p>
        </w:tc>
        <w:tc>
          <w:tcPr>
            <w:tcW w:w="758"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88</w:t>
            </w:r>
          </w:p>
        </w:tc>
        <w:tc>
          <w:tcPr>
            <w:tcW w:w="734"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5" w:hRule="atLeast"/>
          <w:tblCellSpacing w:w="0" w:type="dxa"/>
        </w:trPr>
        <w:tc>
          <w:tcPr>
            <w:tcW w:w="1312" w:type="dxa"/>
            <w:tcBorders>
              <w:tl2br w:val="nil"/>
              <w:tr2bl w:val="nil"/>
            </w:tcBorders>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负向指标</w:t>
            </w:r>
          </w:p>
        </w:tc>
        <w:tc>
          <w:tcPr>
            <w:tcW w:w="1356" w:type="dxa"/>
            <w:tcBorders>
              <w:tl2br w:val="nil"/>
              <w:tr2bl w:val="nil"/>
            </w:tcBorders>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p>
        </w:tc>
        <w:tc>
          <w:tcPr>
            <w:tcW w:w="5518" w:type="dxa"/>
            <w:gridSpan w:val="5"/>
            <w:tcBorders>
              <w:tl2br w:val="nil"/>
              <w:tr2bl w:val="nil"/>
            </w:tcBorders>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主要评价自评得分与复评得分差异率。差异率≤10%，不扣分；10%&lt;差异率≤15%，扣2分；15%&lt;差异率≤20%，扣4分；差异率&gt;20%，扣6分。</w:t>
            </w:r>
          </w:p>
        </w:tc>
        <w:tc>
          <w:tcPr>
            <w:tcW w:w="758"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c>
          <w:tcPr>
            <w:tcW w:w="734"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4" w:hRule="atLeast"/>
          <w:tblCellSpacing w:w="0" w:type="dxa"/>
        </w:trPr>
        <w:tc>
          <w:tcPr>
            <w:tcW w:w="1312"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1356"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5518" w:type="dxa"/>
            <w:gridSpan w:val="5"/>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c>
          <w:tcPr>
            <w:tcW w:w="758" w:type="dxa"/>
            <w:tcBorders>
              <w:tl2br w:val="nil"/>
              <w:tr2bl w:val="nil"/>
            </w:tcBorders>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8</w:t>
            </w:r>
            <w:r>
              <w:rPr>
                <w:rFonts w:hint="eastAsia" w:ascii="仿宋_GB2312" w:hAnsi="仿宋_GB2312" w:eastAsia="仿宋_GB2312" w:cs="仿宋_GB2312"/>
                <w:kern w:val="0"/>
                <w:szCs w:val="21"/>
                <w:lang w:val="en-US" w:eastAsia="zh-CN"/>
              </w:rPr>
              <w:t>5</w:t>
            </w:r>
          </w:p>
        </w:tc>
        <w:tc>
          <w:tcPr>
            <w:tcW w:w="734"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tblCellSpacing w:w="0" w:type="dxa"/>
        </w:trPr>
        <w:tc>
          <w:tcPr>
            <w:tcW w:w="1312"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评价结果</w:t>
            </w:r>
          </w:p>
        </w:tc>
        <w:tc>
          <w:tcPr>
            <w:tcW w:w="1356" w:type="dxa"/>
            <w:tcBorders>
              <w:tl2br w:val="nil"/>
              <w:tr2bl w:val="nil"/>
            </w:tcBorders>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c>
          <w:tcPr>
            <w:tcW w:w="7010" w:type="dxa"/>
            <w:gridSpan w:val="7"/>
            <w:tcBorders>
              <w:tl2br w:val="nil"/>
              <w:tr2bl w:val="nil"/>
            </w:tcBorders>
            <w:tcMar>
              <w:top w:w="0" w:type="dxa"/>
              <w:left w:w="105" w:type="dxa"/>
              <w:bottom w:w="0" w:type="dxa"/>
              <w:right w:w="105" w:type="dxa"/>
            </w:tcMar>
            <w:vAlign w:val="center"/>
          </w:tcPr>
          <w:p>
            <w:pPr>
              <w:spacing w:line="32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□优秀  9</w:t>
            </w:r>
            <w:r>
              <w:rPr>
                <w:rFonts w:ascii="仿宋_GB2312" w:hAnsi="仿宋_GB2312" w:eastAsia="仿宋_GB2312" w:cs="仿宋_GB2312"/>
                <w:kern w:val="0"/>
                <w:szCs w:val="21"/>
              </w:rPr>
              <w:t>5</w:t>
            </w:r>
            <w:r>
              <w:rPr>
                <w:rFonts w:hint="eastAsia" w:ascii="仿宋_GB2312" w:hAnsi="仿宋_GB2312" w:eastAsia="仿宋_GB2312" w:cs="仿宋_GB2312"/>
                <w:kern w:val="0"/>
                <w:szCs w:val="21"/>
              </w:rPr>
              <w:t xml:space="preserve">分≤得分≤100分； □良好  </w:t>
            </w:r>
            <w:r>
              <w:rPr>
                <w:rFonts w:ascii="仿宋_GB2312" w:hAnsi="仿宋_GB2312" w:eastAsia="仿宋_GB2312" w:cs="仿宋_GB2312"/>
                <w:kern w:val="0"/>
                <w:szCs w:val="21"/>
              </w:rPr>
              <w:t>80</w:t>
            </w:r>
            <w:r>
              <w:rPr>
                <w:rFonts w:hint="eastAsia" w:ascii="仿宋_GB2312" w:hAnsi="仿宋_GB2312" w:eastAsia="仿宋_GB2312" w:cs="仿宋_GB2312"/>
                <w:kern w:val="0"/>
                <w:szCs w:val="21"/>
              </w:rPr>
              <w:t>分≤得分＜9</w:t>
            </w:r>
            <w:r>
              <w:rPr>
                <w:rFonts w:ascii="仿宋_GB2312" w:hAnsi="仿宋_GB2312" w:eastAsia="仿宋_GB2312" w:cs="仿宋_GB2312"/>
                <w:kern w:val="0"/>
                <w:szCs w:val="21"/>
              </w:rPr>
              <w:t>5</w:t>
            </w:r>
            <w:r>
              <w:rPr>
                <w:rFonts w:hint="eastAsia" w:ascii="仿宋_GB2312" w:hAnsi="仿宋_GB2312" w:eastAsia="仿宋_GB2312" w:cs="仿宋_GB2312"/>
                <w:kern w:val="0"/>
                <w:szCs w:val="21"/>
              </w:rPr>
              <w:t>分；□一般  60分≤得分＜</w:t>
            </w:r>
            <w:r>
              <w:rPr>
                <w:rFonts w:ascii="仿宋_GB2312" w:hAnsi="仿宋_GB2312" w:eastAsia="仿宋_GB2312" w:cs="仿宋_GB2312"/>
                <w:kern w:val="0"/>
                <w:szCs w:val="21"/>
              </w:rPr>
              <w:t>80</w:t>
            </w:r>
            <w:r>
              <w:rPr>
                <w:rFonts w:hint="eastAsia" w:ascii="仿宋_GB2312" w:hAnsi="仿宋_GB2312" w:eastAsia="仿宋_GB2312" w:cs="仿宋_GB2312"/>
                <w:kern w:val="0"/>
                <w:szCs w:val="21"/>
              </w:rPr>
              <w:t>分；  □较差  得分＜60分</w:t>
            </w:r>
          </w:p>
        </w:tc>
      </w:tr>
    </w:tbl>
    <w:p>
      <w:pPr>
        <w:spacing w:line="320" w:lineRule="exact"/>
        <w:rPr>
          <w:szCs w:val="21"/>
        </w:rPr>
      </w:pPr>
      <w:r>
        <w:rPr>
          <w:rFonts w:hAnsi="宋体"/>
          <w:szCs w:val="21"/>
        </w:rPr>
        <w:t>单位负责人（签字）：</w:t>
      </w:r>
      <w:r>
        <w:rPr>
          <w:rFonts w:hint="eastAsia" w:hAnsi="宋体"/>
          <w:szCs w:val="21"/>
        </w:rPr>
        <w:t>黄超</w:t>
      </w:r>
      <w:r>
        <w:rPr>
          <w:szCs w:val="21"/>
        </w:rPr>
        <w:t xml:space="preserve">                           </w:t>
      </w:r>
      <w:r>
        <w:rPr>
          <w:rFonts w:hAnsi="宋体"/>
          <w:szCs w:val="21"/>
        </w:rPr>
        <w:t>项目负责人（签字）：</w:t>
      </w:r>
      <w:r>
        <w:rPr>
          <w:rFonts w:hint="eastAsia" w:hAnsi="宋体"/>
          <w:szCs w:val="21"/>
        </w:rPr>
        <w:t>姚志祥</w:t>
      </w:r>
      <w:r>
        <w:rPr>
          <w:szCs w:val="21"/>
        </w:rPr>
        <w:t xml:space="preserve">   </w:t>
      </w:r>
    </w:p>
    <w:p>
      <w:pPr>
        <w:spacing w:line="320" w:lineRule="exact"/>
        <w:rPr>
          <w:szCs w:val="21"/>
        </w:rPr>
      </w:pPr>
      <w:r>
        <w:rPr>
          <w:rFonts w:hAnsi="宋体"/>
          <w:szCs w:val="21"/>
        </w:rPr>
        <w:t>填表日期：</w:t>
      </w:r>
      <w:r>
        <w:rPr>
          <w:szCs w:val="21"/>
        </w:rPr>
        <w:t>  </w:t>
      </w:r>
      <w:r>
        <w:rPr>
          <w:rFonts w:hint="eastAsia"/>
          <w:szCs w:val="21"/>
        </w:rPr>
        <w:t>2021</w:t>
      </w:r>
      <w:r>
        <w:rPr>
          <w:szCs w:val="21"/>
        </w:rPr>
        <w:t xml:space="preserve">  </w:t>
      </w:r>
      <w:r>
        <w:rPr>
          <w:rFonts w:hAnsi="宋体"/>
          <w:szCs w:val="21"/>
        </w:rPr>
        <w:t>年</w:t>
      </w:r>
      <w:r>
        <w:rPr>
          <w:szCs w:val="21"/>
        </w:rPr>
        <w:t>  </w:t>
      </w:r>
      <w:r>
        <w:rPr>
          <w:rFonts w:hint="eastAsia"/>
          <w:szCs w:val="21"/>
        </w:rPr>
        <w:t>9</w:t>
      </w:r>
      <w:r>
        <w:rPr>
          <w:szCs w:val="21"/>
        </w:rPr>
        <w:t xml:space="preserve">  </w:t>
      </w:r>
      <w:r>
        <w:rPr>
          <w:rFonts w:hAnsi="宋体"/>
          <w:szCs w:val="21"/>
        </w:rPr>
        <w:t>月</w:t>
      </w:r>
      <w:r>
        <w:rPr>
          <w:szCs w:val="21"/>
        </w:rPr>
        <w:t>  </w:t>
      </w:r>
      <w:r>
        <w:rPr>
          <w:rFonts w:hint="eastAsia"/>
          <w:szCs w:val="21"/>
        </w:rPr>
        <w:t>6</w:t>
      </w:r>
      <w:r>
        <w:rPr>
          <w:szCs w:val="21"/>
        </w:rPr>
        <w:t xml:space="preserve">  </w:t>
      </w:r>
      <w:r>
        <w:rPr>
          <w:rFonts w:hAnsi="宋体"/>
          <w:szCs w:val="21"/>
        </w:rPr>
        <w:t>日</w:t>
      </w:r>
    </w:p>
    <w:p>
      <w:pPr>
        <w:spacing w:before="240" w:line="340" w:lineRule="exact"/>
        <w:jc w:val="left"/>
        <w:rPr>
          <w:kern w:val="0"/>
          <w:sz w:val="24"/>
        </w:rPr>
      </w:pPr>
      <w:r>
        <w:rPr>
          <w:rFonts w:hint="eastAsia" w:ascii="仿宋_GB2312" w:hAnsi="仿宋_GB2312" w:eastAsia="仿宋_GB2312" w:cs="仿宋_GB2312"/>
          <w:sz w:val="24"/>
        </w:rPr>
        <w:t>附件1-3 </w:t>
      </w:r>
    </w:p>
    <w:p>
      <w:pPr>
        <w:spacing w:line="600" w:lineRule="exact"/>
        <w:jc w:val="center"/>
        <w:rPr>
          <w:rFonts w:asciiTheme="minorEastAsia" w:hAnsiTheme="minorEastAsia" w:eastAsiaTheme="minorEastAsia"/>
          <w:b/>
          <w:w w:val="85"/>
          <w:kern w:val="0"/>
          <w:sz w:val="44"/>
          <w:szCs w:val="44"/>
        </w:rPr>
      </w:pPr>
      <w:r>
        <w:rPr>
          <w:rFonts w:eastAsia="方正粗宋简体"/>
          <w:w w:val="85"/>
          <w:kern w:val="0"/>
          <w:sz w:val="44"/>
          <w:szCs w:val="44"/>
        </w:rPr>
        <w:t> </w:t>
      </w:r>
      <w:r>
        <w:rPr>
          <w:rFonts w:asciiTheme="minorEastAsia" w:hAnsiTheme="minorEastAsia" w:eastAsiaTheme="minorEastAsia"/>
          <w:b/>
          <w:w w:val="85"/>
          <w:kern w:val="0"/>
          <w:sz w:val="44"/>
          <w:szCs w:val="44"/>
        </w:rPr>
        <w:t>2020年度新晃侗族自治县</w:t>
      </w:r>
      <w:r>
        <w:rPr>
          <w:rStyle w:val="6"/>
          <w:rFonts w:hint="eastAsia" w:asciiTheme="minorEastAsia" w:hAnsiTheme="minorEastAsia" w:eastAsiaTheme="minorEastAsia"/>
          <w:spacing w:val="-20"/>
          <w:sz w:val="44"/>
          <w:szCs w:val="44"/>
        </w:rPr>
        <w:t>城市管理和综合执法局</w:t>
      </w:r>
      <w:r>
        <w:rPr>
          <w:rFonts w:asciiTheme="minorEastAsia" w:hAnsiTheme="minorEastAsia" w:eastAsiaTheme="minorEastAsia"/>
          <w:b/>
          <w:w w:val="85"/>
          <w:kern w:val="0"/>
          <w:sz w:val="44"/>
          <w:szCs w:val="44"/>
        </w:rPr>
        <w:t>财政支出项目</w:t>
      </w:r>
      <w:r>
        <w:rPr>
          <w:rFonts w:hint="eastAsia" w:asciiTheme="minorEastAsia" w:hAnsiTheme="minorEastAsia" w:eastAsiaTheme="minorEastAsia"/>
          <w:b/>
          <w:w w:val="85"/>
          <w:kern w:val="0"/>
          <w:sz w:val="44"/>
          <w:szCs w:val="44"/>
        </w:rPr>
        <w:t>绩效</w:t>
      </w:r>
      <w:r>
        <w:rPr>
          <w:rFonts w:asciiTheme="minorEastAsia" w:hAnsiTheme="minorEastAsia" w:eastAsiaTheme="minorEastAsia"/>
          <w:b/>
          <w:w w:val="85"/>
          <w:kern w:val="0"/>
          <w:sz w:val="44"/>
          <w:szCs w:val="44"/>
        </w:rPr>
        <w:t>自评报告</w:t>
      </w:r>
    </w:p>
    <w:p>
      <w:pPr>
        <w:pStyle w:val="4"/>
        <w:widowControl w:val="0"/>
        <w:spacing w:before="0" w:beforeAutospacing="0" w:after="0" w:afterAutospacing="0" w:line="600" w:lineRule="exact"/>
        <w:ind w:firstLine="551" w:firstLineChars="196"/>
        <w:rPr>
          <w:rFonts w:ascii="Times New Roman" w:hAnsi="Times New Roman" w:eastAsia="仿宋_GB2312" w:cs="Times New Roman"/>
          <w:b/>
          <w:sz w:val="28"/>
          <w:szCs w:val="28"/>
        </w:rPr>
      </w:pPr>
      <w:r>
        <w:rPr>
          <w:rFonts w:ascii="Times New Roman" w:hAnsi="Times New Roman" w:eastAsia="仿宋_GB2312" w:cs="Times New Roman"/>
          <w:b/>
          <w:sz w:val="28"/>
          <w:szCs w:val="28"/>
        </w:rPr>
        <w:t>一、项目概况</w:t>
      </w:r>
    </w:p>
    <w:p>
      <w:pPr>
        <w:pStyle w:val="4"/>
        <w:widowControl w:val="0"/>
        <w:spacing w:before="0" w:beforeAutospacing="0" w:after="0" w:afterAutospacing="0" w:line="520" w:lineRule="exact"/>
        <w:ind w:firstLine="480"/>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（一）项目基本情况：</w:t>
      </w:r>
      <w:r>
        <w:rPr>
          <w:rFonts w:hint="eastAsia" w:ascii="Times New Roman" w:hAnsi="Times New Roman" w:eastAsia="仿宋_GB2312" w:cs="Times New Roman"/>
          <w:sz w:val="28"/>
          <w:szCs w:val="28"/>
          <w:lang w:val="en-US" w:eastAsia="zh-CN"/>
        </w:rPr>
        <w:t>新晃县一完小至污水处理厂管网改造工程，立项批准文号：晃发改招标核字【2020】020号，内容：下水道挖淤泥流沙、余方弃置、防水堵漏、管道闭水实验、排水、封堵等。</w:t>
      </w:r>
    </w:p>
    <w:p>
      <w:pPr>
        <w:pStyle w:val="4"/>
        <w:widowControl w:val="0"/>
        <w:spacing w:before="0" w:beforeAutospacing="0" w:after="0" w:afterAutospacing="0" w:line="520" w:lineRule="exact"/>
        <w:ind w:firstLine="480"/>
        <w:rPr>
          <w:rFonts w:ascii="Times New Roman" w:hAnsi="Times New Roman" w:eastAsia="仿宋_GB2312" w:cs="Times New Roman"/>
          <w:b/>
          <w:sz w:val="28"/>
          <w:szCs w:val="28"/>
        </w:rPr>
      </w:pPr>
      <w:r>
        <w:rPr>
          <w:rFonts w:ascii="Times New Roman" w:hAnsi="Times New Roman" w:eastAsia="仿宋_GB2312" w:cs="Times New Roman"/>
          <w:b/>
          <w:sz w:val="28"/>
          <w:szCs w:val="28"/>
        </w:rPr>
        <w:t>二、项目决策及资金使用管理情况</w:t>
      </w:r>
    </w:p>
    <w:p>
      <w:pPr>
        <w:pStyle w:val="4"/>
        <w:widowControl w:val="0"/>
        <w:spacing w:before="0" w:beforeAutospacing="0" w:after="0" w:afterAutospacing="0" w:line="520" w:lineRule="exact"/>
        <w:ind w:firstLine="480"/>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（一）项目决策情况：</w:t>
      </w:r>
      <w:r>
        <w:rPr>
          <w:rFonts w:hint="eastAsia" w:ascii="Times New Roman" w:hAnsi="Times New Roman" w:eastAsia="仿宋_GB2312" w:cs="Times New Roman"/>
          <w:sz w:val="28"/>
          <w:szCs w:val="28"/>
          <w:lang w:val="en-US" w:eastAsia="zh-CN"/>
        </w:rPr>
        <w:t>整个项目合同价格为：2212458.23元。项目主管部门筹集工程建设资金并按照合同约定的期限和支付方式支付合同价款。严格按照法律规定履行项目审批手续，并全权负责施工现场的技术、质量、安全、进度、变更、计量、资料收集及办理工程建设报建等。</w:t>
      </w:r>
    </w:p>
    <w:p>
      <w:pPr>
        <w:pStyle w:val="4"/>
        <w:widowControl w:val="0"/>
        <w:spacing w:before="0" w:beforeAutospacing="0" w:after="0" w:afterAutospacing="0" w:line="520" w:lineRule="exact"/>
        <w:ind w:firstLine="480"/>
        <w:rPr>
          <w:rFonts w:ascii="Times New Roman" w:hAnsi="Times New Roman" w:eastAsia="仿宋_GB2312" w:cs="Times New Roman"/>
          <w:sz w:val="28"/>
          <w:szCs w:val="28"/>
        </w:rPr>
      </w:pPr>
      <w:r>
        <w:rPr>
          <w:rFonts w:ascii="Times New Roman" w:hAnsi="Times New Roman" w:eastAsia="仿宋_GB2312" w:cs="Times New Roman"/>
          <w:sz w:val="28"/>
          <w:szCs w:val="28"/>
        </w:rPr>
        <w:t>（二）项目预算执行情况：</w:t>
      </w:r>
      <w:r>
        <w:rPr>
          <w:rFonts w:hint="eastAsia" w:ascii="Times New Roman" w:hAnsi="Times New Roman" w:eastAsia="仿宋_GB2312" w:cs="Times New Roman"/>
          <w:sz w:val="28"/>
          <w:szCs w:val="28"/>
          <w:lang w:val="en-US" w:eastAsia="zh-CN"/>
        </w:rPr>
        <w:t>2020年</w:t>
      </w:r>
      <w:r>
        <w:rPr>
          <w:rFonts w:ascii="Times New Roman" w:hAnsi="Times New Roman" w:eastAsia="仿宋_GB2312" w:cs="Times New Roman"/>
          <w:sz w:val="28"/>
          <w:szCs w:val="28"/>
        </w:rPr>
        <w:t>预算执行率</w:t>
      </w:r>
      <w:r>
        <w:rPr>
          <w:rFonts w:hint="eastAsia" w:ascii="Times New Roman" w:hAnsi="Times New Roman" w:eastAsia="仿宋_GB2312" w:cs="Times New Roman"/>
          <w:sz w:val="28"/>
          <w:szCs w:val="28"/>
          <w:lang w:val="en-US" w:eastAsia="zh-CN"/>
        </w:rPr>
        <w:t>为0（项目已经施工完毕，已于2020农历年底支付工程款60万元，执行率约为27%，剩余资金尚未执行到位)</w:t>
      </w:r>
      <w:r>
        <w:rPr>
          <w:rFonts w:ascii="Times New Roman" w:hAnsi="Times New Roman" w:eastAsia="仿宋_GB2312" w:cs="Times New Roman"/>
          <w:sz w:val="28"/>
          <w:szCs w:val="28"/>
        </w:rPr>
        <w:t>；</w:t>
      </w:r>
    </w:p>
    <w:p>
      <w:pPr>
        <w:pStyle w:val="4"/>
        <w:widowControl w:val="0"/>
        <w:spacing w:before="0" w:beforeAutospacing="0" w:after="0" w:afterAutospacing="0" w:line="520" w:lineRule="exact"/>
        <w:ind w:firstLine="480"/>
        <w:rPr>
          <w:rFonts w:ascii="Times New Roman" w:hAnsi="Times New Roman" w:eastAsia="仿宋_GB2312" w:cs="Times New Roman"/>
          <w:sz w:val="28"/>
          <w:szCs w:val="28"/>
        </w:rPr>
      </w:pPr>
      <w:r>
        <w:rPr>
          <w:rFonts w:ascii="Times New Roman" w:hAnsi="Times New Roman" w:eastAsia="仿宋_GB2312" w:cs="Times New Roman"/>
          <w:sz w:val="28"/>
          <w:szCs w:val="28"/>
        </w:rPr>
        <w:t>（三）项目资金实际使用情况：</w:t>
      </w:r>
      <w:r>
        <w:rPr>
          <w:rFonts w:hint="eastAsia" w:ascii="Times New Roman" w:hAnsi="Times New Roman" w:eastAsia="仿宋_GB2312" w:cs="Times New Roman"/>
          <w:sz w:val="28"/>
          <w:szCs w:val="28"/>
          <w:lang w:val="en-US" w:eastAsia="zh-CN"/>
        </w:rPr>
        <w:t>整个项目</w:t>
      </w:r>
      <w:r>
        <w:rPr>
          <w:rFonts w:ascii="Times New Roman" w:hAnsi="Times New Roman" w:eastAsia="仿宋_GB2312" w:cs="Times New Roman"/>
          <w:sz w:val="28"/>
          <w:szCs w:val="28"/>
        </w:rPr>
        <w:t>资金</w:t>
      </w:r>
      <w:r>
        <w:rPr>
          <w:rFonts w:hint="eastAsia" w:ascii="Times New Roman" w:hAnsi="Times New Roman" w:eastAsia="仿宋_GB2312" w:cs="Times New Roman"/>
          <w:sz w:val="28"/>
          <w:szCs w:val="28"/>
          <w:lang w:val="en-US" w:eastAsia="zh-CN"/>
        </w:rPr>
        <w:t>在</w:t>
      </w:r>
      <w:r>
        <w:rPr>
          <w:rFonts w:ascii="Times New Roman" w:hAnsi="Times New Roman" w:eastAsia="仿宋_GB2312" w:cs="Times New Roman"/>
          <w:sz w:val="28"/>
          <w:szCs w:val="28"/>
        </w:rPr>
        <w:t>使用</w:t>
      </w:r>
      <w:r>
        <w:rPr>
          <w:rFonts w:hint="eastAsia" w:ascii="Times New Roman" w:hAnsi="Times New Roman" w:eastAsia="仿宋_GB2312" w:cs="Times New Roman"/>
          <w:sz w:val="28"/>
          <w:szCs w:val="28"/>
          <w:lang w:val="en-US" w:eastAsia="zh-CN"/>
        </w:rPr>
        <w:t>上</w:t>
      </w:r>
      <w:r>
        <w:rPr>
          <w:rFonts w:ascii="Times New Roman" w:hAnsi="Times New Roman" w:eastAsia="仿宋_GB2312" w:cs="Times New Roman"/>
          <w:sz w:val="28"/>
          <w:szCs w:val="28"/>
        </w:rPr>
        <w:t>合理</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合规</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项目上没有偷工减料、以次充好的情况发生</w:t>
      </w:r>
      <w:r>
        <w:rPr>
          <w:rFonts w:ascii="Times New Roman" w:hAnsi="Times New Roman" w:eastAsia="仿宋_GB2312" w:cs="Times New Roman"/>
          <w:sz w:val="28"/>
          <w:szCs w:val="28"/>
        </w:rPr>
        <w:t>；</w:t>
      </w:r>
    </w:p>
    <w:p>
      <w:pPr>
        <w:pStyle w:val="4"/>
        <w:widowControl w:val="0"/>
        <w:spacing w:before="0" w:beforeAutospacing="0" w:after="0" w:afterAutospacing="0" w:line="520" w:lineRule="exact"/>
        <w:ind w:firstLine="480"/>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（四）项目资金管理情况：</w:t>
      </w:r>
      <w:r>
        <w:rPr>
          <w:rFonts w:hint="eastAsia" w:ascii="Times New Roman" w:hAnsi="Times New Roman" w:eastAsia="仿宋_GB2312" w:cs="Times New Roman"/>
          <w:sz w:val="28"/>
          <w:szCs w:val="28"/>
          <w:lang w:val="en-US" w:eastAsia="zh-CN"/>
        </w:rPr>
        <w:t>项目资金的管理上严格执行我单位的财务管理制度以及上级财政的资金管理制度，没有出现管理不当行为。</w:t>
      </w:r>
    </w:p>
    <w:p>
      <w:pPr>
        <w:pStyle w:val="4"/>
        <w:widowControl w:val="0"/>
        <w:spacing w:before="0" w:beforeAutospacing="0" w:after="0" w:afterAutospacing="0" w:line="520" w:lineRule="exact"/>
        <w:ind w:firstLine="480"/>
        <w:rPr>
          <w:rFonts w:ascii="Times New Roman" w:hAnsi="Times New Roman" w:eastAsia="仿宋_GB2312" w:cs="Times New Roman"/>
          <w:b/>
          <w:sz w:val="28"/>
          <w:szCs w:val="28"/>
        </w:rPr>
      </w:pPr>
      <w:r>
        <w:rPr>
          <w:rFonts w:ascii="Times New Roman" w:hAnsi="Times New Roman" w:eastAsia="仿宋_GB2312" w:cs="Times New Roman"/>
          <w:b/>
          <w:sz w:val="28"/>
          <w:szCs w:val="28"/>
        </w:rPr>
        <w:t>三、项目组织实施情况</w:t>
      </w:r>
    </w:p>
    <w:p>
      <w:pPr>
        <w:pStyle w:val="4"/>
        <w:widowControl w:val="0"/>
        <w:spacing w:before="0" w:beforeAutospacing="0" w:after="0" w:afterAutospacing="0" w:line="520" w:lineRule="exact"/>
        <w:ind w:firstLine="48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单位执行国家有关技术政策及上级技术管理制度，对项目施工技术工程负全面监管责任，执行相关的标准、规范、规程。派专人熟悉相关工程事务，负责技术质量事故的调查和处置，并及时向上级报告。加强科学知识的学习及危险源的预防措施。单位指定分管领导和专人进行项目施工完毕后的质量验收等。</w:t>
      </w:r>
    </w:p>
    <w:p>
      <w:pPr>
        <w:pStyle w:val="4"/>
        <w:widowControl w:val="0"/>
        <w:spacing w:before="0" w:beforeAutospacing="0" w:after="0" w:afterAutospacing="0" w:line="520" w:lineRule="exact"/>
        <w:ind w:firstLine="48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lang w:val="en-US" w:eastAsia="zh-CN"/>
        </w:rPr>
        <w:t>四</w:t>
      </w:r>
      <w:r>
        <w:rPr>
          <w:rFonts w:ascii="Times New Roman" w:hAnsi="Times New Roman" w:eastAsia="仿宋_GB2312" w:cs="Times New Roman"/>
          <w:b/>
          <w:sz w:val="28"/>
          <w:szCs w:val="28"/>
        </w:rPr>
        <w:t>、其他需要说明的问题</w:t>
      </w:r>
    </w:p>
    <w:p>
      <w:pPr>
        <w:pStyle w:val="4"/>
        <w:widowControl w:val="0"/>
        <w:spacing w:before="0" w:beforeAutospacing="0" w:after="0" w:afterAutospacing="0" w:line="520" w:lineRule="exact"/>
        <w:ind w:firstLine="480"/>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sz w:val="28"/>
          <w:szCs w:val="28"/>
          <w:lang w:val="en-US" w:eastAsia="zh-CN"/>
        </w:rPr>
        <w:t>我单位2020年决算中的其他项目具体情况说明如下：项目</w:t>
      </w:r>
      <w:r>
        <w:rPr>
          <w:rFonts w:hint="eastAsia" w:ascii="Times New Roman" w:hAnsi="Times New Roman" w:eastAsia="仿宋_GB2312" w:cs="Times New Roman"/>
          <w:b w:val="0"/>
          <w:bCs w:val="0"/>
          <w:sz w:val="28"/>
          <w:szCs w:val="28"/>
          <w:lang w:val="en-US" w:eastAsia="zh-CN"/>
        </w:rPr>
        <w:t>---垃圾无害化处理和运行，不应设为工程项目，实际上为垃圾场的运行资金</w:t>
      </w:r>
      <w:r>
        <w:rPr>
          <w:rFonts w:hint="eastAsia"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项目---公益性水电及城区路灯，为城市正常的运转经费，不应设为项目；项目---景观亮化维护费和一河两岸电费，为城市正常的运转经费，不应设为项目；项目---市政维护费，为城市正常的运转经费，不应设为项目；项目---春节城区喜庆美化、亮化，为城市正常的运转经费，不应设为项目。</w:t>
      </w:r>
    </w:p>
    <w:p>
      <w:pPr>
        <w:pStyle w:val="4"/>
        <w:widowControl w:val="0"/>
        <w:spacing w:before="0" w:beforeAutospacing="0" w:after="0" w:afterAutospacing="0" w:line="520" w:lineRule="exact"/>
        <w:ind w:firstLine="48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lang w:val="en-US" w:eastAsia="zh-CN"/>
        </w:rPr>
        <w:t>五</w:t>
      </w:r>
      <w:r>
        <w:rPr>
          <w:rFonts w:ascii="Times New Roman" w:hAnsi="Times New Roman" w:eastAsia="仿宋_GB2312" w:cs="Times New Roman"/>
          <w:b/>
          <w:sz w:val="28"/>
          <w:szCs w:val="28"/>
        </w:rPr>
        <w:t>、附件（佐证依据）</w:t>
      </w:r>
    </w:p>
    <w:p>
      <w:pPr>
        <w:pStyle w:val="4"/>
        <w:widowControl w:val="0"/>
        <w:spacing w:before="0" w:beforeAutospacing="0" w:after="0" w:afterAutospacing="0" w:line="520" w:lineRule="exact"/>
        <w:ind w:firstLine="48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见相关施工合同、招标文件、财政报账相关流程和票据</w:t>
      </w:r>
      <w:r>
        <w:rPr>
          <w:rFonts w:ascii="Times New Roman" w:hAnsi="Times New Roman" w:eastAsia="仿宋_GB2312" w:cs="Times New Roman"/>
          <w:sz w:val="28"/>
          <w:szCs w:val="28"/>
        </w:rPr>
        <w:t>。</w:t>
      </w:r>
    </w:p>
    <w:p>
      <w:pPr>
        <w:pStyle w:val="4"/>
        <w:widowControl w:val="0"/>
        <w:spacing w:before="0" w:beforeAutospacing="0" w:after="0" w:afterAutospacing="0"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p>
    <w:p>
      <w:pPr>
        <w:rPr>
          <w:rFonts w:hint="eastAsia" w:eastAsia="仿宋_GB2312"/>
          <w:kern w:val="0"/>
          <w:sz w:val="28"/>
          <w:szCs w:val="28"/>
        </w:rPr>
      </w:pPr>
      <w:r>
        <w:rPr>
          <w:rFonts w:eastAsia="仿宋_GB2312"/>
          <w:sz w:val="28"/>
          <w:szCs w:val="28"/>
        </w:rPr>
        <w:t xml:space="preserve">                                                              </w:t>
      </w: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项目单位（签）  </w:t>
      </w:r>
    </w:p>
    <w:p>
      <w:pPr>
        <w:rPr>
          <w:rFonts w:eastAsia="仿宋_GB2312"/>
          <w:kern w:val="0"/>
          <w:sz w:val="28"/>
          <w:szCs w:val="28"/>
        </w:rPr>
      </w:pPr>
      <w:r>
        <w:rPr>
          <w:rFonts w:eastAsia="仿宋_GB2312"/>
          <w:kern w:val="0"/>
          <w:sz w:val="28"/>
          <w:szCs w:val="28"/>
        </w:rPr>
        <w:t xml:space="preserve">                    </w:t>
      </w:r>
      <w:r>
        <w:rPr>
          <w:rFonts w:hint="eastAsia" w:eastAsia="仿宋_GB2312"/>
          <w:kern w:val="0"/>
          <w:sz w:val="28"/>
          <w:szCs w:val="28"/>
        </w:rPr>
        <w:t xml:space="preserve">                      2021 </w:t>
      </w:r>
      <w:r>
        <w:rPr>
          <w:rFonts w:eastAsia="仿宋_GB2312"/>
          <w:kern w:val="0"/>
          <w:sz w:val="28"/>
          <w:szCs w:val="28"/>
        </w:rPr>
        <w:t xml:space="preserve">年  </w:t>
      </w:r>
      <w:r>
        <w:rPr>
          <w:rFonts w:hint="eastAsia" w:eastAsia="仿宋_GB2312"/>
          <w:kern w:val="0"/>
          <w:sz w:val="28"/>
          <w:szCs w:val="28"/>
        </w:rPr>
        <w:t>9</w:t>
      </w:r>
      <w:r>
        <w:rPr>
          <w:rFonts w:eastAsia="仿宋_GB2312"/>
          <w:kern w:val="0"/>
          <w:sz w:val="28"/>
          <w:szCs w:val="28"/>
        </w:rPr>
        <w:t xml:space="preserve"> 月  </w:t>
      </w:r>
      <w:r>
        <w:rPr>
          <w:rFonts w:hint="eastAsia" w:eastAsia="仿宋_GB2312"/>
          <w:kern w:val="0"/>
          <w:sz w:val="28"/>
          <w:szCs w:val="28"/>
        </w:rPr>
        <w:t>6</w:t>
      </w:r>
      <w:r>
        <w:rPr>
          <w:rFonts w:eastAsia="仿宋_GB2312"/>
          <w:kern w:val="0"/>
          <w:sz w:val="28"/>
          <w:szCs w:val="28"/>
        </w:rPr>
        <w:t xml:space="preserve"> 日</w:t>
      </w:r>
    </w:p>
    <w:p>
      <w:pPr>
        <w:pStyle w:val="4"/>
        <w:widowControl w:val="0"/>
        <w:spacing w:before="0" w:beforeAutospacing="0" w:after="0" w:afterAutospacing="0" w:line="520" w:lineRule="exact"/>
        <w:rPr>
          <w:rFonts w:ascii="Times New Roman" w:hAnsi="Times New Roman" w:eastAsia="仿宋_GB2312" w:cs="Times New Roman"/>
          <w:sz w:val="28"/>
          <w:szCs w:val="28"/>
        </w:rPr>
      </w:pPr>
    </w:p>
    <w:p>
      <w:pPr>
        <w:spacing w:line="520" w:lineRule="exact"/>
        <w:jc w:val="left"/>
        <w:rPr>
          <w:kern w:val="0"/>
          <w:sz w:val="24"/>
        </w:rPr>
      </w:pPr>
      <w:r>
        <w:rPr>
          <w:rFonts w:eastAsia="仿宋_GB2312"/>
          <w:kern w:val="0"/>
          <w:sz w:val="28"/>
          <w:szCs w:val="28"/>
        </w:rPr>
        <w:br w:type="page"/>
      </w:r>
      <w:r>
        <w:rPr>
          <w:rFonts w:hint="eastAsia" w:ascii="仿宋_GB2312" w:hAnsi="仿宋_GB2312" w:eastAsia="仿宋_GB2312" w:cs="仿宋_GB2312"/>
          <w:sz w:val="24"/>
        </w:rPr>
        <w:t>附件2-1</w:t>
      </w:r>
    </w:p>
    <w:p>
      <w:pPr>
        <w:spacing w:line="500" w:lineRule="exact"/>
        <w:jc w:val="center"/>
        <w:rPr>
          <w:rFonts w:eastAsia="方正粗宋简体"/>
          <w:w w:val="85"/>
          <w:kern w:val="0"/>
          <w:sz w:val="44"/>
          <w:szCs w:val="44"/>
        </w:rPr>
      </w:pPr>
      <w:r>
        <w:rPr>
          <w:rFonts w:eastAsia="方正粗宋简体"/>
          <w:w w:val="85"/>
          <w:kern w:val="0"/>
          <w:sz w:val="44"/>
          <w:szCs w:val="44"/>
        </w:rPr>
        <w:t>2020</w:t>
      </w:r>
      <w:r>
        <w:rPr>
          <w:rFonts w:hAnsi="方正粗宋简体" w:eastAsia="方正粗宋简体"/>
          <w:w w:val="85"/>
          <w:kern w:val="0"/>
          <w:sz w:val="44"/>
          <w:szCs w:val="44"/>
        </w:rPr>
        <w:t>年度新晃侗族自治县部门（单位）整体支出绩</w:t>
      </w:r>
    </w:p>
    <w:p>
      <w:pPr>
        <w:spacing w:line="500" w:lineRule="exact"/>
        <w:jc w:val="center"/>
        <w:rPr>
          <w:rFonts w:eastAsia="方正粗宋简体"/>
          <w:w w:val="85"/>
          <w:kern w:val="0"/>
          <w:sz w:val="44"/>
          <w:szCs w:val="44"/>
        </w:rPr>
      </w:pPr>
      <w:r>
        <w:rPr>
          <w:rFonts w:hAnsi="方正粗宋简体" w:eastAsia="方正粗宋简体"/>
          <w:w w:val="85"/>
          <w:kern w:val="0"/>
          <w:sz w:val="44"/>
          <w:szCs w:val="44"/>
        </w:rPr>
        <w:t>效评价指标体系</w:t>
      </w:r>
    </w:p>
    <w:tbl>
      <w:tblPr>
        <w:tblStyle w:val="9"/>
        <w:tblW w:w="10020" w:type="dxa"/>
        <w:jc w:val="center"/>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60"/>
        <w:gridCol w:w="780"/>
        <w:gridCol w:w="796"/>
        <w:gridCol w:w="720"/>
        <w:gridCol w:w="3575"/>
        <w:gridCol w:w="1977"/>
        <w:gridCol w:w="989"/>
        <w:gridCol w:w="512"/>
        <w:gridCol w:w="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30" w:hRule="atLeast"/>
          <w:tblHeader/>
          <w:tblCellSpacing w:w="0" w:type="dxa"/>
          <w:jc w:val="center"/>
        </w:trPr>
        <w:tc>
          <w:tcPr>
            <w:tcW w:w="66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一级指标</w:t>
            </w:r>
          </w:p>
        </w:tc>
        <w:tc>
          <w:tcPr>
            <w:tcW w:w="78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二级指标</w:t>
            </w:r>
          </w:p>
        </w:tc>
        <w:tc>
          <w:tcPr>
            <w:tcW w:w="796"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三级指标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分值</w:t>
            </w:r>
          </w:p>
        </w:tc>
        <w:tc>
          <w:tcPr>
            <w:tcW w:w="3575"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指标内容</w:t>
            </w:r>
          </w:p>
        </w:tc>
        <w:tc>
          <w:tcPr>
            <w:tcW w:w="1977"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指标评价标及对应分值</w:t>
            </w:r>
          </w:p>
        </w:tc>
        <w:tc>
          <w:tcPr>
            <w:tcW w:w="989"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指标实际完成情况及依据</w:t>
            </w:r>
          </w:p>
        </w:tc>
        <w:tc>
          <w:tcPr>
            <w:tcW w:w="523" w:type="dxa"/>
            <w:gridSpan w:val="2"/>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149" w:hRule="atLeast"/>
          <w:tblCellSpacing w:w="0" w:type="dxa"/>
          <w:jc w:val="center"/>
        </w:trPr>
        <w:tc>
          <w:tcPr>
            <w:tcW w:w="66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投入(共20分)</w:t>
            </w:r>
          </w:p>
        </w:tc>
        <w:tc>
          <w:tcPr>
            <w:tcW w:w="78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预算编制(共10分)</w:t>
            </w: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整体</w:t>
            </w:r>
          </w:p>
          <w:p>
            <w:pPr>
              <w:spacing w:line="300" w:lineRule="exact"/>
              <w:jc w:val="center"/>
              <w:rPr>
                <w:rFonts w:eastAsia="楷体_GB2312"/>
                <w:kern w:val="0"/>
                <w:sz w:val="24"/>
              </w:rPr>
            </w:pPr>
            <w:r>
              <w:rPr>
                <w:rFonts w:eastAsia="楷体_GB2312"/>
                <w:kern w:val="0"/>
                <w:sz w:val="24"/>
              </w:rPr>
              <w:t>绩效目标设定</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部门（含所属二级预算单位，下同）或单位是否制定了年度预算整体绩效目标；整体绩效目标制定依据是否充分，是否与部门履职、年度工作任务相符；整体绩效目标是否清晰、细化、可衡量。</w:t>
            </w:r>
          </w:p>
        </w:tc>
        <w:tc>
          <w:tcPr>
            <w:tcW w:w="1977" w:type="dxa"/>
            <w:tcMar>
              <w:top w:w="0" w:type="dxa"/>
              <w:left w:w="105" w:type="dxa"/>
              <w:bottom w:w="0" w:type="dxa"/>
              <w:right w:w="105" w:type="dxa"/>
            </w:tcMar>
          </w:tcPr>
          <w:p>
            <w:pPr>
              <w:spacing w:line="300" w:lineRule="exact"/>
              <w:rPr>
                <w:rFonts w:eastAsia="楷体_GB2312"/>
                <w:kern w:val="0"/>
                <w:sz w:val="24"/>
              </w:rPr>
            </w:pPr>
            <w:r>
              <w:rPr>
                <w:rFonts w:eastAsia="楷体_GB2312"/>
                <w:kern w:val="0"/>
                <w:sz w:val="24"/>
              </w:rPr>
              <w:t>设有整体绩效目标2分；目标设定依据充分符合客观实际1分；目标清晰、细化1分；目标可衡量1分。</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851"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项目</w:t>
            </w:r>
          </w:p>
          <w:p>
            <w:pPr>
              <w:spacing w:line="300" w:lineRule="exact"/>
              <w:jc w:val="center"/>
              <w:rPr>
                <w:rFonts w:eastAsia="楷体_GB2312"/>
                <w:kern w:val="0"/>
                <w:sz w:val="24"/>
              </w:rPr>
            </w:pPr>
            <w:r>
              <w:rPr>
                <w:rFonts w:eastAsia="楷体_GB2312"/>
                <w:kern w:val="0"/>
                <w:sz w:val="24"/>
              </w:rPr>
              <w:t>绩效目标设定</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是否科学、合理设立了项目绩效目标；目标明确；目标细化；目标量化。</w:t>
            </w:r>
          </w:p>
        </w:tc>
        <w:tc>
          <w:tcPr>
            <w:tcW w:w="1977" w:type="dxa"/>
            <w:tcMar>
              <w:top w:w="0" w:type="dxa"/>
              <w:left w:w="105" w:type="dxa"/>
              <w:bottom w:w="0" w:type="dxa"/>
              <w:right w:w="105" w:type="dxa"/>
            </w:tcMar>
          </w:tcPr>
          <w:p>
            <w:pPr>
              <w:spacing w:line="300" w:lineRule="exact"/>
              <w:rPr>
                <w:rFonts w:eastAsia="楷体_GB2312"/>
                <w:kern w:val="0"/>
                <w:sz w:val="24"/>
              </w:rPr>
            </w:pPr>
            <w:r>
              <w:rPr>
                <w:rFonts w:eastAsia="楷体_GB2312"/>
                <w:kern w:val="0"/>
                <w:sz w:val="24"/>
              </w:rPr>
              <w:t>项目均设有绩效目标1分；目标科学合理1分；目标明确1分；目标细化1分；目标量化1分。</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99"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预算配置(共10分)</w:t>
            </w: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在职</w:t>
            </w:r>
          </w:p>
          <w:p>
            <w:pPr>
              <w:spacing w:line="300" w:lineRule="exact"/>
              <w:jc w:val="center"/>
              <w:rPr>
                <w:rFonts w:eastAsia="楷体_GB2312"/>
                <w:kern w:val="0"/>
                <w:sz w:val="24"/>
              </w:rPr>
            </w:pPr>
            <w:r>
              <w:rPr>
                <w:rFonts w:eastAsia="楷体_GB2312"/>
                <w:kern w:val="0"/>
                <w:sz w:val="24"/>
              </w:rPr>
              <w:t>人员</w:t>
            </w:r>
          </w:p>
          <w:p>
            <w:pPr>
              <w:spacing w:line="300" w:lineRule="exact"/>
              <w:jc w:val="center"/>
              <w:rPr>
                <w:rFonts w:eastAsia="楷体_GB2312"/>
                <w:kern w:val="0"/>
                <w:sz w:val="24"/>
              </w:rPr>
            </w:pPr>
            <w:r>
              <w:rPr>
                <w:rFonts w:eastAsia="楷体_GB2312"/>
                <w:kern w:val="0"/>
                <w:sz w:val="24"/>
              </w:rPr>
              <w:t>控制率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tcPr>
          <w:p>
            <w:pPr>
              <w:spacing w:line="300" w:lineRule="exact"/>
              <w:rPr>
                <w:rFonts w:eastAsia="楷体_GB2312"/>
                <w:kern w:val="0"/>
                <w:sz w:val="24"/>
              </w:rPr>
            </w:pPr>
            <w:r>
              <w:rPr>
                <w:rFonts w:eastAsia="楷体_GB2312"/>
                <w:kern w:val="0"/>
                <w:sz w:val="24"/>
              </w:rPr>
              <w:t>在职人员控制率=[在职人员数/编制数]×100%</w:t>
            </w:r>
          </w:p>
          <w:p>
            <w:pPr>
              <w:spacing w:line="300" w:lineRule="exact"/>
              <w:rPr>
                <w:rFonts w:eastAsia="楷体_GB2312"/>
                <w:kern w:val="0"/>
                <w:sz w:val="24"/>
              </w:rPr>
            </w:pPr>
            <w:r>
              <w:rPr>
                <w:rFonts w:eastAsia="楷体_GB2312"/>
                <w:kern w:val="0"/>
                <w:sz w:val="24"/>
              </w:rPr>
              <w:t>在职人员数：部门实际在职人数，以财政确定的部门决算编制口径为准，结合工资发放表上的年平均人数。</w:t>
            </w:r>
          </w:p>
          <w:p>
            <w:pPr>
              <w:spacing w:line="300" w:lineRule="exact"/>
              <w:rPr>
                <w:rFonts w:eastAsia="楷体_GB2312"/>
                <w:kern w:val="0"/>
                <w:sz w:val="24"/>
              </w:rPr>
            </w:pPr>
            <w:r>
              <w:rPr>
                <w:rFonts w:eastAsia="楷体_GB2312"/>
                <w:kern w:val="0"/>
                <w:sz w:val="24"/>
              </w:rPr>
              <w:t>编制数：机构编制部门核定批复的部门的人员编制数(含临时人员)。</w:t>
            </w:r>
          </w:p>
        </w:tc>
        <w:tc>
          <w:tcPr>
            <w:tcW w:w="1977" w:type="dxa"/>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结果≤100%，得3分；结果＞100%，得0分。</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5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“三公经费”变动率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“三公经费”变动率=[本年度“三公经费”预算总额/上年度“三公经费”预算总额] ×100%</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结果≤100%，得3分；结果＞100%，得0分。</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830"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重点项目预算保障率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4</w:t>
            </w:r>
          </w:p>
        </w:tc>
        <w:tc>
          <w:tcPr>
            <w:tcW w:w="3575" w:type="dxa"/>
            <w:tcMar>
              <w:top w:w="0" w:type="dxa"/>
              <w:left w:w="105" w:type="dxa"/>
              <w:bottom w:w="0" w:type="dxa"/>
              <w:right w:w="105" w:type="dxa"/>
            </w:tcMar>
            <w:vAlign w:val="center"/>
          </w:tcPr>
          <w:p>
            <w:pPr>
              <w:spacing w:line="300" w:lineRule="exact"/>
              <w:jc w:val="left"/>
              <w:rPr>
                <w:rFonts w:eastAsia="楷体_GB2312"/>
                <w:spacing w:val="-20"/>
                <w:kern w:val="0"/>
                <w:sz w:val="24"/>
              </w:rPr>
            </w:pPr>
            <w:r>
              <w:rPr>
                <w:rFonts w:eastAsia="楷体_GB2312"/>
                <w:spacing w:val="-20"/>
                <w:kern w:val="0"/>
                <w:sz w:val="24"/>
              </w:rPr>
              <w:t>重点项目预算保障率=（重点项目预算/项目总预算）×100%。</w:t>
            </w:r>
          </w:p>
          <w:p>
            <w:pPr>
              <w:spacing w:line="300" w:lineRule="exact"/>
              <w:jc w:val="left"/>
              <w:rPr>
                <w:rFonts w:eastAsia="楷体_GB2312"/>
                <w:kern w:val="0"/>
                <w:sz w:val="24"/>
              </w:rPr>
            </w:pPr>
            <w:r>
              <w:rPr>
                <w:rFonts w:eastAsia="楷体_GB2312"/>
                <w:spacing w:val="-20"/>
                <w:kern w:val="0"/>
                <w:sz w:val="24"/>
              </w:rPr>
              <w:t>重点项目预算：部门年度预算安排的，与本部门履职和发展密切相关、具有明显社会和经济影响、党委政府关心或社会比较关注的，列入政府重点项目的预算总额。</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结果≥80%，得4分；80%＞结果≥60%，得2分；结果＜60%，得0分。</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545" w:hRule="atLeast"/>
          <w:tblCellSpacing w:w="0" w:type="dxa"/>
          <w:jc w:val="center"/>
        </w:trPr>
        <w:tc>
          <w:tcPr>
            <w:tcW w:w="66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过程(共30分)</w:t>
            </w:r>
          </w:p>
        </w:tc>
        <w:tc>
          <w:tcPr>
            <w:tcW w:w="78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预算执行（15分）</w:t>
            </w: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项目</w:t>
            </w:r>
          </w:p>
          <w:p>
            <w:pPr>
              <w:spacing w:line="300" w:lineRule="exact"/>
              <w:jc w:val="center"/>
              <w:rPr>
                <w:rFonts w:eastAsia="楷体_GB2312"/>
                <w:kern w:val="0"/>
                <w:sz w:val="24"/>
              </w:rPr>
            </w:pPr>
            <w:r>
              <w:rPr>
                <w:rFonts w:eastAsia="楷体_GB2312"/>
                <w:kern w:val="0"/>
                <w:sz w:val="24"/>
              </w:rPr>
              <w:t>预算</w:t>
            </w:r>
          </w:p>
          <w:p>
            <w:pPr>
              <w:spacing w:line="300" w:lineRule="exact"/>
              <w:jc w:val="center"/>
              <w:rPr>
                <w:rFonts w:eastAsia="楷体_GB2312"/>
                <w:kern w:val="0"/>
                <w:sz w:val="24"/>
              </w:rPr>
            </w:pPr>
            <w:r>
              <w:rPr>
                <w:rFonts w:eastAsia="楷体_GB2312"/>
                <w:kern w:val="0"/>
                <w:sz w:val="24"/>
              </w:rPr>
              <w:t>执行率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tcPr>
          <w:p>
            <w:pPr>
              <w:spacing w:line="300" w:lineRule="exact"/>
              <w:rPr>
                <w:rFonts w:eastAsia="楷体_GB2312"/>
                <w:kern w:val="0"/>
                <w:sz w:val="24"/>
              </w:rPr>
            </w:pPr>
            <w:r>
              <w:rPr>
                <w:rFonts w:eastAsia="楷体_GB2312"/>
                <w:kern w:val="0"/>
                <w:sz w:val="24"/>
              </w:rPr>
              <w:t>项目预算执行率=[项目预算执行数/项目预算数]×100%。</w:t>
            </w:r>
          </w:p>
          <w:p>
            <w:pPr>
              <w:spacing w:line="300" w:lineRule="exact"/>
              <w:rPr>
                <w:rFonts w:eastAsia="楷体_GB2312"/>
                <w:kern w:val="0"/>
                <w:sz w:val="24"/>
              </w:rPr>
            </w:pPr>
            <w:r>
              <w:rPr>
                <w:rFonts w:eastAsia="楷体_GB2312"/>
                <w:kern w:val="0"/>
                <w:sz w:val="24"/>
              </w:rPr>
              <w:t>项目预算执行数：部门本年度实际执行的项目预算数。</w:t>
            </w:r>
          </w:p>
          <w:p>
            <w:pPr>
              <w:spacing w:line="300" w:lineRule="exact"/>
              <w:rPr>
                <w:rFonts w:eastAsia="楷体_GB2312"/>
                <w:kern w:val="0"/>
                <w:sz w:val="24"/>
              </w:rPr>
            </w:pPr>
            <w:r>
              <w:rPr>
                <w:rFonts w:eastAsia="楷体_GB2312"/>
                <w:kern w:val="0"/>
                <w:sz w:val="24"/>
              </w:rPr>
              <w:t>项目预算数：财政部门批复的本年度部门项目预算数。</w:t>
            </w:r>
          </w:p>
        </w:tc>
        <w:tc>
          <w:tcPr>
            <w:tcW w:w="1977" w:type="dxa"/>
            <w:tcMar>
              <w:top w:w="0" w:type="dxa"/>
              <w:left w:w="105" w:type="dxa"/>
              <w:bottom w:w="0" w:type="dxa"/>
              <w:right w:w="105" w:type="dxa"/>
            </w:tcMar>
          </w:tcPr>
          <w:p>
            <w:pPr>
              <w:spacing w:line="300" w:lineRule="exact"/>
              <w:rPr>
                <w:rFonts w:eastAsia="楷体_GB2312"/>
                <w:spacing w:val="-20"/>
                <w:kern w:val="0"/>
                <w:sz w:val="24"/>
              </w:rPr>
            </w:pPr>
            <w:r>
              <w:rPr>
                <w:rFonts w:eastAsia="楷体_GB2312"/>
                <w:spacing w:val="-20"/>
                <w:kern w:val="0"/>
                <w:sz w:val="24"/>
              </w:rPr>
              <w:t>95%≤结果≤100%，得5分；90%≤结果＜95%，得3分；80%≤结果＜90%，得1分；结果＜80%，得0分。</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81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预算</w:t>
            </w:r>
          </w:p>
          <w:p>
            <w:pPr>
              <w:spacing w:line="300" w:lineRule="exact"/>
              <w:jc w:val="center"/>
              <w:rPr>
                <w:rFonts w:eastAsia="楷体_GB2312"/>
                <w:kern w:val="0"/>
                <w:sz w:val="24"/>
              </w:rPr>
            </w:pPr>
            <w:r>
              <w:rPr>
                <w:rFonts w:eastAsia="楷体_GB2312"/>
                <w:kern w:val="0"/>
                <w:sz w:val="24"/>
              </w:rPr>
              <w:t>调整率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pPr>
              <w:spacing w:line="300" w:lineRule="exact"/>
              <w:jc w:val="left"/>
              <w:rPr>
                <w:rFonts w:eastAsia="楷体_GB2312"/>
                <w:spacing w:val="-20"/>
                <w:kern w:val="0"/>
                <w:sz w:val="24"/>
              </w:rPr>
            </w:pPr>
            <w:r>
              <w:rPr>
                <w:rFonts w:eastAsia="楷体_GB2312"/>
                <w:spacing w:val="-20"/>
                <w:kern w:val="0"/>
                <w:sz w:val="24"/>
              </w:rPr>
              <w:t>预算调整率=[预算调整数/预算数]×100%</w:t>
            </w:r>
          </w:p>
          <w:p>
            <w:pPr>
              <w:spacing w:line="300" w:lineRule="exact"/>
              <w:jc w:val="left"/>
              <w:rPr>
                <w:rFonts w:eastAsia="楷体_GB2312"/>
                <w:kern w:val="0"/>
                <w:sz w:val="24"/>
              </w:rPr>
            </w:pPr>
            <w:r>
              <w:rPr>
                <w:rFonts w:eastAsia="楷体_GB2312"/>
                <w:spacing w:val="-20"/>
                <w:kern w:val="0"/>
                <w:sz w:val="24"/>
              </w:rPr>
              <w:t>预算调整数：部门在本年度内涉及预算的追加、追减或结构调整的资金总和（因落实国家政策、发生不可抗力、上级部门或党委政府临时交办而产生的调整除外）。</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结果≤5%，得3分；</w:t>
            </w:r>
          </w:p>
          <w:p>
            <w:pPr>
              <w:spacing w:line="300" w:lineRule="exact"/>
              <w:jc w:val="left"/>
              <w:rPr>
                <w:rFonts w:eastAsia="楷体_GB2312"/>
                <w:kern w:val="0"/>
                <w:sz w:val="24"/>
              </w:rPr>
            </w:pPr>
            <w:r>
              <w:rPr>
                <w:rFonts w:eastAsia="楷体_GB2312"/>
                <w:kern w:val="0"/>
                <w:sz w:val="24"/>
              </w:rPr>
              <w:t>5%＜结果≤10%，得1分；结果＞10%，得0分。</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1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公用</w:t>
            </w:r>
          </w:p>
          <w:p>
            <w:pPr>
              <w:spacing w:line="300" w:lineRule="exact"/>
              <w:jc w:val="center"/>
              <w:rPr>
                <w:rFonts w:eastAsia="楷体_GB2312"/>
                <w:kern w:val="0"/>
                <w:sz w:val="24"/>
              </w:rPr>
            </w:pPr>
            <w:r>
              <w:rPr>
                <w:rFonts w:eastAsia="楷体_GB2312"/>
                <w:kern w:val="0"/>
                <w:sz w:val="24"/>
              </w:rPr>
              <w:t>经费</w:t>
            </w:r>
          </w:p>
          <w:p>
            <w:pPr>
              <w:spacing w:line="300" w:lineRule="exact"/>
              <w:jc w:val="center"/>
              <w:rPr>
                <w:rFonts w:eastAsia="楷体_GB2312"/>
                <w:kern w:val="0"/>
                <w:sz w:val="24"/>
              </w:rPr>
            </w:pPr>
            <w:r>
              <w:rPr>
                <w:rFonts w:eastAsia="楷体_GB2312"/>
                <w:kern w:val="0"/>
                <w:sz w:val="24"/>
              </w:rPr>
              <w:t>控制率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公用经费控制率=[公用经费实际支出总额/公用经费预算安排总额]×100%</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结果≤100%，得2分；结果＞100%，得0分。</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0"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spacing w:val="-20"/>
                <w:kern w:val="0"/>
                <w:sz w:val="24"/>
              </w:rPr>
            </w:pPr>
            <w:r>
              <w:rPr>
                <w:rFonts w:eastAsia="楷体_GB2312"/>
                <w:spacing w:val="-20"/>
                <w:kern w:val="0"/>
                <w:sz w:val="24"/>
              </w:rPr>
              <w:t>“三公经费”控制率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“三公经费”控制率=[“三公经费”实际支出总额/“三公经费”预算安排总额]×100%</w:t>
            </w:r>
          </w:p>
        </w:tc>
        <w:tc>
          <w:tcPr>
            <w:tcW w:w="1977" w:type="dxa"/>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结果≤100%，得3分；结果＞100%，得0分。</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7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政府</w:t>
            </w:r>
          </w:p>
          <w:p>
            <w:pPr>
              <w:spacing w:line="300" w:lineRule="exact"/>
              <w:jc w:val="center"/>
              <w:rPr>
                <w:rFonts w:eastAsia="楷体_GB2312"/>
                <w:kern w:val="0"/>
                <w:sz w:val="24"/>
              </w:rPr>
            </w:pPr>
            <w:r>
              <w:rPr>
                <w:rFonts w:eastAsia="楷体_GB2312"/>
                <w:kern w:val="0"/>
                <w:sz w:val="24"/>
              </w:rPr>
              <w:t>采购</w:t>
            </w:r>
          </w:p>
          <w:p>
            <w:pPr>
              <w:spacing w:line="300" w:lineRule="exact"/>
              <w:jc w:val="center"/>
              <w:rPr>
                <w:rFonts w:eastAsia="楷体_GB2312"/>
                <w:kern w:val="0"/>
                <w:sz w:val="24"/>
              </w:rPr>
            </w:pPr>
            <w:r>
              <w:rPr>
                <w:rFonts w:eastAsia="楷体_GB2312"/>
                <w:kern w:val="0"/>
                <w:sz w:val="24"/>
              </w:rPr>
              <w:t>完成率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tcPr>
          <w:p>
            <w:pPr>
              <w:spacing w:line="300" w:lineRule="exact"/>
              <w:rPr>
                <w:rFonts w:eastAsia="楷体_GB2312"/>
                <w:spacing w:val="-20"/>
                <w:kern w:val="0"/>
                <w:sz w:val="24"/>
              </w:rPr>
            </w:pPr>
            <w:r>
              <w:rPr>
                <w:rFonts w:eastAsia="楷体_GB2312"/>
                <w:spacing w:val="-20"/>
                <w:kern w:val="0"/>
                <w:sz w:val="24"/>
              </w:rPr>
              <w:t>政府采购完成率=（政府采购完成项目数/政府采购预算项目数）×100%；</w:t>
            </w:r>
          </w:p>
          <w:p>
            <w:pPr>
              <w:spacing w:line="300" w:lineRule="exact"/>
              <w:rPr>
                <w:rFonts w:eastAsia="楷体_GB2312"/>
                <w:spacing w:val="-20"/>
                <w:kern w:val="0"/>
                <w:sz w:val="24"/>
              </w:rPr>
            </w:pPr>
            <w:r>
              <w:rPr>
                <w:rFonts w:eastAsia="楷体_GB2312"/>
                <w:spacing w:val="-20"/>
                <w:kern w:val="0"/>
                <w:sz w:val="24"/>
              </w:rPr>
              <w:t>政府采购预算项目：采购机关根据事业发展计划和行政任务编制的、并经过规定程序批准的年度政府采购计划项目。</w:t>
            </w:r>
          </w:p>
        </w:tc>
        <w:tc>
          <w:tcPr>
            <w:tcW w:w="1977" w:type="dxa"/>
            <w:tcMar>
              <w:top w:w="0" w:type="dxa"/>
              <w:left w:w="105" w:type="dxa"/>
              <w:bottom w:w="0" w:type="dxa"/>
              <w:right w:w="105" w:type="dxa"/>
            </w:tcMar>
            <w:vAlign w:val="center"/>
          </w:tcPr>
          <w:p>
            <w:pPr>
              <w:spacing w:line="300" w:lineRule="exact"/>
              <w:rPr>
                <w:rFonts w:eastAsia="楷体_GB2312"/>
                <w:spacing w:val="-20"/>
                <w:kern w:val="0"/>
                <w:sz w:val="24"/>
              </w:rPr>
            </w:pPr>
            <w:r>
              <w:rPr>
                <w:rFonts w:eastAsia="楷体_GB2312"/>
                <w:spacing w:val="-20"/>
                <w:kern w:val="0"/>
                <w:sz w:val="24"/>
              </w:rPr>
              <w:t>按照完成率得分，若完成率＜50%，得0分。</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12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预算</w:t>
            </w:r>
          </w:p>
          <w:p>
            <w:pPr>
              <w:spacing w:before="100" w:beforeAutospacing="1" w:after="100" w:afterAutospacing="1"/>
              <w:jc w:val="center"/>
              <w:rPr>
                <w:rFonts w:eastAsia="楷体_GB2312"/>
                <w:kern w:val="0"/>
                <w:sz w:val="24"/>
              </w:rPr>
            </w:pPr>
            <w:r>
              <w:rPr>
                <w:rFonts w:eastAsia="楷体_GB2312"/>
                <w:kern w:val="0"/>
                <w:sz w:val="24"/>
              </w:rPr>
              <w:t>管理（10分）</w:t>
            </w:r>
          </w:p>
        </w:tc>
        <w:tc>
          <w:tcPr>
            <w:tcW w:w="796" w:type="dxa"/>
            <w:tcMar>
              <w:top w:w="0" w:type="dxa"/>
              <w:left w:w="105" w:type="dxa"/>
              <w:bottom w:w="0" w:type="dxa"/>
              <w:right w:w="105" w:type="dxa"/>
            </w:tcMar>
            <w:vAlign w:val="center"/>
          </w:tcPr>
          <w:p>
            <w:pPr>
              <w:spacing w:line="280" w:lineRule="exact"/>
              <w:jc w:val="center"/>
              <w:rPr>
                <w:rFonts w:eastAsia="楷体_GB2312"/>
                <w:kern w:val="0"/>
                <w:sz w:val="24"/>
              </w:rPr>
            </w:pPr>
            <w:r>
              <w:rPr>
                <w:rFonts w:eastAsia="楷体_GB2312"/>
                <w:kern w:val="0"/>
                <w:sz w:val="24"/>
              </w:rPr>
              <w:t>资金</w:t>
            </w:r>
          </w:p>
          <w:p>
            <w:pPr>
              <w:spacing w:line="280" w:lineRule="exact"/>
              <w:jc w:val="center"/>
              <w:rPr>
                <w:rFonts w:eastAsia="楷体_GB2312"/>
                <w:kern w:val="0"/>
                <w:sz w:val="24"/>
              </w:rPr>
            </w:pPr>
            <w:r>
              <w:rPr>
                <w:rFonts w:eastAsia="楷体_GB2312"/>
                <w:kern w:val="0"/>
                <w:sz w:val="24"/>
              </w:rPr>
              <w:t>管理</w:t>
            </w:r>
          </w:p>
          <w:p>
            <w:pPr>
              <w:spacing w:line="280" w:lineRule="exact"/>
              <w:jc w:val="center"/>
              <w:rPr>
                <w:rFonts w:eastAsia="楷体_GB2312"/>
                <w:kern w:val="0"/>
                <w:sz w:val="24"/>
              </w:rPr>
            </w:pPr>
            <w:r>
              <w:rPr>
                <w:rFonts w:eastAsia="楷体_GB2312"/>
                <w:kern w:val="0"/>
                <w:sz w:val="24"/>
              </w:rPr>
              <w:t>制度</w:t>
            </w:r>
          </w:p>
          <w:p>
            <w:pPr>
              <w:spacing w:line="280" w:lineRule="exact"/>
              <w:jc w:val="center"/>
              <w:rPr>
                <w:rFonts w:eastAsia="楷体_GB2312"/>
                <w:kern w:val="0"/>
                <w:sz w:val="24"/>
              </w:rPr>
            </w:pPr>
            <w:r>
              <w:rPr>
                <w:rFonts w:eastAsia="楷体_GB2312"/>
                <w:kern w:val="0"/>
                <w:sz w:val="24"/>
              </w:rPr>
              <w:t>健全性</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制定预算资金管理办法、内部财务管理制度、内控制度、会计核算制度等是否完整，是否执行到位。</w:t>
            </w:r>
          </w:p>
        </w:tc>
        <w:tc>
          <w:tcPr>
            <w:tcW w:w="1977" w:type="dxa"/>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每发现一项问题，扣1分，扣完为止。</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vMerge w:val="restart"/>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资金</w:t>
            </w:r>
          </w:p>
          <w:p>
            <w:pPr>
              <w:spacing w:line="300" w:lineRule="exact"/>
              <w:jc w:val="center"/>
              <w:rPr>
                <w:rFonts w:eastAsia="楷体_GB2312"/>
                <w:kern w:val="0"/>
                <w:sz w:val="24"/>
              </w:rPr>
            </w:pPr>
            <w:r>
              <w:rPr>
                <w:rFonts w:eastAsia="楷体_GB2312"/>
                <w:kern w:val="0"/>
                <w:sz w:val="24"/>
              </w:rPr>
              <w:t>使用</w:t>
            </w:r>
          </w:p>
          <w:p>
            <w:pPr>
              <w:spacing w:line="300" w:lineRule="exact"/>
              <w:jc w:val="center"/>
              <w:rPr>
                <w:rFonts w:eastAsia="楷体_GB2312"/>
                <w:kern w:val="0"/>
                <w:sz w:val="24"/>
              </w:rPr>
            </w:pPr>
            <w:r>
              <w:rPr>
                <w:rFonts w:eastAsia="楷体_GB2312"/>
                <w:kern w:val="0"/>
                <w:sz w:val="24"/>
              </w:rPr>
              <w:t>合规性</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pPr>
              <w:spacing w:line="300" w:lineRule="exact"/>
              <w:rPr>
                <w:rFonts w:eastAsia="楷体_GB2312"/>
                <w:spacing w:val="-20"/>
                <w:kern w:val="0"/>
                <w:sz w:val="24"/>
              </w:rPr>
            </w:pPr>
            <w:r>
              <w:rPr>
                <w:rFonts w:eastAsia="楷体_GB2312"/>
                <w:spacing w:val="-20"/>
                <w:kern w:val="0"/>
                <w:sz w:val="24"/>
              </w:rPr>
              <w:t>部门预算资金使用是否符合相关的预算财务管理制度的规定。如①是否符合国家财经法规和财务管理制度规定，以及有关专项资金管理办法的规定；②资金的拨付是否有完整的审批程序和手续；③项目的重大开支是否经过评估论证；④是否存在截留、挤占、挪用、虚列支出等情况。</w:t>
            </w:r>
          </w:p>
        </w:tc>
        <w:tc>
          <w:tcPr>
            <w:tcW w:w="1977" w:type="dxa"/>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合规率100%得2分；合规率每下降1%，扣0.5分，扣完为止。</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vMerge w:val="continue"/>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6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资金</w:t>
            </w:r>
          </w:p>
          <w:p>
            <w:pPr>
              <w:spacing w:line="300" w:lineRule="exact"/>
              <w:jc w:val="center"/>
              <w:rPr>
                <w:rFonts w:eastAsia="楷体_GB2312"/>
                <w:kern w:val="0"/>
                <w:sz w:val="24"/>
              </w:rPr>
            </w:pPr>
            <w:r>
              <w:rPr>
                <w:rFonts w:eastAsia="楷体_GB2312"/>
                <w:kern w:val="0"/>
                <w:sz w:val="24"/>
              </w:rPr>
              <w:t>使用</w:t>
            </w:r>
          </w:p>
          <w:p>
            <w:pPr>
              <w:spacing w:line="300" w:lineRule="exact"/>
              <w:jc w:val="center"/>
              <w:rPr>
                <w:rFonts w:eastAsia="楷体_GB2312"/>
                <w:kern w:val="0"/>
                <w:sz w:val="24"/>
              </w:rPr>
            </w:pPr>
            <w:r>
              <w:rPr>
                <w:rFonts w:eastAsia="楷体_GB2312"/>
                <w:kern w:val="0"/>
                <w:sz w:val="24"/>
              </w:rPr>
              <w:t>合理性</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部门预算资金使用是否与批准的预算及其预算内容相符合。</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相符率100%得2分；相符率每下降1%，扣0.5分，扣完为止。</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42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整改</w:t>
            </w:r>
          </w:p>
          <w:p>
            <w:pPr>
              <w:spacing w:line="300" w:lineRule="exact"/>
              <w:jc w:val="center"/>
              <w:rPr>
                <w:rFonts w:eastAsia="楷体_GB2312"/>
                <w:kern w:val="0"/>
                <w:sz w:val="24"/>
              </w:rPr>
            </w:pPr>
            <w:r>
              <w:rPr>
                <w:rFonts w:eastAsia="楷体_GB2312"/>
                <w:kern w:val="0"/>
                <w:sz w:val="24"/>
              </w:rPr>
              <w:t>落实</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是否对近三年内审计、财政等部门各项检查中、绩效评价发现违法违规问题已经进行有效整改。</w:t>
            </w:r>
          </w:p>
        </w:tc>
        <w:tc>
          <w:tcPr>
            <w:tcW w:w="1977" w:type="dxa"/>
            <w:tcMar>
              <w:top w:w="0" w:type="dxa"/>
              <w:left w:w="105" w:type="dxa"/>
              <w:bottom w:w="0" w:type="dxa"/>
              <w:right w:w="105" w:type="dxa"/>
            </w:tcMar>
          </w:tcPr>
          <w:p>
            <w:pPr>
              <w:spacing w:line="300" w:lineRule="exact"/>
              <w:rPr>
                <w:rFonts w:eastAsia="楷体_GB2312"/>
                <w:spacing w:val="-20"/>
                <w:kern w:val="0"/>
                <w:sz w:val="24"/>
              </w:rPr>
            </w:pPr>
            <w:r>
              <w:rPr>
                <w:rFonts w:eastAsia="楷体_GB2312"/>
                <w:spacing w:val="-20"/>
                <w:kern w:val="0"/>
                <w:sz w:val="24"/>
              </w:rPr>
              <w:t>没发现违法违规问题或发现违法违纪行为并积极制定措施全部整改的，得3分；部分整改的，视整改情况得1-2分；未整改的，得0分。</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39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资产管理（5分）</w:t>
            </w: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资产</w:t>
            </w:r>
          </w:p>
          <w:p>
            <w:pPr>
              <w:spacing w:line="300" w:lineRule="exact"/>
              <w:jc w:val="center"/>
              <w:rPr>
                <w:rFonts w:eastAsia="楷体_GB2312"/>
                <w:kern w:val="0"/>
                <w:sz w:val="24"/>
              </w:rPr>
            </w:pPr>
            <w:r>
              <w:rPr>
                <w:rFonts w:eastAsia="楷体_GB2312"/>
                <w:kern w:val="0"/>
                <w:sz w:val="24"/>
              </w:rPr>
              <w:t>管理</w:t>
            </w:r>
          </w:p>
          <w:p>
            <w:pPr>
              <w:spacing w:line="300" w:lineRule="exact"/>
              <w:jc w:val="center"/>
              <w:rPr>
                <w:rFonts w:eastAsia="楷体_GB2312"/>
                <w:kern w:val="0"/>
                <w:sz w:val="24"/>
              </w:rPr>
            </w:pPr>
            <w:r>
              <w:rPr>
                <w:rFonts w:eastAsia="楷体_GB2312"/>
                <w:kern w:val="0"/>
                <w:sz w:val="24"/>
              </w:rPr>
              <w:t>制度</w:t>
            </w:r>
          </w:p>
          <w:p>
            <w:pPr>
              <w:spacing w:line="300" w:lineRule="exact"/>
              <w:jc w:val="center"/>
              <w:rPr>
                <w:rFonts w:eastAsia="楷体_GB2312"/>
                <w:kern w:val="0"/>
                <w:sz w:val="24"/>
              </w:rPr>
            </w:pPr>
            <w:r>
              <w:rPr>
                <w:rFonts w:eastAsia="楷体_GB2312"/>
                <w:kern w:val="0"/>
                <w:sz w:val="24"/>
              </w:rPr>
              <w:t>健全性</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1</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部门为加强资产管理、规范资产管理行为而制定的管理制度是否健全完整，是否合法合规，是否执行到位。</w:t>
            </w:r>
          </w:p>
        </w:tc>
        <w:tc>
          <w:tcPr>
            <w:tcW w:w="1977" w:type="dxa"/>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每发现一项问题，扣0.5分，扣完为止。</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40"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资产</w:t>
            </w:r>
          </w:p>
          <w:p>
            <w:pPr>
              <w:spacing w:line="300" w:lineRule="exact"/>
              <w:jc w:val="center"/>
              <w:rPr>
                <w:rFonts w:eastAsia="楷体_GB2312"/>
                <w:kern w:val="0"/>
                <w:sz w:val="24"/>
              </w:rPr>
            </w:pPr>
            <w:r>
              <w:rPr>
                <w:rFonts w:eastAsia="楷体_GB2312"/>
                <w:kern w:val="0"/>
                <w:sz w:val="24"/>
              </w:rPr>
              <w:t>管理</w:t>
            </w:r>
          </w:p>
          <w:p>
            <w:pPr>
              <w:spacing w:line="300" w:lineRule="exact"/>
              <w:jc w:val="center"/>
              <w:rPr>
                <w:rFonts w:eastAsia="楷体_GB2312"/>
                <w:kern w:val="0"/>
                <w:sz w:val="24"/>
              </w:rPr>
            </w:pPr>
            <w:r>
              <w:rPr>
                <w:rFonts w:eastAsia="楷体_GB2312"/>
                <w:kern w:val="0"/>
                <w:sz w:val="24"/>
              </w:rPr>
              <w:t>安全性</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部门的资产是否保存完整、使用合规、配置合理、处置规范、收入及时足额上缴。</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每发现一项问题，扣0.5分，扣完为止。</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2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固定</w:t>
            </w:r>
          </w:p>
          <w:p>
            <w:pPr>
              <w:spacing w:line="300" w:lineRule="exact"/>
              <w:jc w:val="center"/>
              <w:rPr>
                <w:rFonts w:eastAsia="楷体_GB2312"/>
                <w:kern w:val="0"/>
                <w:sz w:val="24"/>
              </w:rPr>
            </w:pPr>
            <w:r>
              <w:rPr>
                <w:rFonts w:eastAsia="楷体_GB2312"/>
                <w:kern w:val="0"/>
                <w:sz w:val="24"/>
              </w:rPr>
              <w:t>资产</w:t>
            </w:r>
          </w:p>
          <w:p>
            <w:pPr>
              <w:spacing w:line="300" w:lineRule="exact"/>
              <w:jc w:val="center"/>
              <w:rPr>
                <w:rFonts w:eastAsia="楷体_GB2312"/>
                <w:kern w:val="0"/>
                <w:sz w:val="24"/>
              </w:rPr>
            </w:pPr>
            <w:r>
              <w:rPr>
                <w:rFonts w:eastAsia="楷体_GB2312"/>
                <w:kern w:val="0"/>
                <w:sz w:val="24"/>
              </w:rPr>
              <w:t>利用率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固定资产利用率=（实际在用固定资产总额/所有固定资产总额）×100%</w:t>
            </w:r>
          </w:p>
        </w:tc>
        <w:tc>
          <w:tcPr>
            <w:tcW w:w="1977" w:type="dxa"/>
            <w:tcMar>
              <w:top w:w="0" w:type="dxa"/>
              <w:left w:w="105" w:type="dxa"/>
              <w:bottom w:w="0" w:type="dxa"/>
              <w:right w:w="105" w:type="dxa"/>
            </w:tcMar>
            <w:vAlign w:val="center"/>
          </w:tcPr>
          <w:p>
            <w:pPr>
              <w:spacing w:line="300" w:lineRule="exact"/>
              <w:jc w:val="left"/>
              <w:rPr>
                <w:rFonts w:eastAsia="楷体_GB2312"/>
                <w:spacing w:val="-20"/>
                <w:kern w:val="0"/>
                <w:sz w:val="24"/>
              </w:rPr>
            </w:pPr>
            <w:r>
              <w:rPr>
                <w:rFonts w:eastAsia="楷体_GB2312"/>
                <w:spacing w:val="-20"/>
                <w:kern w:val="0"/>
                <w:sz w:val="24"/>
              </w:rPr>
              <w:t>99%≤结果≤100%，得2分；90%≤结果＜99%，得1分；结果＜90%，得0分。</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84" w:hRule="atLeast"/>
          <w:tblCellSpacing w:w="0" w:type="dxa"/>
          <w:jc w:val="center"/>
        </w:trPr>
        <w:tc>
          <w:tcPr>
            <w:tcW w:w="66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产出与效果(共50分)</w:t>
            </w:r>
          </w:p>
        </w:tc>
        <w:tc>
          <w:tcPr>
            <w:tcW w:w="78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p>
          <w:p>
            <w:pPr>
              <w:spacing w:before="100" w:beforeAutospacing="1" w:after="100" w:afterAutospacing="1"/>
              <w:jc w:val="center"/>
              <w:rPr>
                <w:rFonts w:eastAsia="楷体_GB2312"/>
                <w:kern w:val="0"/>
                <w:sz w:val="24"/>
              </w:rPr>
            </w:pPr>
            <w:r>
              <w:rPr>
                <w:rFonts w:eastAsia="楷体_GB2312"/>
                <w:kern w:val="0"/>
                <w:sz w:val="24"/>
              </w:rPr>
              <w:t>产出指标（30分）</w:t>
            </w: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数量</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7</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对照整体绩效目标评价。未设置整体绩效目标，或整体绩效目标设置不完善的，根据部门年度履行职责主要工作和重点工作计划任务数与实际完成任务数的比率评价得分。</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对照绩效目标，按实际产出数量率计算得分</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308"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质量</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15</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对照整体绩效目标评价。未设置整体绩效目标，或整体绩效目标设置不完善的，根据部门年度履行职责主要工作和重点工作，标识具体明确的产出质量。</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对照绩效目标，按实际产出质量计算得分</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494"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时效</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8</w:t>
            </w:r>
          </w:p>
        </w:tc>
        <w:tc>
          <w:tcPr>
            <w:tcW w:w="3575" w:type="dxa"/>
            <w:tcMar>
              <w:top w:w="0" w:type="dxa"/>
              <w:left w:w="105" w:type="dxa"/>
              <w:bottom w:w="0" w:type="dxa"/>
              <w:right w:w="105" w:type="dxa"/>
            </w:tcMar>
          </w:tcPr>
          <w:p>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对照整体绩效目标评价。未设置整体绩效目标，或整体绩效目标设置不完善的，根据部门年度履行职责主要工作和重点工作，标识具体明确的产出时效。</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对照绩效目标，按实际产出时效计算得分</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684"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效益指标（20分）</w:t>
            </w: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经济</w:t>
            </w:r>
          </w:p>
          <w:p>
            <w:pPr>
              <w:spacing w:line="300" w:lineRule="exact"/>
              <w:jc w:val="center"/>
              <w:rPr>
                <w:rFonts w:eastAsia="楷体_GB2312"/>
                <w:kern w:val="0"/>
                <w:sz w:val="24"/>
              </w:rPr>
            </w:pPr>
            <w:r>
              <w:rPr>
                <w:rFonts w:eastAsia="楷体_GB2312"/>
                <w:kern w:val="0"/>
                <w:sz w:val="24"/>
              </w:rPr>
              <w:t>效益</w:t>
            </w:r>
          </w:p>
        </w:tc>
        <w:tc>
          <w:tcPr>
            <w:tcW w:w="72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15</w:t>
            </w:r>
          </w:p>
          <w:p>
            <w:pPr>
              <w:spacing w:before="100" w:beforeAutospacing="1" w:after="100" w:afterAutospacing="1"/>
              <w:jc w:val="center"/>
              <w:rPr>
                <w:rFonts w:eastAsia="楷体_GB2312"/>
                <w:kern w:val="0"/>
                <w:sz w:val="24"/>
              </w:rPr>
            </w:pPr>
            <w:r>
              <w:rPr>
                <w:rFonts w:eastAsia="楷体_GB2312"/>
                <w:kern w:val="0"/>
                <w:sz w:val="24"/>
              </w:rPr>
              <w:t>（根据需要增减指标并赋分值）</w:t>
            </w:r>
          </w:p>
          <w:p>
            <w:pPr>
              <w:spacing w:before="100" w:beforeAutospacing="1" w:after="100" w:afterAutospacing="1"/>
              <w:jc w:val="center"/>
              <w:rPr>
                <w:rFonts w:eastAsia="楷体_GB2312"/>
                <w:kern w:val="0"/>
                <w:sz w:val="24"/>
              </w:rPr>
            </w:pPr>
          </w:p>
        </w:tc>
        <w:tc>
          <w:tcPr>
            <w:tcW w:w="3575" w:type="dxa"/>
            <w:tcMar>
              <w:top w:w="0" w:type="dxa"/>
              <w:left w:w="105" w:type="dxa"/>
              <w:bottom w:w="0" w:type="dxa"/>
              <w:right w:w="105" w:type="dxa"/>
            </w:tcMar>
          </w:tcPr>
          <w:p>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对照整体绩效目标评价。未设置整体绩效目标，或整体绩效目标设置不完善的，根据部门年度履行职责主要工作和重点工作，标识所产生的直接或间接的经济效益</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对照绩效目标，按经济效益实现程度计算得分</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566"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vAlign w:val="center"/>
          </w:tcPr>
          <w:p>
            <w:pPr>
              <w:spacing w:line="300" w:lineRule="exact"/>
              <w:jc w:val="center"/>
              <w:rPr>
                <w:rFonts w:eastAsia="楷体_GB2312"/>
                <w:kern w:val="0"/>
                <w:sz w:val="24"/>
              </w:rPr>
            </w:pPr>
            <w:r>
              <w:rPr>
                <w:rFonts w:eastAsia="楷体_GB2312"/>
                <w:kern w:val="0"/>
                <w:sz w:val="24"/>
              </w:rPr>
              <w:t>社会</w:t>
            </w:r>
          </w:p>
          <w:p>
            <w:pPr>
              <w:spacing w:line="300" w:lineRule="exact"/>
              <w:jc w:val="center"/>
              <w:rPr>
                <w:rFonts w:eastAsia="楷体_GB2312"/>
                <w:kern w:val="0"/>
                <w:sz w:val="24"/>
              </w:rPr>
            </w:pPr>
            <w:r>
              <w:rPr>
                <w:rFonts w:eastAsia="楷体_GB2312"/>
                <w:kern w:val="0"/>
                <w:sz w:val="24"/>
              </w:rPr>
              <w:t>效益</w:t>
            </w:r>
          </w:p>
        </w:tc>
        <w:tc>
          <w:tcPr>
            <w:tcW w:w="720" w:type="dxa"/>
            <w:vMerge w:val="continue"/>
            <w:vAlign w:val="center"/>
          </w:tcPr>
          <w:p>
            <w:pPr>
              <w:jc w:val="center"/>
              <w:rPr>
                <w:rFonts w:eastAsia="楷体_GB2312"/>
                <w:kern w:val="0"/>
                <w:sz w:val="24"/>
              </w:rPr>
            </w:pPr>
          </w:p>
        </w:tc>
        <w:tc>
          <w:tcPr>
            <w:tcW w:w="3575" w:type="dxa"/>
            <w:tcMar>
              <w:top w:w="0" w:type="dxa"/>
              <w:left w:w="105" w:type="dxa"/>
              <w:bottom w:w="0" w:type="dxa"/>
              <w:right w:w="105" w:type="dxa"/>
            </w:tcMar>
          </w:tcPr>
          <w:p>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对照整体绩效目标评价。未设置整体绩效目标，或整体绩效目标设置不完善的，根据部门年度履行职责主要工作和重点工作，标识所产生的社会效益</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对照绩效目标，按社会效益实现程度计算得分</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860"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vAlign w:val="center"/>
          </w:tcPr>
          <w:p>
            <w:pPr>
              <w:spacing w:line="300" w:lineRule="exact"/>
              <w:jc w:val="center"/>
              <w:rPr>
                <w:rFonts w:eastAsia="楷体_GB2312"/>
                <w:kern w:val="0"/>
                <w:sz w:val="24"/>
              </w:rPr>
            </w:pPr>
            <w:r>
              <w:rPr>
                <w:rFonts w:eastAsia="楷体_GB2312"/>
                <w:kern w:val="0"/>
                <w:sz w:val="24"/>
              </w:rPr>
              <w:t>环境</w:t>
            </w:r>
          </w:p>
          <w:p>
            <w:pPr>
              <w:spacing w:line="300" w:lineRule="exact"/>
              <w:jc w:val="center"/>
              <w:rPr>
                <w:rFonts w:eastAsia="楷体_GB2312"/>
                <w:kern w:val="0"/>
                <w:sz w:val="24"/>
              </w:rPr>
            </w:pPr>
            <w:r>
              <w:rPr>
                <w:rFonts w:eastAsia="楷体_GB2312"/>
                <w:kern w:val="0"/>
                <w:sz w:val="24"/>
              </w:rPr>
              <w:t>效益</w:t>
            </w:r>
          </w:p>
        </w:tc>
        <w:tc>
          <w:tcPr>
            <w:tcW w:w="720" w:type="dxa"/>
            <w:vMerge w:val="continue"/>
            <w:vAlign w:val="center"/>
          </w:tcPr>
          <w:p>
            <w:pPr>
              <w:jc w:val="center"/>
              <w:rPr>
                <w:rFonts w:eastAsia="楷体_GB2312"/>
                <w:kern w:val="0"/>
                <w:sz w:val="24"/>
              </w:rPr>
            </w:pP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对照整体绩效目标评价。未设置整体绩效目标，或整体绩效目标设置不完善的，根据部门年度履行职责主要工作和重点工作，标识对环境所产生的积极或消极影响</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对照绩效目标，按对环境所产生的实际影响程度计算得分</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496"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vAlign w:val="center"/>
          </w:tcPr>
          <w:p>
            <w:pPr>
              <w:spacing w:line="300" w:lineRule="exact"/>
              <w:jc w:val="center"/>
              <w:rPr>
                <w:rFonts w:eastAsia="楷体_GB2312"/>
                <w:kern w:val="0"/>
                <w:sz w:val="24"/>
              </w:rPr>
            </w:pPr>
            <w:r>
              <w:rPr>
                <w:rFonts w:eastAsia="楷体_GB2312"/>
                <w:kern w:val="0"/>
                <w:sz w:val="24"/>
              </w:rPr>
              <w:t>可持续性</w:t>
            </w:r>
          </w:p>
        </w:tc>
        <w:tc>
          <w:tcPr>
            <w:tcW w:w="720" w:type="dxa"/>
            <w:vMerge w:val="continue"/>
            <w:vAlign w:val="center"/>
          </w:tcPr>
          <w:p>
            <w:pPr>
              <w:jc w:val="center"/>
              <w:rPr>
                <w:rFonts w:eastAsia="楷体_GB2312"/>
                <w:kern w:val="0"/>
                <w:sz w:val="24"/>
              </w:rPr>
            </w:pPr>
          </w:p>
        </w:tc>
        <w:tc>
          <w:tcPr>
            <w:tcW w:w="3575" w:type="dxa"/>
            <w:tcMar>
              <w:top w:w="0" w:type="dxa"/>
              <w:left w:w="105" w:type="dxa"/>
              <w:bottom w:w="0" w:type="dxa"/>
              <w:right w:w="105" w:type="dxa"/>
            </w:tcMar>
          </w:tcPr>
          <w:p>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对照整体绩效目标评价。未设置整体绩效目标，或整体绩效目标设置不完善的，根据部门年度履行职责主要工作和重点工作，标识可持续性</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对照绩效目标，按实际情况计算得分</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12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260" w:lineRule="exact"/>
              <w:jc w:val="center"/>
              <w:rPr>
                <w:rFonts w:eastAsia="楷体_GB2312"/>
                <w:kern w:val="0"/>
                <w:sz w:val="24"/>
              </w:rPr>
            </w:pPr>
            <w:r>
              <w:rPr>
                <w:rFonts w:eastAsia="楷体_GB2312"/>
                <w:kern w:val="0"/>
                <w:sz w:val="24"/>
              </w:rPr>
              <w:t>社会公众与服务对象满意度</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社会公众、服务对象对部门主要工作实施的满意程度</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按收集到的社会公众、服务对象的满意率计算得分</w:t>
            </w:r>
          </w:p>
        </w:tc>
        <w:tc>
          <w:tcPr>
            <w:tcW w:w="989" w:type="dxa"/>
            <w:tcMar>
              <w:top w:w="0" w:type="dxa"/>
              <w:left w:w="105" w:type="dxa"/>
              <w:bottom w:w="0" w:type="dxa"/>
              <w:right w:w="105" w:type="dxa"/>
            </w:tcMar>
            <w:vAlign w:val="center"/>
          </w:tcPr>
          <w:p>
            <w:pPr>
              <w:jc w:val="center"/>
              <w:rPr>
                <w:rFonts w:eastAsia="楷体_GB2312"/>
                <w:kern w:val="0"/>
                <w:sz w:val="24"/>
              </w:rPr>
            </w:pP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0" w:hRule="atLeast"/>
          <w:tblCellSpacing w:w="0" w:type="dxa"/>
          <w:jc w:val="center"/>
        </w:trPr>
        <w:tc>
          <w:tcPr>
            <w:tcW w:w="66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合计</w:t>
            </w:r>
          </w:p>
        </w:tc>
        <w:tc>
          <w:tcPr>
            <w:tcW w:w="78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w:t>
            </w:r>
          </w:p>
        </w:tc>
        <w:tc>
          <w:tcPr>
            <w:tcW w:w="796"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100</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w:t>
            </w:r>
          </w:p>
        </w:tc>
        <w:tc>
          <w:tcPr>
            <w:tcW w:w="989"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1" w:type="dxa"/>
          <w:trHeight w:val="1125" w:hRule="atLeast"/>
          <w:tblCellSpacing w:w="0" w:type="dxa"/>
          <w:jc w:val="center"/>
        </w:trPr>
        <w:tc>
          <w:tcPr>
            <w:tcW w:w="660" w:type="dxa"/>
            <w:tcMar>
              <w:top w:w="0" w:type="dxa"/>
              <w:left w:w="105" w:type="dxa"/>
              <w:bottom w:w="0" w:type="dxa"/>
              <w:right w:w="105" w:type="dxa"/>
            </w:tcMar>
            <w:vAlign w:val="center"/>
          </w:tcPr>
          <w:p>
            <w:pPr>
              <w:spacing w:before="100" w:beforeAutospacing="1" w:after="100" w:afterAutospacing="1"/>
              <w:jc w:val="center"/>
              <w:rPr>
                <w:rFonts w:ascii="楷体_GB2312" w:hAnsi="楷体_GB2312" w:eastAsia="楷体_GB2312" w:cs="楷体_GB2312"/>
                <w:kern w:val="0"/>
                <w:sz w:val="24"/>
              </w:rPr>
            </w:pPr>
            <w:r>
              <w:rPr>
                <w:rFonts w:hint="eastAsia" w:ascii="楷体_GB2312" w:hAnsi="楷体_GB2312" w:eastAsia="楷体_GB2312" w:cs="楷体_GB2312"/>
                <w:kern w:val="0"/>
                <w:sz w:val="24"/>
              </w:rPr>
              <w:t>评价等次</w:t>
            </w:r>
          </w:p>
        </w:tc>
        <w:tc>
          <w:tcPr>
            <w:tcW w:w="9349" w:type="dxa"/>
            <w:gridSpan w:val="7"/>
            <w:tcMar>
              <w:top w:w="0" w:type="dxa"/>
              <w:left w:w="105" w:type="dxa"/>
              <w:bottom w:w="0" w:type="dxa"/>
              <w:right w:w="105" w:type="dxa"/>
            </w:tcMar>
            <w:vAlign w:val="center"/>
          </w:tcPr>
          <w:p>
            <w:pPr>
              <w:spacing w:before="100" w:beforeAutospacing="1" w:after="100" w:afterAutospacing="1"/>
              <w:rPr>
                <w:rFonts w:ascii="楷体_GB2312" w:hAnsi="楷体_GB2312" w:eastAsia="楷体_GB2312" w:cs="楷体_GB2312"/>
                <w:kern w:val="0"/>
                <w:sz w:val="24"/>
              </w:rPr>
            </w:pPr>
            <w:r>
              <w:rPr>
                <w:rFonts w:hint="eastAsia" w:ascii="楷体_GB2312" w:hAnsi="楷体_GB2312" w:eastAsia="楷体_GB2312" w:cs="楷体_GB2312"/>
                <w:kern w:val="0"/>
                <w:sz w:val="24"/>
              </w:rPr>
              <w:t>□优秀  9</w:t>
            </w:r>
            <w:r>
              <w:rPr>
                <w:rFonts w:ascii="楷体_GB2312" w:hAnsi="楷体_GB2312" w:eastAsia="楷体_GB2312" w:cs="楷体_GB2312"/>
                <w:kern w:val="0"/>
                <w:sz w:val="24"/>
              </w:rPr>
              <w:t>5</w:t>
            </w:r>
            <w:r>
              <w:rPr>
                <w:rFonts w:hint="eastAsia" w:ascii="楷体_GB2312" w:hAnsi="楷体_GB2312" w:eastAsia="楷体_GB2312" w:cs="楷体_GB2312"/>
                <w:kern w:val="0"/>
                <w:sz w:val="24"/>
              </w:rPr>
              <w:t xml:space="preserve">分≤得分≤100分；  □良好  </w:t>
            </w:r>
            <w:r>
              <w:rPr>
                <w:rFonts w:ascii="楷体_GB2312" w:hAnsi="楷体_GB2312" w:eastAsia="楷体_GB2312" w:cs="楷体_GB2312"/>
                <w:kern w:val="0"/>
                <w:sz w:val="24"/>
              </w:rPr>
              <w:t>80</w:t>
            </w:r>
            <w:r>
              <w:rPr>
                <w:rFonts w:hint="eastAsia" w:ascii="楷体_GB2312" w:hAnsi="楷体_GB2312" w:eastAsia="楷体_GB2312" w:cs="楷体_GB2312"/>
                <w:kern w:val="0"/>
                <w:sz w:val="24"/>
              </w:rPr>
              <w:t>分≤得分＜9</w:t>
            </w:r>
            <w:r>
              <w:rPr>
                <w:rFonts w:ascii="楷体_GB2312" w:hAnsi="楷体_GB2312" w:eastAsia="楷体_GB2312" w:cs="楷体_GB2312"/>
                <w:kern w:val="0"/>
                <w:sz w:val="24"/>
              </w:rPr>
              <w:t>5</w:t>
            </w:r>
            <w:r>
              <w:rPr>
                <w:rFonts w:hint="eastAsia" w:ascii="楷体_GB2312" w:hAnsi="楷体_GB2312" w:eastAsia="楷体_GB2312" w:cs="楷体_GB2312"/>
                <w:kern w:val="0"/>
                <w:sz w:val="24"/>
              </w:rPr>
              <w:t>分；□一般  60分≤得分＜</w:t>
            </w:r>
            <w:r>
              <w:rPr>
                <w:rFonts w:ascii="楷体_GB2312" w:hAnsi="楷体_GB2312" w:eastAsia="楷体_GB2312" w:cs="楷体_GB2312"/>
                <w:kern w:val="0"/>
                <w:sz w:val="24"/>
              </w:rPr>
              <w:t>80</w:t>
            </w:r>
            <w:r>
              <w:rPr>
                <w:rFonts w:hint="eastAsia" w:ascii="楷体_GB2312" w:hAnsi="楷体_GB2312" w:eastAsia="楷体_GB2312" w:cs="楷体_GB2312"/>
                <w:kern w:val="0"/>
                <w:sz w:val="24"/>
              </w:rPr>
              <w:t>分；  □较差  得分＜60分</w:t>
            </w:r>
          </w:p>
        </w:tc>
      </w:tr>
    </w:tbl>
    <w:p>
      <w:pPr>
        <w:spacing w:before="100" w:beforeAutospacing="1" w:after="100" w:afterAutospacing="1"/>
        <w:jc w:val="left"/>
        <w:rPr>
          <w:rFonts w:ascii="仿宋_GB2312" w:hAnsi="仿宋_GB2312" w:eastAsia="仿宋_GB2312" w:cs="仿宋_GB2312"/>
          <w:sz w:val="24"/>
        </w:rPr>
      </w:pPr>
    </w:p>
    <w:p>
      <w:pPr>
        <w:spacing w:before="100" w:beforeAutospacing="1" w:after="100" w:afterAutospacing="1"/>
        <w:jc w:val="left"/>
        <w:rPr>
          <w:rFonts w:ascii="仿宋_GB2312" w:hAnsi="仿宋_GB2312" w:eastAsia="仿宋_GB2312" w:cs="仿宋_GB2312"/>
          <w:sz w:val="24"/>
        </w:rPr>
      </w:pPr>
    </w:p>
    <w:p>
      <w:pPr>
        <w:spacing w:before="100" w:beforeAutospacing="1" w:after="100" w:afterAutospacing="1"/>
        <w:jc w:val="left"/>
        <w:rPr>
          <w:rFonts w:ascii="仿宋_GB2312" w:hAnsi="仿宋_GB2312" w:eastAsia="仿宋_GB2312" w:cs="仿宋_GB2312"/>
          <w:kern w:val="0"/>
          <w:sz w:val="24"/>
        </w:rPr>
      </w:pPr>
      <w:r>
        <w:rPr>
          <w:rFonts w:hint="eastAsia" w:ascii="仿宋_GB2312" w:hAnsi="仿宋_GB2312" w:eastAsia="仿宋_GB2312" w:cs="仿宋_GB2312"/>
          <w:sz w:val="24"/>
        </w:rPr>
        <w:t>附件2-2</w:t>
      </w:r>
    </w:p>
    <w:p>
      <w:pPr>
        <w:pStyle w:val="4"/>
        <w:widowControl w:val="0"/>
        <w:spacing w:before="0" w:beforeAutospacing="0" w:after="0" w:afterAutospacing="0" w:line="800" w:lineRule="exact"/>
        <w:jc w:val="center"/>
        <w:rPr>
          <w:rStyle w:val="6"/>
          <w:rFonts w:cs="Times New Roman" w:asciiTheme="majorEastAsia" w:hAnsiTheme="majorEastAsia" w:eastAsiaTheme="majorEastAsia"/>
          <w:bCs w:val="0"/>
          <w:spacing w:val="-20"/>
          <w:sz w:val="44"/>
          <w:szCs w:val="44"/>
        </w:rPr>
      </w:pPr>
      <w:r>
        <w:rPr>
          <w:rStyle w:val="6"/>
          <w:rFonts w:cs="Times New Roman" w:asciiTheme="majorEastAsia" w:hAnsiTheme="majorEastAsia" w:eastAsiaTheme="majorEastAsia"/>
          <w:bCs w:val="0"/>
          <w:spacing w:val="-20"/>
          <w:sz w:val="44"/>
          <w:szCs w:val="44"/>
        </w:rPr>
        <w:t>2020年度</w:t>
      </w:r>
      <w:r>
        <w:rPr>
          <w:rStyle w:val="6"/>
          <w:rFonts w:hint="eastAsia" w:cs="Times New Roman" w:asciiTheme="majorEastAsia" w:hAnsiTheme="majorEastAsia" w:eastAsiaTheme="majorEastAsia"/>
          <w:spacing w:val="-20"/>
          <w:sz w:val="44"/>
          <w:szCs w:val="44"/>
        </w:rPr>
        <w:t>新晃县城市管理和综合执法局</w:t>
      </w:r>
      <w:r>
        <w:rPr>
          <w:rStyle w:val="6"/>
          <w:rFonts w:cs="Times New Roman" w:asciiTheme="majorEastAsia" w:hAnsiTheme="majorEastAsia" w:eastAsiaTheme="majorEastAsia"/>
          <w:bCs w:val="0"/>
          <w:spacing w:val="-20"/>
          <w:sz w:val="44"/>
          <w:szCs w:val="44"/>
        </w:rPr>
        <w:t>整体支出绩效自评报告</w:t>
      </w:r>
    </w:p>
    <w:p>
      <w:pPr>
        <w:pStyle w:val="10"/>
        <w:numPr>
          <w:ilvl w:val="0"/>
          <w:numId w:val="1"/>
        </w:numPr>
        <w:spacing w:before="240" w:line="560" w:lineRule="exact"/>
        <w:ind w:firstLineChars="0"/>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单位</w:t>
      </w:r>
      <w:r>
        <w:rPr>
          <w:rFonts w:asciiTheme="minorEastAsia" w:hAnsiTheme="minorEastAsia" w:eastAsiaTheme="minorEastAsia"/>
          <w:kern w:val="0"/>
          <w:sz w:val="32"/>
          <w:szCs w:val="32"/>
        </w:rPr>
        <w:t>基本概况</w:t>
      </w:r>
    </w:p>
    <w:p>
      <w:pPr>
        <w:spacing w:before="240" w:line="560" w:lineRule="exact"/>
        <w:ind w:firstLine="640" w:firstLineChars="200"/>
        <w:jc w:val="left"/>
        <w:rPr>
          <w:rFonts w:asciiTheme="minorEastAsia" w:hAnsiTheme="minorEastAsia" w:eastAsiaTheme="minorEastAsia"/>
          <w:kern w:val="0"/>
          <w:sz w:val="32"/>
          <w:szCs w:val="32"/>
        </w:rPr>
      </w:pPr>
      <w:r>
        <w:rPr>
          <w:rFonts w:hint="eastAsia" w:cs="宋体" w:asciiTheme="minorEastAsia" w:hAnsiTheme="minorEastAsia" w:eastAsiaTheme="minorEastAsia"/>
          <w:sz w:val="32"/>
          <w:szCs w:val="32"/>
        </w:rPr>
        <w:t>1.负责贯彻执行国家、省、市有关城市管理和综合执法的法律、法规和政策；研究制定和组织实施环境卫生、园林绿化、给排水、污水处理、户外广告、城市照明设施、城市垃圾集中处置、市政基础设施管理与维护等行业的中长期规划和年度工作计划。</w:t>
      </w:r>
    </w:p>
    <w:p>
      <w:pPr>
        <w:snapToGrid w:val="0"/>
        <w:spacing w:line="52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2.负责对城区城市管理和综合执法工作的组织领导、指挥协调、考核监督与绩效评价。</w:t>
      </w:r>
    </w:p>
    <w:p>
      <w:pPr>
        <w:snapToGrid w:val="0"/>
        <w:spacing w:line="52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3.负责“智慧城市”数字城管平台的建设和管理。</w:t>
      </w:r>
    </w:p>
    <w:p>
      <w:pPr>
        <w:snapToGrid w:val="0"/>
        <w:spacing w:line="52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4.负责城市规划区内主次干道的城市市容、环境卫生的管理工作；负责组织实施国家制定的城市市容环境卫生标准定额和行业规范；负责城区生活垃圾的集中处置和垃圾处理场的管理。</w:t>
      </w:r>
    </w:p>
    <w:p>
      <w:pPr>
        <w:snapToGrid w:val="0"/>
        <w:spacing w:line="52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5.负责城市市政公用设施、市政道路、路灯、城市桥涵、城市排水系统的管理、执法和维护工作；负责市政基础设施的一般性改造和扩建工作；负责城市主次干道（包括人行道）因实际和维护需要的临时占用、挖掘管理工作，负责城区地下管网设施的监管工作，参与编制城区市政工程设施规划、计划和市政工程竣工验收。</w:t>
      </w:r>
    </w:p>
    <w:p>
      <w:pPr>
        <w:snapToGrid w:val="0"/>
        <w:spacing w:line="52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6.负责城市规划区园林、绿化的管理工作；负责城区城市雕塑的管理和维护工作；负责城区古树名木的保护和具体承办古树名木的移植审批工作；负责城市规划区内生物多样性保护工作；负责组织实施国家制定的城市园林绿化行业标准和行业规范。</w:t>
      </w:r>
    </w:p>
    <w:p>
      <w:pPr>
        <w:snapToGrid w:val="0"/>
        <w:spacing w:line="52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7.负责城市规划区内城市供水（含二次供水）、计划用水、节约用水的管理和执法工作；负责城市排水许可证的核发；负责城区供水企业的水质监测和指导，管理城市污水处理工作。</w:t>
      </w:r>
    </w:p>
    <w:p>
      <w:pPr>
        <w:snapToGrid w:val="0"/>
        <w:spacing w:line="52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8.负责城市辖区内户外广告设置管理和执法工作。</w:t>
      </w:r>
    </w:p>
    <w:p>
      <w:pPr>
        <w:snapToGrid w:val="0"/>
        <w:spacing w:line="52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9.负责监督管理城市辖区内车辆清洗站、场。</w:t>
      </w:r>
    </w:p>
    <w:p>
      <w:pPr>
        <w:snapToGrid w:val="0"/>
        <w:spacing w:line="52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10.负责城区建筑垃圾倾倒、运输、消纳、处置的管理和执法工作。</w:t>
      </w:r>
    </w:p>
    <w:p>
      <w:pPr>
        <w:snapToGrid w:val="0"/>
        <w:spacing w:line="52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11.负责城市规划区内临时占用道路两侧和公共场地的行政许可。</w:t>
      </w:r>
    </w:p>
    <w:p>
      <w:pPr>
        <w:snapToGrid w:val="0"/>
        <w:spacing w:line="52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12.负责城市规划区内城市管理综合执法。</w:t>
      </w:r>
    </w:p>
    <w:p>
      <w:pPr>
        <w:spacing w:line="540" w:lineRule="exact"/>
        <w:rPr>
          <w:rFonts w:asciiTheme="minorEastAsia" w:hAnsiTheme="minorEastAsia" w:eastAsiaTheme="minorEastAsia"/>
          <w:sz w:val="32"/>
          <w:szCs w:val="32"/>
        </w:rPr>
      </w:pPr>
      <w:r>
        <w:rPr>
          <w:rFonts w:hint="eastAsia" w:cs="Arial" w:asciiTheme="minorEastAsia" w:hAnsiTheme="minorEastAsia" w:eastAsiaTheme="minorEastAsia"/>
          <w:color w:val="333333"/>
          <w:kern w:val="0"/>
          <w:sz w:val="32"/>
          <w:szCs w:val="32"/>
        </w:rPr>
        <w:t>（二）机构设置 </w:t>
      </w:r>
    </w:p>
    <w:p>
      <w:pPr>
        <w:widowControl/>
        <w:ind w:firstLine="640" w:firstLineChars="200"/>
        <w:jc w:val="left"/>
        <w:rPr>
          <w:rFonts w:cs="Arial" w:asciiTheme="minorEastAsia" w:hAnsiTheme="minorEastAsia" w:eastAsiaTheme="minorEastAsia"/>
          <w:color w:val="333333"/>
          <w:kern w:val="0"/>
          <w:sz w:val="32"/>
          <w:szCs w:val="32"/>
        </w:rPr>
      </w:pPr>
      <w:r>
        <w:rPr>
          <w:rFonts w:hint="eastAsia" w:asciiTheme="minorEastAsia" w:hAnsiTheme="minorEastAsia" w:eastAsiaTheme="minorEastAsia"/>
          <w:color w:val="333333"/>
          <w:sz w:val="32"/>
          <w:szCs w:val="32"/>
        </w:rPr>
        <w:t>根据上级要求，我单位核定机关行政编制为10名，设局长1名，副局长2名，股室长职数7名， 2020年末实有人员数9人。我单位设下列内设股室：办公室、公用事业管理股（园林绿化管理股）、政策法规股、行政审批服务股、市政设施管理股、督查考评股、财务装备股。</w:t>
      </w:r>
    </w:p>
    <w:p>
      <w:pPr>
        <w:pStyle w:val="10"/>
        <w:numPr>
          <w:ilvl w:val="0"/>
          <w:numId w:val="1"/>
        </w:numPr>
        <w:spacing w:line="560" w:lineRule="exact"/>
        <w:ind w:firstLineChars="0"/>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单位</w:t>
      </w:r>
      <w:r>
        <w:rPr>
          <w:rFonts w:asciiTheme="minorEastAsia" w:hAnsiTheme="minorEastAsia" w:eastAsiaTheme="minorEastAsia"/>
          <w:kern w:val="0"/>
          <w:sz w:val="32"/>
          <w:szCs w:val="32"/>
        </w:rPr>
        <w:t>整体支出绩效状况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w:t>
      </w:r>
      <w:r>
        <w:rPr>
          <w:rFonts w:asciiTheme="minorEastAsia" w:hAnsiTheme="minorEastAsia" w:eastAsiaTheme="minorEastAsia"/>
          <w:sz w:val="32"/>
          <w:szCs w:val="32"/>
        </w:rPr>
        <w:t>年度财政收支</w:t>
      </w:r>
      <w:r>
        <w:rPr>
          <w:rFonts w:hint="eastAsia" w:asciiTheme="minorEastAsia" w:hAnsiTheme="minorEastAsia" w:eastAsiaTheme="minorEastAsia"/>
          <w:sz w:val="32"/>
          <w:szCs w:val="32"/>
        </w:rPr>
        <w:t>情况总体情况说明：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年度收</w:t>
      </w:r>
      <w:r>
        <w:rPr>
          <w:rFonts w:hint="eastAsia" w:asciiTheme="minorEastAsia" w:hAnsiTheme="minorEastAsia" w:eastAsiaTheme="minorEastAsia"/>
          <w:sz w:val="32"/>
          <w:szCs w:val="32"/>
          <w:lang w:eastAsia="zh-CN"/>
        </w:rPr>
        <w:t>入合</w:t>
      </w:r>
      <w:r>
        <w:rPr>
          <w:rFonts w:hint="eastAsia" w:asciiTheme="minorEastAsia" w:hAnsiTheme="minorEastAsia" w:eastAsiaTheme="minorEastAsia"/>
          <w:sz w:val="32"/>
          <w:szCs w:val="32"/>
        </w:rPr>
        <w:t>计</w:t>
      </w:r>
      <w:r>
        <w:rPr>
          <w:rFonts w:hint="eastAsia" w:asciiTheme="minorEastAsia" w:hAnsiTheme="minorEastAsia" w:eastAsiaTheme="minorEastAsia"/>
          <w:sz w:val="32"/>
          <w:szCs w:val="32"/>
          <w:lang w:val="en-US" w:eastAsia="zh-CN"/>
        </w:rPr>
        <w:t>1522.23</w:t>
      </w:r>
      <w:r>
        <w:rPr>
          <w:rFonts w:hint="eastAsia" w:asciiTheme="minorEastAsia" w:hAnsiTheme="minorEastAsia" w:eastAsiaTheme="minorEastAsia"/>
          <w:sz w:val="32"/>
          <w:szCs w:val="32"/>
        </w:rPr>
        <w:t>万元。与201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274.07万元</w:t>
      </w:r>
      <w:r>
        <w:rPr>
          <w:rFonts w:hint="eastAsia" w:asciiTheme="minorEastAsia" w:hAnsiTheme="minorEastAsia" w:eastAsiaTheme="minorEastAsia"/>
          <w:sz w:val="32"/>
          <w:szCs w:val="32"/>
        </w:rPr>
        <w:t>相比，增加</w:t>
      </w:r>
      <w:r>
        <w:rPr>
          <w:rFonts w:hint="eastAsia" w:asciiTheme="minorEastAsia" w:hAnsiTheme="minorEastAsia" w:eastAsiaTheme="minorEastAsia"/>
          <w:sz w:val="32"/>
          <w:szCs w:val="32"/>
          <w:lang w:val="en-US" w:eastAsia="zh-CN"/>
        </w:rPr>
        <w:t>1248.16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455.42</w:t>
      </w:r>
      <w:r>
        <w:rPr>
          <w:rFonts w:hint="eastAsia" w:asciiTheme="minorEastAsia" w:hAnsiTheme="minorEastAsia" w:eastAsiaTheme="minorEastAsia"/>
          <w:sz w:val="32"/>
          <w:szCs w:val="32"/>
        </w:rPr>
        <w:t>%，主要是因为本单位是2019年6月新成立单位，所以2019年收入较少，而2020年新增了很多项目资金，所以2020年收入比2019年增加。</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w:t>
      </w:r>
      <w:r>
        <w:rPr>
          <w:rFonts w:hint="eastAsia" w:asciiTheme="minorEastAsia" w:hAnsiTheme="minorEastAsia" w:eastAsiaTheme="minorEastAsia"/>
          <w:sz w:val="32"/>
          <w:szCs w:val="32"/>
          <w:lang w:eastAsia="zh-CN"/>
        </w:rPr>
        <w:t>支出合</w:t>
      </w:r>
      <w:r>
        <w:rPr>
          <w:rFonts w:hint="eastAsia" w:asciiTheme="minorEastAsia" w:hAnsiTheme="minorEastAsia" w:eastAsiaTheme="minorEastAsia"/>
          <w:sz w:val="32"/>
          <w:szCs w:val="32"/>
        </w:rPr>
        <w:t>计</w:t>
      </w:r>
      <w:r>
        <w:rPr>
          <w:rFonts w:hint="eastAsia" w:asciiTheme="minorEastAsia" w:hAnsiTheme="minorEastAsia" w:eastAsiaTheme="minorEastAsia"/>
          <w:sz w:val="32"/>
          <w:szCs w:val="32"/>
          <w:lang w:val="en-US" w:eastAsia="zh-CN"/>
        </w:rPr>
        <w:t>1044.56</w:t>
      </w:r>
      <w:r>
        <w:rPr>
          <w:rFonts w:hint="eastAsia" w:asciiTheme="minorEastAsia" w:hAnsiTheme="minorEastAsia" w:eastAsiaTheme="minorEastAsia"/>
          <w:sz w:val="32"/>
          <w:szCs w:val="32"/>
        </w:rPr>
        <w:t>万元。与201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249.58万元</w:t>
      </w:r>
      <w:r>
        <w:rPr>
          <w:rFonts w:hint="eastAsia" w:asciiTheme="minorEastAsia" w:hAnsiTheme="minorEastAsia" w:eastAsiaTheme="minorEastAsia"/>
          <w:sz w:val="32"/>
          <w:szCs w:val="32"/>
        </w:rPr>
        <w:t>相比，增加</w:t>
      </w:r>
      <w:r>
        <w:rPr>
          <w:rFonts w:hint="eastAsia" w:asciiTheme="minorEastAsia" w:hAnsiTheme="minorEastAsia" w:eastAsiaTheme="minorEastAsia"/>
          <w:sz w:val="32"/>
          <w:szCs w:val="32"/>
          <w:lang w:val="en-US" w:eastAsia="zh-CN"/>
        </w:rPr>
        <w:t>794.98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318.53</w:t>
      </w:r>
      <w:r>
        <w:rPr>
          <w:rFonts w:hint="eastAsia" w:asciiTheme="minorEastAsia" w:hAnsiTheme="minorEastAsia" w:eastAsiaTheme="minorEastAsia"/>
          <w:sz w:val="32"/>
          <w:szCs w:val="32"/>
        </w:rPr>
        <w:t>%，主要是因为本单位是2019年6月新成立单位，所以2019年收入较少，而2020年新增了很多项目资金，所以2020年收入比2019年增加。</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年度财政拨款收</w:t>
      </w:r>
      <w:r>
        <w:rPr>
          <w:rFonts w:hint="eastAsia" w:asciiTheme="minorEastAsia" w:hAnsiTheme="minorEastAsia" w:eastAsiaTheme="minorEastAsia"/>
          <w:sz w:val="32"/>
          <w:szCs w:val="32"/>
          <w:lang w:eastAsia="zh-CN"/>
        </w:rPr>
        <w:t>入合</w:t>
      </w:r>
      <w:r>
        <w:rPr>
          <w:rFonts w:hint="eastAsia" w:asciiTheme="minorEastAsia" w:hAnsiTheme="minorEastAsia" w:eastAsiaTheme="minorEastAsia"/>
          <w:sz w:val="32"/>
          <w:szCs w:val="32"/>
        </w:rPr>
        <w:t>计</w:t>
      </w:r>
      <w:r>
        <w:rPr>
          <w:rFonts w:hint="eastAsia" w:asciiTheme="minorEastAsia" w:hAnsiTheme="minorEastAsia" w:eastAsiaTheme="minorEastAsia"/>
          <w:sz w:val="32"/>
          <w:szCs w:val="32"/>
          <w:lang w:val="en-US" w:eastAsia="zh-CN"/>
        </w:rPr>
        <w:t>1522.23</w:t>
      </w:r>
      <w:r>
        <w:rPr>
          <w:rFonts w:hint="eastAsia" w:asciiTheme="minorEastAsia" w:hAnsiTheme="minorEastAsia" w:eastAsiaTheme="minorEastAsia"/>
          <w:sz w:val="32"/>
          <w:szCs w:val="32"/>
        </w:rPr>
        <w:t>万元，与201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192.24万元</w:t>
      </w:r>
      <w:r>
        <w:rPr>
          <w:rFonts w:hint="eastAsia" w:asciiTheme="minorEastAsia" w:hAnsiTheme="minorEastAsia" w:eastAsiaTheme="minorEastAsia"/>
          <w:sz w:val="32"/>
          <w:szCs w:val="32"/>
        </w:rPr>
        <w:t>相比，增加</w:t>
      </w:r>
      <w:r>
        <w:rPr>
          <w:rFonts w:hint="eastAsia" w:asciiTheme="minorEastAsia" w:hAnsiTheme="minorEastAsia" w:eastAsiaTheme="minorEastAsia"/>
          <w:sz w:val="32"/>
          <w:szCs w:val="32"/>
          <w:lang w:val="en-US" w:eastAsia="zh-CN"/>
        </w:rPr>
        <w:t>1329.99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691.84</w:t>
      </w:r>
      <w:r>
        <w:rPr>
          <w:rFonts w:hint="eastAsia" w:asciiTheme="minorEastAsia" w:hAnsiTheme="minorEastAsia" w:eastAsiaTheme="minorEastAsia"/>
          <w:sz w:val="32"/>
          <w:szCs w:val="32"/>
        </w:rPr>
        <w:t>%，主要是因为本单位是2019年6月新成立单位，所以2019年支出较少，而2020年新增了很多项目资金，所以2020年支出比2019年增加。</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w:t>
      </w:r>
      <w:r>
        <w:rPr>
          <w:rFonts w:hint="eastAsia" w:asciiTheme="minorEastAsia" w:hAnsiTheme="minorEastAsia" w:eastAsiaTheme="minorEastAsia"/>
          <w:sz w:val="32"/>
          <w:szCs w:val="32"/>
          <w:lang w:eastAsia="zh-CN"/>
        </w:rPr>
        <w:t>支出合</w:t>
      </w:r>
      <w:r>
        <w:rPr>
          <w:rFonts w:hint="eastAsia" w:asciiTheme="minorEastAsia" w:hAnsiTheme="minorEastAsia" w:eastAsiaTheme="minorEastAsia"/>
          <w:sz w:val="32"/>
          <w:szCs w:val="32"/>
        </w:rPr>
        <w:t>计</w:t>
      </w:r>
      <w:r>
        <w:rPr>
          <w:rFonts w:hint="eastAsia" w:asciiTheme="minorEastAsia" w:hAnsiTheme="minorEastAsia" w:eastAsiaTheme="minorEastAsia"/>
          <w:sz w:val="32"/>
          <w:szCs w:val="32"/>
          <w:lang w:val="en-US" w:eastAsia="zh-CN"/>
        </w:rPr>
        <w:t>1044.56</w:t>
      </w:r>
      <w:r>
        <w:rPr>
          <w:rFonts w:hint="eastAsia" w:asciiTheme="minorEastAsia" w:hAnsiTheme="minorEastAsia" w:eastAsiaTheme="minorEastAsia"/>
          <w:sz w:val="32"/>
          <w:szCs w:val="32"/>
        </w:rPr>
        <w:t>万元，与201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192.24万元</w:t>
      </w:r>
      <w:r>
        <w:rPr>
          <w:rFonts w:hint="eastAsia" w:asciiTheme="minorEastAsia" w:hAnsiTheme="minorEastAsia" w:eastAsiaTheme="minorEastAsia"/>
          <w:sz w:val="32"/>
          <w:szCs w:val="32"/>
        </w:rPr>
        <w:t>相比，增加</w:t>
      </w:r>
      <w:r>
        <w:rPr>
          <w:rFonts w:hint="eastAsia" w:asciiTheme="minorEastAsia" w:hAnsiTheme="minorEastAsia" w:eastAsiaTheme="minorEastAsia"/>
          <w:sz w:val="32"/>
          <w:szCs w:val="32"/>
          <w:lang w:val="en-US" w:eastAsia="zh-CN"/>
        </w:rPr>
        <w:t>852.32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443.36</w:t>
      </w:r>
      <w:r>
        <w:rPr>
          <w:rFonts w:hint="eastAsia" w:asciiTheme="minorEastAsia" w:hAnsiTheme="minorEastAsia" w:eastAsiaTheme="minorEastAsia"/>
          <w:sz w:val="32"/>
          <w:szCs w:val="32"/>
        </w:rPr>
        <w:t>%，主要是因为本单位是2019年6月新成立单位，所以2019年支出较少，而2020年新增了很多项目资金，所以2020年支出比2019年增加。</w:t>
      </w:r>
      <w:bookmarkStart w:id="0" w:name="_GoBack"/>
      <w:bookmarkEnd w:id="0"/>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992.46</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1044.56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105.25</w:t>
      </w:r>
      <w:r>
        <w:rPr>
          <w:rFonts w:hint="eastAsia" w:asciiTheme="minorEastAsia" w:hAnsiTheme="minorEastAsia" w:eastAsiaTheme="minorEastAsia"/>
          <w:sz w:val="32"/>
          <w:szCs w:val="32"/>
        </w:rPr>
        <w:t>%，其中：</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1、科学技术支出（类）技术研究与开发（款）科技成果转化与扩散（项）。</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年初预算为0万元，支出决算为15万元，完成预算数的1500%，决算数大于年初预算数的主要原因是：年初没有做此项经费的预算。</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2、社会保障和就业支出（类）社会保障和就业支出（款）机关事业单位基本养老保险缴费支出（项）。</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年初预算为0万元，支出决算为7.84万元，完成预算数的784%，决算数大于年初预算数的主要原因是：年初没有做此项经费的预算。</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3、卫生健康支出（类）财政对基本医疗保险基金的补助（款）财政对职工基本医疗保险基金的补助（项）。</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年初预算为0万元，支出决算数为4.19万元，完成预算数的419%，决算数大于年初预算数的主要原因是：年初没有做此项经费的预算。</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4、节能环保支出（类）其他节能环保支出（款）其他节能环保支出（项）。</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年初预算为0万元，支出决算数为231.98万元，完成预算数的23198%，决算数大于年初预算数的主要原因是：年初没有做此项经费的预算。</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5、城乡社区支出（类）城乡社区管理事务（款）行政运行（项）。</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年初预算为992.46万元，支出决算数为113.53万元，完成预算数的11.44%，决算数小于年初预算数的主要原因是：本年年初预算全部汇总到城乡社区支出。</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城乡社区支出（类）城乡社区管理事务（款）城管执法（项）。</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年初预算为0万元，支出决算数为96.59万元，完成预算数的9659%，决算数大于年初预算数的主要原因是：年初没有做此项经费的预算。</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、住房保障支出（类）住房改革支出（款）住房公积金（项）。</w:t>
      </w:r>
    </w:p>
    <w:p>
      <w:p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年初预算为0万元，支出决算数为7.42万元，完成预算数的742%，决算数大于年初预算数的主要原因是：年初没有做此项经费的预算。</w:t>
      </w:r>
    </w:p>
    <w:p>
      <w:pPr>
        <w:ind w:firstLine="640" w:firstLineChars="200"/>
        <w:rPr>
          <w:rFonts w:cs="黑体" w:asciiTheme="minorEastAsia" w:hAnsiTheme="minorEastAsia" w:eastAsiaTheme="minorEastAsia"/>
          <w:color w:val="000000"/>
          <w:kern w:val="0"/>
          <w:sz w:val="32"/>
          <w:szCs w:val="32"/>
        </w:rPr>
      </w:pPr>
      <w:r>
        <w:rPr>
          <w:rFonts w:hint="eastAsia" w:cs="黑体" w:asciiTheme="minorEastAsia" w:hAnsiTheme="minorEastAsia" w:eastAsiaTheme="minorEastAsia"/>
          <w:color w:val="000000"/>
          <w:kern w:val="0"/>
          <w:sz w:val="32"/>
          <w:szCs w:val="32"/>
        </w:rPr>
        <w:t>国有资产占用情况</w:t>
      </w:r>
      <w:r>
        <w:rPr>
          <w:rFonts w:hint="eastAsia" w:asciiTheme="minorEastAsia" w:hAnsiTheme="minorEastAsia" w:eastAsiaTheme="minorEastAsia"/>
          <w:sz w:val="32"/>
          <w:szCs w:val="32"/>
        </w:rPr>
        <w:t>：</w:t>
      </w:r>
      <w:r>
        <w:rPr>
          <w:rFonts w:hint="eastAsia" w:cs="黑体" w:asciiTheme="minorEastAsia" w:hAnsiTheme="minorEastAsia" w:eastAsiaTheme="minorEastAsia"/>
          <w:color w:val="000000"/>
          <w:kern w:val="0"/>
          <w:sz w:val="32"/>
          <w:szCs w:val="32"/>
        </w:rPr>
        <w:t>截至2020年12月31日，本单位共有车辆1辆，其中，领导干部用车0辆、机要通信用车0辆、应急保障用车0辆、执法执勤用车0辆、特种专业技术用车0辆、其他用车0辆；单位价值50万元以上通用设备0台（套）；单位价值100万元以上专用设备0台（套）。</w:t>
      </w:r>
    </w:p>
    <w:p>
      <w:pPr>
        <w:ind w:firstLine="640" w:firstLineChars="200"/>
        <w:rPr>
          <w:rFonts w:cs="仿宋_GB2312" w:asciiTheme="minorEastAsia" w:hAnsiTheme="minorEastAsia" w:eastAsiaTheme="minorEastAsia"/>
          <w:sz w:val="32"/>
          <w:szCs w:val="32"/>
        </w:rPr>
      </w:pPr>
      <w:r>
        <w:rPr>
          <w:rFonts w:hint="eastAsia" w:asciiTheme="minorEastAsia" w:hAnsiTheme="minorEastAsia" w:eastAsiaTheme="minorEastAsia"/>
          <w:sz w:val="32"/>
          <w:szCs w:val="32"/>
        </w:rPr>
        <w:t>我单位严格按照《预算法》和相关财经纪律要求，厉行节约，杜绝不合理开支，降低行政成本，努力让财政资金发挥最大效益，较好地完成了全年预算。</w:t>
      </w:r>
      <w:r>
        <w:rPr>
          <w:rFonts w:hint="eastAsia" w:cs="仿宋_GB2312" w:asciiTheme="minorEastAsia" w:hAnsiTheme="minorEastAsia" w:eastAsiaTheme="minorEastAsia"/>
          <w:sz w:val="32"/>
          <w:szCs w:val="32"/>
        </w:rPr>
        <w:t>我单位2020年的公务用车运行维护费到12月止支出0.57万元，公务接待费到12月止支出1.39万元。</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根据《部门整体支出绩效评价指标》评分表，自评得分85分，主要绩效如下：</w:t>
      </w:r>
    </w:p>
    <w:p>
      <w:pPr>
        <w:pStyle w:val="10"/>
        <w:numPr>
          <w:ilvl w:val="0"/>
          <w:numId w:val="2"/>
        </w:numPr>
        <w:ind w:firstLineChars="0"/>
        <w:rPr>
          <w:rFonts w:asciiTheme="minorEastAsia" w:hAnsiTheme="minorEastAsia" w:eastAsiaTheme="minorEastAsia"/>
          <w:bCs/>
          <w:sz w:val="32"/>
          <w:szCs w:val="32"/>
        </w:rPr>
      </w:pPr>
      <w:r>
        <w:rPr>
          <w:rFonts w:hint="eastAsia" w:asciiTheme="minorEastAsia" w:hAnsiTheme="minorEastAsia" w:eastAsiaTheme="minorEastAsia"/>
          <w:bCs/>
          <w:sz w:val="32"/>
          <w:szCs w:val="32"/>
        </w:rPr>
        <w:t>从严治党全面加强，转变工作作风</w:t>
      </w:r>
    </w:p>
    <w:p>
      <w:pPr>
        <w:ind w:left="643" w:firstLine="640" w:firstLineChars="200"/>
        <w:rPr>
          <w:rFonts w:cs="仿宋_GB2312" w:asciiTheme="minorEastAsia" w:hAnsiTheme="minorEastAsia" w:eastAsiaTheme="minorEastAsia"/>
          <w:color w:val="000000"/>
          <w:sz w:val="32"/>
          <w:szCs w:val="32"/>
        </w:rPr>
      </w:pPr>
      <w:r>
        <w:rPr>
          <w:rFonts w:hint="eastAsia" w:asciiTheme="minorEastAsia" w:hAnsiTheme="minorEastAsia" w:eastAsiaTheme="minorEastAsia"/>
          <w:sz w:val="32"/>
          <w:szCs w:val="32"/>
        </w:rPr>
        <w:t>严格落实“一岗双责”，始终把管党治党责任扛在肩上、抓在手上。</w:t>
      </w:r>
      <w:r>
        <w:rPr>
          <w:rFonts w:hint="eastAsia" w:cs="仿宋_GB2312" w:asciiTheme="minorEastAsia" w:hAnsiTheme="minorEastAsia" w:eastAsiaTheme="minorEastAsia"/>
          <w:color w:val="000000"/>
          <w:sz w:val="32"/>
          <w:szCs w:val="32"/>
        </w:rPr>
        <w:t>按照“制度管人、督查促事”的工作思路，制定出台了《新晃侗族自治县城市管理和综合执法局2020年绩效考核督查操作办法》，</w:t>
      </w:r>
      <w:r>
        <w:rPr>
          <w:rFonts w:hint="eastAsia" w:asciiTheme="minorEastAsia" w:hAnsiTheme="minorEastAsia" w:eastAsiaTheme="minorEastAsia"/>
          <w:sz w:val="32"/>
          <w:szCs w:val="32"/>
        </w:rPr>
        <w:t>做到奖勤罚懒、奖优罚劣，以制度管事，以制度管人，促使单位管理朝着正规化、制度化方向发展。</w:t>
      </w:r>
      <w:r>
        <w:rPr>
          <w:rFonts w:hint="eastAsia" w:cs="仿宋_GB2312" w:asciiTheme="minorEastAsia" w:hAnsiTheme="minorEastAsia" w:eastAsiaTheme="minorEastAsia"/>
          <w:color w:val="000000"/>
          <w:sz w:val="32"/>
          <w:szCs w:val="32"/>
        </w:rPr>
        <w:t>共下发督查通报11期，通报迟到、旷班、不在岗、上班吃早餐、不按规定着装等问题共计297人次，扣罚当事人年终绩效奖金17800元。</w:t>
      </w:r>
    </w:p>
    <w:p>
      <w:pPr>
        <w:spacing w:line="560" w:lineRule="exact"/>
        <w:ind w:firstLine="640" w:firstLineChars="200"/>
        <w:rPr>
          <w:rFonts w:asciiTheme="minorEastAsia" w:hAnsiTheme="minorEastAsia" w:eastAsiaTheme="minorEastAsia"/>
          <w:b/>
          <w:kern w:val="0"/>
          <w:sz w:val="32"/>
          <w:szCs w:val="32"/>
        </w:rPr>
      </w:pPr>
      <w:r>
        <w:rPr>
          <w:rFonts w:hint="eastAsia" w:cs="仿宋_GB2312" w:asciiTheme="minorEastAsia" w:hAnsiTheme="minorEastAsia" w:eastAsiaTheme="minorEastAsia"/>
          <w:color w:val="000000"/>
          <w:sz w:val="32"/>
          <w:szCs w:val="32"/>
        </w:rPr>
        <w:t>（二）</w:t>
      </w:r>
      <w:r>
        <w:rPr>
          <w:rFonts w:hint="eastAsia" w:asciiTheme="minorEastAsia" w:hAnsiTheme="minorEastAsia" w:eastAsiaTheme="minorEastAsia"/>
          <w:kern w:val="0"/>
          <w:sz w:val="32"/>
          <w:szCs w:val="32"/>
        </w:rPr>
        <w:t>公用事业管理水平全面提升，改善人居环境</w:t>
      </w:r>
    </w:p>
    <w:p>
      <w:pPr>
        <w:spacing w:line="560" w:lineRule="exact"/>
        <w:ind w:firstLine="640" w:firstLineChars="200"/>
        <w:rPr>
          <w:rFonts w:asciiTheme="minorEastAsia" w:hAnsiTheme="minorEastAsia" w:eastAsiaTheme="minorEastAsia"/>
          <w:kern w:val="0"/>
          <w:sz w:val="32"/>
          <w:szCs w:val="32"/>
        </w:rPr>
      </w:pPr>
      <w:r>
        <w:rPr>
          <w:rFonts w:hint="eastAsia" w:asciiTheme="minorEastAsia" w:hAnsiTheme="minorEastAsia" w:eastAsiaTheme="minorEastAsia"/>
          <w:bCs/>
          <w:sz w:val="32"/>
          <w:szCs w:val="32"/>
        </w:rPr>
        <w:t>环境卫生保洁能力提升。</w:t>
      </w:r>
      <w:r>
        <w:rPr>
          <w:rFonts w:hint="eastAsia" w:asciiTheme="minorEastAsia" w:hAnsiTheme="minorEastAsia" w:eastAsiaTheme="minorEastAsia"/>
          <w:kern w:val="0"/>
          <w:sz w:val="32"/>
          <w:szCs w:val="32"/>
        </w:rPr>
        <w:t>我局不断完善城区环卫保洁市场化运机制，探索</w:t>
      </w:r>
      <w:r>
        <w:rPr>
          <w:rFonts w:hint="eastAsia" w:asciiTheme="minorEastAsia" w:hAnsiTheme="minorEastAsia" w:eastAsiaTheme="minorEastAsia"/>
          <w:sz w:val="32"/>
          <w:szCs w:val="32"/>
        </w:rPr>
        <w:t>变“按人付酬”为“计量付酬”，落实了“保洁全天候，管理无缝隙，责任全覆盖”责任制，增加道路机械作业清扫频率，增设街道冲洗组对街道进行循环冲洗，基本实现全天无缝隙保洁，使我县扬尘严重问题得到有效缓解。目前，我县58万m</w:t>
      </w:r>
      <w:r>
        <w:rPr>
          <w:rFonts w:hint="eastAsia" w:asciiTheme="minorEastAsia" w:hAnsiTheme="minorEastAsia" w:eastAsiaTheme="minorEastAsia"/>
          <w:sz w:val="32"/>
          <w:szCs w:val="32"/>
          <w:vertAlign w:val="superscript"/>
        </w:rPr>
        <w:t>2</w:t>
      </w:r>
      <w:r>
        <w:rPr>
          <w:rFonts w:hint="eastAsia" w:asciiTheme="minorEastAsia" w:hAnsiTheme="minorEastAsia" w:eastAsiaTheme="minorEastAsia"/>
          <w:sz w:val="32"/>
          <w:szCs w:val="32"/>
        </w:rPr>
        <w:t>清扫保洁面积、城区餐厨垃圾全部实行市场化运行。全年共清运生活垃圾2.6万吨，做到“两个100%”，即垃圾日产日清100%，密闭运输100%。</w:t>
      </w:r>
      <w:r>
        <w:rPr>
          <w:rFonts w:hint="eastAsia" w:cs="仿宋" w:asciiTheme="minorEastAsia" w:hAnsiTheme="minorEastAsia" w:eastAsiaTheme="minorEastAsia"/>
          <w:bCs/>
          <w:sz w:val="32"/>
          <w:szCs w:val="32"/>
        </w:rPr>
        <w:t>全年</w:t>
      </w:r>
      <w:r>
        <w:rPr>
          <w:rFonts w:hint="eastAsia" w:asciiTheme="minorEastAsia" w:hAnsiTheme="minorEastAsia" w:eastAsiaTheme="minorEastAsia"/>
          <w:kern w:val="0"/>
          <w:sz w:val="32"/>
          <w:szCs w:val="32"/>
        </w:rPr>
        <w:t>营造节假日喜庆气氛摆花2万盆，城区花箱栽植时令草花2万盆。按时保质保量完成了竹王大道、中山广场、夜郎广场、城标广场、城北风光带、梅子坪苗圃、320国道、燕来寺花海、城区主干道及城区绿化带的修整、补植及打草除药工作。积极配合实施</w:t>
      </w:r>
      <w:r>
        <w:rPr>
          <w:rFonts w:hint="eastAsia" w:asciiTheme="minorEastAsia" w:hAnsiTheme="minorEastAsia" w:eastAsiaTheme="minorEastAsia"/>
          <w:sz w:val="32"/>
          <w:szCs w:val="32"/>
        </w:rPr>
        <w:t>怀化迎丰公园二期植物博物园新晃园建设工程。</w:t>
      </w:r>
      <w:r>
        <w:rPr>
          <w:rFonts w:hint="eastAsia" w:asciiTheme="minorEastAsia" w:hAnsiTheme="minorEastAsia" w:eastAsiaTheme="minorEastAsia"/>
          <w:kern w:val="0"/>
          <w:sz w:val="32"/>
          <w:szCs w:val="32"/>
        </w:rPr>
        <w:t>为规范公共场所管理，彻底解决鼓楼广场脏、乱、差现象，年初组织召开鼓楼广场管理听证会，广泛听取民意，开展集中整治10余次，其中夜间整治4次，取缔卡丁车36辆，观光自行车60辆，并对存在安全隐患的娱乐泳池和大型气垫床进行清理。现正对城北鼓楼广场实施区域划分，目前已完成农产品销售专区和游艺专区规划。汛情期间，在竹王大道、城北观光道等沿河入口处设置防洪警示牌56块，清理广场被淹退洪面积约700m</w:t>
      </w:r>
      <w:r>
        <w:rPr>
          <w:rFonts w:hint="eastAsia" w:asciiTheme="minorEastAsia" w:hAnsiTheme="minorEastAsia" w:eastAsiaTheme="minorEastAsia"/>
          <w:kern w:val="0"/>
          <w:sz w:val="32"/>
          <w:szCs w:val="32"/>
          <w:vertAlign w:val="superscript"/>
        </w:rPr>
        <w:t>2</w:t>
      </w:r>
      <w:r>
        <w:rPr>
          <w:rFonts w:hint="eastAsia" w:asciiTheme="minorEastAsia" w:hAnsiTheme="minorEastAsia" w:eastAsiaTheme="minorEastAsia"/>
          <w:kern w:val="0"/>
          <w:sz w:val="32"/>
          <w:szCs w:val="32"/>
        </w:rPr>
        <w:t>，淤泥1800m</w:t>
      </w:r>
      <w:r>
        <w:rPr>
          <w:rFonts w:hint="eastAsia" w:asciiTheme="minorEastAsia" w:hAnsiTheme="minorEastAsia" w:eastAsiaTheme="minorEastAsia"/>
          <w:kern w:val="0"/>
          <w:sz w:val="32"/>
          <w:szCs w:val="32"/>
          <w:vertAlign w:val="superscript"/>
        </w:rPr>
        <w:t>3</w:t>
      </w:r>
      <w:r>
        <w:rPr>
          <w:rFonts w:hint="eastAsia" w:asciiTheme="minorEastAsia" w:hAnsiTheme="minorEastAsia" w:eastAsiaTheme="minorEastAsia"/>
          <w:kern w:val="0"/>
          <w:sz w:val="32"/>
          <w:szCs w:val="32"/>
        </w:rPr>
        <w:t>。</w:t>
      </w:r>
    </w:p>
    <w:p>
      <w:pPr>
        <w:spacing w:line="560" w:lineRule="exact"/>
        <w:ind w:firstLine="640" w:firstLineChars="200"/>
        <w:rPr>
          <w:rFonts w:asciiTheme="minorEastAsia" w:hAnsiTheme="minorEastAsia" w:eastAsiaTheme="minorEastAsia"/>
          <w:bCs/>
          <w:sz w:val="32"/>
          <w:szCs w:val="32"/>
        </w:rPr>
      </w:pPr>
      <w:r>
        <w:rPr>
          <w:rFonts w:hint="eastAsia" w:asciiTheme="minorEastAsia" w:hAnsiTheme="minorEastAsia" w:eastAsiaTheme="minorEastAsia"/>
          <w:bCs/>
          <w:sz w:val="32"/>
          <w:szCs w:val="32"/>
        </w:rPr>
        <w:t>（三）全力提高公共基础服务，高效快捷运转</w:t>
      </w:r>
    </w:p>
    <w:p>
      <w:pPr>
        <w:spacing w:line="560" w:lineRule="exact"/>
        <w:ind w:firstLine="640" w:firstLineChars="200"/>
        <w:rPr>
          <w:rFonts w:cs="仿宋" w:asciiTheme="minorEastAsia" w:hAnsiTheme="minorEastAsia" w:eastAsiaTheme="minorEastAsia"/>
          <w:sz w:val="32"/>
          <w:szCs w:val="32"/>
        </w:rPr>
      </w:pPr>
      <w:r>
        <w:rPr>
          <w:rFonts w:hint="eastAsia" w:cs="楷体" w:asciiTheme="minorEastAsia" w:hAnsiTheme="minorEastAsia" w:eastAsiaTheme="minorEastAsia"/>
          <w:color w:val="000000"/>
          <w:sz w:val="32"/>
          <w:szCs w:val="32"/>
        </w:rPr>
        <w:t>一是</w:t>
      </w:r>
      <w:r>
        <w:rPr>
          <w:rFonts w:hint="eastAsia" w:asciiTheme="minorEastAsia" w:hAnsiTheme="minorEastAsia" w:eastAsiaTheme="minorEastAsia"/>
          <w:color w:val="000000"/>
          <w:sz w:val="32"/>
          <w:szCs w:val="32"/>
        </w:rPr>
        <w:t>聘请专业桥梁检测机构定期对我县4座城市桥梁进行安全检测。制定出台相关桥梁管理制度，实行日排查台帐登记制度，隐患排查月服制度，安全运行季度调度制度，定期开展桥梁安全检</w:t>
      </w:r>
      <w:r>
        <w:rPr>
          <w:rFonts w:hint="eastAsia" w:asciiTheme="minorEastAsia" w:hAnsiTheme="minorEastAsia" w:eastAsiaTheme="minorEastAsia"/>
          <w:sz w:val="32"/>
          <w:szCs w:val="32"/>
        </w:rPr>
        <w:t>测。</w:t>
      </w:r>
      <w:r>
        <w:rPr>
          <w:rFonts w:hint="eastAsia" w:cs="楷体" w:asciiTheme="minorEastAsia" w:hAnsiTheme="minorEastAsia" w:eastAsiaTheme="minorEastAsia"/>
          <w:sz w:val="32"/>
          <w:szCs w:val="32"/>
        </w:rPr>
        <w:t>二是</w:t>
      </w:r>
      <w:r>
        <w:rPr>
          <w:rFonts w:hint="eastAsia" w:asciiTheme="minorEastAsia" w:hAnsiTheme="minorEastAsia" w:eastAsiaTheme="minorEastAsia"/>
          <w:sz w:val="32"/>
          <w:szCs w:val="32"/>
        </w:rPr>
        <w:t>对城区市政基础设施安全隐患进行排查，对管线单位下发井盖破损告知函8份。</w:t>
      </w:r>
      <w:r>
        <w:rPr>
          <w:rFonts w:hint="eastAsia" w:cs="楷体" w:asciiTheme="minorEastAsia" w:hAnsiTheme="minorEastAsia" w:eastAsiaTheme="minorEastAsia"/>
          <w:color w:val="000000"/>
          <w:sz w:val="32"/>
          <w:szCs w:val="32"/>
        </w:rPr>
        <w:t>三是</w:t>
      </w:r>
      <w:r>
        <w:rPr>
          <w:rFonts w:hint="eastAsia" w:asciiTheme="minorEastAsia" w:hAnsiTheme="minorEastAsia" w:eastAsiaTheme="minorEastAsia"/>
          <w:color w:val="000000"/>
          <w:sz w:val="32"/>
          <w:szCs w:val="32"/>
        </w:rPr>
        <w:t>对城区人行道混凝土彩砖破损、松动零星维修200m</w:t>
      </w:r>
      <w:r>
        <w:rPr>
          <w:rFonts w:hint="eastAsia" w:cs="宋体" w:asciiTheme="minorEastAsia" w:hAnsiTheme="minorEastAsia" w:eastAsiaTheme="minorEastAsia"/>
          <w:color w:val="000000"/>
          <w:sz w:val="32"/>
          <w:szCs w:val="32"/>
        </w:rPr>
        <w:t>²</w:t>
      </w:r>
      <w:r>
        <w:rPr>
          <w:rFonts w:hint="eastAsia" w:cs="仿宋" w:asciiTheme="minorEastAsia" w:hAnsiTheme="minorEastAsia" w:eastAsiaTheme="minorEastAsia"/>
          <w:color w:val="000000"/>
          <w:sz w:val="32"/>
          <w:szCs w:val="32"/>
        </w:rPr>
        <w:t>、人行道改造</w:t>
      </w:r>
      <w:r>
        <w:rPr>
          <w:rFonts w:hint="eastAsia" w:cs="宋体" w:asciiTheme="minorEastAsia" w:hAnsiTheme="minorEastAsia" w:eastAsiaTheme="minorEastAsia"/>
          <w:color w:val="000000"/>
          <w:sz w:val="32"/>
          <w:szCs w:val="32"/>
        </w:rPr>
        <w:t>300多</w:t>
      </w:r>
      <w:r>
        <w:rPr>
          <w:rFonts w:hint="eastAsia" w:asciiTheme="minorEastAsia" w:hAnsiTheme="minorEastAsia" w:eastAsiaTheme="minorEastAsia"/>
          <w:color w:val="000000"/>
          <w:sz w:val="32"/>
          <w:szCs w:val="32"/>
        </w:rPr>
        <w:t>㎡，路沿石安装45m，郭家码头靠河堤处安全围挡安装32m，城区绿化栏杆零星维修300多米，下水道疏通、清淤980m，雨水井清淤380座，下水道改造300m，城区沥青混凝土路面零星修复1350㎡，石材栏杆安装23米，安装下水道窨井防坠网130套，更换下水道井盖45座；</w:t>
      </w:r>
      <w:r>
        <w:rPr>
          <w:rFonts w:hint="eastAsia" w:cs="楷体" w:asciiTheme="minorEastAsia" w:hAnsiTheme="minorEastAsia" w:eastAsiaTheme="minorEastAsia"/>
          <w:color w:val="000000"/>
          <w:sz w:val="32"/>
          <w:szCs w:val="32"/>
        </w:rPr>
        <w:t>四是</w:t>
      </w:r>
      <w:r>
        <w:rPr>
          <w:rFonts w:hint="eastAsia" w:asciiTheme="minorEastAsia" w:hAnsiTheme="minorEastAsia" w:eastAsiaTheme="minorEastAsia"/>
          <w:color w:val="000000"/>
          <w:sz w:val="32"/>
          <w:szCs w:val="32"/>
        </w:rPr>
        <w:t>对夜郎广场、鼓楼广场、商业步行街麻石板破损零星维修近500㎡,公厕下水道疏通55次，厕所门更换维修15樘，广场沟盖板破损板更换维修290m，广场隔离墩安装68个。</w:t>
      </w:r>
      <w:r>
        <w:rPr>
          <w:rFonts w:hint="eastAsia" w:cs="楷体" w:asciiTheme="minorEastAsia" w:hAnsiTheme="minorEastAsia" w:eastAsiaTheme="minorEastAsia"/>
          <w:color w:val="000000"/>
          <w:sz w:val="32"/>
          <w:szCs w:val="32"/>
        </w:rPr>
        <w:t>五是</w:t>
      </w:r>
      <w:r>
        <w:rPr>
          <w:rFonts w:hint="eastAsia" w:asciiTheme="minorEastAsia" w:hAnsiTheme="minorEastAsia" w:eastAsiaTheme="minorEastAsia"/>
          <w:sz w:val="32"/>
          <w:szCs w:val="32"/>
        </w:rPr>
        <w:t>对鼓楼广场、大湾罗信用社前人行道摩托车停车位划线165个，河滨路划标线650m。</w:t>
      </w:r>
      <w:r>
        <w:rPr>
          <w:rFonts w:hint="eastAsia" w:cs="楷体" w:asciiTheme="minorEastAsia" w:hAnsiTheme="minorEastAsia" w:eastAsiaTheme="minorEastAsia"/>
          <w:sz w:val="32"/>
          <w:szCs w:val="32"/>
        </w:rPr>
        <w:t>六是</w:t>
      </w:r>
      <w:r>
        <w:rPr>
          <w:rFonts w:hint="eastAsia" w:asciiTheme="minorEastAsia" w:hAnsiTheme="minorEastAsia" w:eastAsiaTheme="minorEastAsia"/>
          <w:sz w:val="32"/>
          <w:szCs w:val="32"/>
        </w:rPr>
        <w:t>对城区路灯车辆撞毁、倾斜拆除，消除安全隐患10处；路灯维修35次、背街小巷路灯安装及改造14盏、新安装路灯17盏。垃圾处理安全高效。</w:t>
      </w:r>
      <w:r>
        <w:rPr>
          <w:rFonts w:hint="eastAsia" w:cs="仿宋" w:asciiTheme="minorEastAsia" w:hAnsiTheme="minorEastAsia" w:eastAsiaTheme="minorEastAsia"/>
          <w:sz w:val="32"/>
          <w:szCs w:val="32"/>
        </w:rPr>
        <w:t>今年来，县城镇生活垃圾无害化处理场无害化处理生活垃圾5.66万吨，共计12367车次，渗滤液处理28864万吨，进场垃圾无害化处理率达到100%。</w:t>
      </w:r>
      <w:r>
        <w:rPr>
          <w:rFonts w:hint="eastAsia" w:asciiTheme="minorEastAsia" w:hAnsiTheme="minorEastAsia" w:eastAsiaTheme="minorEastAsia"/>
          <w:color w:val="000000"/>
          <w:sz w:val="32"/>
          <w:szCs w:val="32"/>
        </w:rPr>
        <w:t>城市给排水安全运转</w:t>
      </w:r>
      <w:r>
        <w:rPr>
          <w:rFonts w:hint="eastAsia" w:asciiTheme="minorEastAsia" w:hAnsiTheme="minorEastAsia" w:eastAsiaTheme="minorEastAsia"/>
          <w:b/>
          <w:color w:val="000000"/>
          <w:sz w:val="32"/>
          <w:szCs w:val="32"/>
        </w:rPr>
        <w:t>。</w:t>
      </w:r>
      <w:r>
        <w:rPr>
          <w:rFonts w:hint="eastAsia" w:cs="楷体" w:asciiTheme="minorEastAsia" w:hAnsiTheme="minorEastAsia" w:eastAsiaTheme="minorEastAsia"/>
          <w:b/>
          <w:color w:val="000000"/>
          <w:sz w:val="32"/>
          <w:szCs w:val="32"/>
        </w:rPr>
        <w:t>一</w:t>
      </w:r>
      <w:r>
        <w:rPr>
          <w:rFonts w:hint="eastAsia" w:cs="楷体" w:asciiTheme="minorEastAsia" w:hAnsiTheme="minorEastAsia" w:eastAsiaTheme="minorEastAsia"/>
          <w:color w:val="000000"/>
          <w:sz w:val="32"/>
          <w:szCs w:val="32"/>
        </w:rPr>
        <w:t>是</w:t>
      </w:r>
      <w:r>
        <w:rPr>
          <w:rFonts w:hint="eastAsia" w:cs="仿宋" w:asciiTheme="minorEastAsia" w:hAnsiTheme="minorEastAsia" w:eastAsiaTheme="minorEastAsia"/>
          <w:color w:val="000000"/>
          <w:sz w:val="32"/>
          <w:szCs w:val="32"/>
        </w:rPr>
        <w:t>加强供水监管。组</w:t>
      </w:r>
      <w:r>
        <w:rPr>
          <w:rFonts w:hint="eastAsia" w:asciiTheme="minorEastAsia" w:hAnsiTheme="minorEastAsia" w:eastAsiaTheme="minorEastAsia"/>
          <w:color w:val="000000"/>
          <w:sz w:val="32"/>
          <w:szCs w:val="32"/>
        </w:rPr>
        <w:t>织银龙水务公司开展2020年城市节约用水宣传，以宣传台、张贴海报、电子显示屏播放标语等形式，加强对节约用水宣传。共发放宣传手册500余份，张贴海报10余张。积极配合湖南省水质检测组对我县城区供水安全水质抽样检测工作；完成我县2020年城市公共供水管网漏损率任务要求。</w:t>
      </w:r>
      <w:r>
        <w:rPr>
          <w:rFonts w:hint="eastAsia" w:cs="仿宋" w:asciiTheme="minorEastAsia" w:hAnsiTheme="minorEastAsia" w:eastAsiaTheme="minorEastAsia"/>
          <w:sz w:val="32"/>
          <w:szCs w:val="32"/>
        </w:rPr>
        <w:t>协调银龙水务公司完成修正2020年我县城市公共供水管网漏损率9.74%，公共供水普及率93.7%的任务要求。</w:t>
      </w:r>
      <w:r>
        <w:rPr>
          <w:rFonts w:hint="eastAsia" w:cs="楷体" w:asciiTheme="minorEastAsia" w:hAnsiTheme="minorEastAsia" w:eastAsiaTheme="minorEastAsia"/>
          <w:b/>
          <w:color w:val="000000"/>
          <w:sz w:val="32"/>
          <w:szCs w:val="32"/>
        </w:rPr>
        <w:t>二是</w:t>
      </w:r>
      <w:r>
        <w:rPr>
          <w:rFonts w:hint="eastAsia" w:cs="仿宋" w:asciiTheme="minorEastAsia" w:hAnsiTheme="minorEastAsia" w:eastAsiaTheme="minorEastAsia"/>
          <w:bCs/>
          <w:color w:val="000000"/>
          <w:sz w:val="32"/>
          <w:szCs w:val="32"/>
        </w:rPr>
        <w:t>加强排水监管。</w:t>
      </w:r>
      <w:r>
        <w:rPr>
          <w:rFonts w:hint="eastAsia" w:asciiTheme="minorEastAsia" w:hAnsiTheme="minorEastAsia" w:eastAsiaTheme="minorEastAsia"/>
          <w:color w:val="000000"/>
          <w:sz w:val="32"/>
          <w:szCs w:val="32"/>
        </w:rPr>
        <w:t>每周安排专人对污水处理排放和进水数据进行2-3次在线登记，同时对污水是否未经处理直排进行监督，今年</w:t>
      </w:r>
      <w:r>
        <w:rPr>
          <w:rFonts w:hint="eastAsia" w:cs="仿宋" w:asciiTheme="minorEastAsia" w:hAnsiTheme="minorEastAsia" w:eastAsiaTheme="minorEastAsia"/>
          <w:sz w:val="32"/>
          <w:szCs w:val="32"/>
        </w:rPr>
        <w:t>累计污水排放总量为2116.8万吨，平均处理率达90%，出水水质均达到国家一类排放标准。</w:t>
      </w:r>
      <w:r>
        <w:rPr>
          <w:rFonts w:hint="eastAsia" w:cs="楷体" w:asciiTheme="minorEastAsia" w:hAnsiTheme="minorEastAsia" w:eastAsiaTheme="minorEastAsia"/>
          <w:color w:val="000000"/>
          <w:sz w:val="32"/>
          <w:szCs w:val="32"/>
        </w:rPr>
        <w:t>三是</w:t>
      </w:r>
      <w:r>
        <w:rPr>
          <w:rFonts w:hint="eastAsia" w:asciiTheme="minorEastAsia" w:hAnsiTheme="minorEastAsia" w:eastAsiaTheme="minorEastAsia"/>
          <w:sz w:val="32"/>
          <w:szCs w:val="32"/>
        </w:rPr>
        <w:t>一完小路段至污水处理厂段管网改造工程已启动，</w:t>
      </w:r>
      <w:r>
        <w:rPr>
          <w:rFonts w:hint="eastAsia" w:asciiTheme="minorEastAsia" w:hAnsiTheme="minorEastAsia" w:eastAsiaTheme="minorEastAsia"/>
          <w:color w:val="000000"/>
          <w:sz w:val="32"/>
          <w:szCs w:val="32"/>
        </w:rPr>
        <w:t>目前已完成总工程量65%。</w:t>
      </w:r>
      <w:r>
        <w:rPr>
          <w:rFonts w:hint="eastAsia" w:cs="楷体" w:asciiTheme="minorEastAsia" w:hAnsiTheme="minorEastAsia" w:eastAsiaTheme="minorEastAsia"/>
          <w:color w:val="000000"/>
          <w:sz w:val="32"/>
          <w:szCs w:val="32"/>
        </w:rPr>
        <w:t>四是</w:t>
      </w:r>
      <w:r>
        <w:rPr>
          <w:rFonts w:hint="eastAsia" w:asciiTheme="minorEastAsia" w:hAnsiTheme="minorEastAsia" w:eastAsiaTheme="minorEastAsia"/>
          <w:color w:val="000000"/>
          <w:sz w:val="32"/>
          <w:szCs w:val="32"/>
        </w:rPr>
        <w:t>加强城市建设项目配套绿化专项审批。根据相关文件精神，今年3月底</w:t>
      </w:r>
      <w:r>
        <w:rPr>
          <w:rFonts w:hint="eastAsia" w:cs="仿宋" w:asciiTheme="minorEastAsia" w:hAnsiTheme="minorEastAsia" w:eastAsiaTheme="minorEastAsia"/>
          <w:sz w:val="32"/>
          <w:szCs w:val="32"/>
        </w:rPr>
        <w:t>开始,对全县建设工程的绿地率进行控制和专项审批，目前共审批绿线管控建设项目10个，实施绿地面积审批2292.03㎡。其中一个项目因达不到绿地建设指标条件，交纳异地绿化建设费用9万元。</w:t>
      </w:r>
    </w:p>
    <w:p>
      <w:pPr>
        <w:spacing w:line="560" w:lineRule="exact"/>
        <w:ind w:firstLine="643" w:firstLineChars="200"/>
        <w:rPr>
          <w:rFonts w:asciiTheme="minorEastAsia" w:hAnsiTheme="minorEastAsia" w:eastAsiaTheme="minorEastAsia"/>
          <w:sz w:val="32"/>
          <w:szCs w:val="32"/>
        </w:rPr>
      </w:pPr>
      <w:r>
        <w:rPr>
          <w:rFonts w:hint="eastAsia" w:asciiTheme="minorEastAsia" w:hAnsiTheme="minorEastAsia" w:eastAsiaTheme="minorEastAsia"/>
          <w:b/>
          <w:kern w:val="0"/>
          <w:sz w:val="32"/>
          <w:szCs w:val="32"/>
        </w:rPr>
        <w:t>（四）执法</w:t>
      </w:r>
      <w:r>
        <w:rPr>
          <w:rFonts w:hint="eastAsia" w:asciiTheme="minorEastAsia" w:hAnsiTheme="minorEastAsia" w:eastAsiaTheme="minorEastAsia"/>
          <w:b/>
          <w:bCs/>
          <w:sz w:val="32"/>
          <w:szCs w:val="32"/>
        </w:rPr>
        <w:t>程序严格规范，巩固创建成果</w:t>
      </w:r>
    </w:p>
    <w:p>
      <w:pPr>
        <w:spacing w:line="560" w:lineRule="exact"/>
        <w:ind w:firstLine="640" w:firstLineChars="200"/>
        <w:rPr>
          <w:rFonts w:cs="仿宋" w:asciiTheme="minorEastAsia" w:hAnsiTheme="minorEastAsia" w:eastAsiaTheme="minorEastAsia"/>
          <w:sz w:val="32"/>
          <w:szCs w:val="32"/>
        </w:rPr>
      </w:pPr>
      <w:r>
        <w:rPr>
          <w:rFonts w:hint="eastAsia" w:asciiTheme="minorEastAsia" w:hAnsiTheme="minorEastAsia" w:eastAsiaTheme="minorEastAsia"/>
          <w:color w:val="000000"/>
          <w:sz w:val="32"/>
          <w:szCs w:val="32"/>
        </w:rPr>
        <w:t>市容管理有条不紊。</w:t>
      </w:r>
      <w:r>
        <w:rPr>
          <w:rFonts w:hint="eastAsia" w:asciiTheme="minorEastAsia" w:hAnsiTheme="minorEastAsia" w:eastAsiaTheme="minorEastAsia"/>
          <w:sz w:val="32"/>
          <w:szCs w:val="32"/>
        </w:rPr>
        <w:t>按照“店小二”式服务，追求“教科书式”执法，既讲刚度，也讲温度，深入开展城市日常管理和各种专项整治行动，使城区市容市貌秩序得到进一步提升。今年来，</w:t>
      </w:r>
      <w:r>
        <w:rPr>
          <w:rFonts w:hint="eastAsia" w:cs="仿宋" w:asciiTheme="minorEastAsia" w:hAnsiTheme="minorEastAsia" w:eastAsiaTheme="minorEastAsia"/>
          <w:color w:val="000000"/>
          <w:sz w:val="32"/>
          <w:szCs w:val="32"/>
        </w:rPr>
        <w:t>共开展集中整治104次，整治出店经营43200次，流动摊贩占道经营25650余起，清理牛皮癣53600余处；拆除乱搭乱建行为600余处，清理无主乱堆乱放建筑垃圾700余车；规范门头招牌236处，拆除巨幅广告26幅；横幅335余条；</w:t>
      </w:r>
      <w:r>
        <w:rPr>
          <w:rFonts w:hint="eastAsia" w:cs="仿宋_GB2312" w:asciiTheme="minorEastAsia" w:hAnsiTheme="minorEastAsia" w:eastAsiaTheme="minorEastAsia"/>
          <w:color w:val="000000"/>
          <w:sz w:val="32"/>
          <w:szCs w:val="32"/>
        </w:rPr>
        <w:t>查处机动车违停5500余起，批评教育200余次，处罚5355车次。全年</w:t>
      </w:r>
      <w:r>
        <w:rPr>
          <w:rFonts w:hint="eastAsia" w:cs="仿宋" w:asciiTheme="minorEastAsia" w:hAnsiTheme="minorEastAsia" w:eastAsiaTheme="minorEastAsia"/>
          <w:sz w:val="32"/>
          <w:szCs w:val="32"/>
        </w:rPr>
        <w:t>共办理各类执法案件406起。一般程序案件46起。其中市容类一般程序案件25起；市政类一般程序案件1起；渣土类一般程序案件8起；规划类一般程序案件8起；建工类4起。简易程序案件360起。下达责令限期整改通知131份，责任停止违法行为通知书53份。</w:t>
      </w:r>
    </w:p>
    <w:p>
      <w:pPr>
        <w:pStyle w:val="12"/>
        <w:spacing w:line="560" w:lineRule="exact"/>
        <w:ind w:firstLine="640" w:firstLineChars="200"/>
        <w:jc w:val="both"/>
        <w:rPr>
          <w:rFonts w:asciiTheme="minorEastAsia" w:hAnsiTheme="minorEastAsia" w:eastAsiaTheme="minorEastAsia"/>
          <w:bCs/>
          <w:sz w:val="32"/>
          <w:szCs w:val="32"/>
        </w:rPr>
      </w:pPr>
      <w:r>
        <w:rPr>
          <w:rFonts w:hint="eastAsia" w:asciiTheme="minorEastAsia" w:hAnsiTheme="minorEastAsia" w:eastAsiaTheme="minorEastAsia"/>
          <w:bCs/>
          <w:sz w:val="32"/>
          <w:szCs w:val="32"/>
        </w:rPr>
        <w:t>（五）项目</w:t>
      </w:r>
      <w:r>
        <w:rPr>
          <w:rFonts w:asciiTheme="minorEastAsia" w:hAnsiTheme="minorEastAsia" w:eastAsiaTheme="minorEastAsia"/>
          <w:bCs/>
          <w:sz w:val="32"/>
          <w:szCs w:val="32"/>
        </w:rPr>
        <w:t>建设</w:t>
      </w:r>
      <w:r>
        <w:rPr>
          <w:rFonts w:hint="eastAsia" w:asciiTheme="minorEastAsia" w:hAnsiTheme="minorEastAsia" w:eastAsiaTheme="minorEastAsia"/>
          <w:bCs/>
          <w:sz w:val="32"/>
          <w:szCs w:val="32"/>
        </w:rPr>
        <w:t>全面推进</w:t>
      </w:r>
      <w:r>
        <w:rPr>
          <w:rFonts w:asciiTheme="minorEastAsia" w:hAnsiTheme="minorEastAsia" w:eastAsiaTheme="minorEastAsia"/>
          <w:bCs/>
          <w:sz w:val="32"/>
          <w:szCs w:val="32"/>
        </w:rPr>
        <w:t>，</w:t>
      </w:r>
      <w:r>
        <w:rPr>
          <w:rFonts w:hint="eastAsia" w:asciiTheme="minorEastAsia" w:hAnsiTheme="minorEastAsia" w:eastAsiaTheme="minorEastAsia"/>
          <w:bCs/>
          <w:sz w:val="32"/>
          <w:szCs w:val="32"/>
        </w:rPr>
        <w:t>确保优质高效</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bCs/>
          <w:sz w:val="32"/>
          <w:szCs w:val="32"/>
        </w:rPr>
        <w:t>智能停车楼项目有序推进。</w:t>
      </w:r>
      <w:r>
        <w:rPr>
          <w:rFonts w:hint="eastAsia" w:asciiTheme="minorEastAsia" w:hAnsiTheme="minorEastAsia" w:eastAsiaTheme="minorEastAsia"/>
          <w:sz w:val="32"/>
          <w:szCs w:val="32"/>
        </w:rPr>
        <w:t>城镇智能立体停车楼项目于2018年6月启动建设，该项目预计总投资1518.06万元，总建设面积为2726.29m</w:t>
      </w:r>
      <w:r>
        <w:rPr>
          <w:rFonts w:hint="eastAsia" w:asciiTheme="minorEastAsia" w:hAnsiTheme="minorEastAsia" w:eastAsiaTheme="minorEastAsia"/>
          <w:sz w:val="32"/>
          <w:szCs w:val="32"/>
          <w:vertAlign w:val="superscript"/>
        </w:rPr>
        <w:t>2</w:t>
      </w:r>
      <w:r>
        <w:rPr>
          <w:rFonts w:hint="eastAsia" w:asciiTheme="minorEastAsia" w:hAnsiTheme="minorEastAsia" w:eastAsiaTheme="minorEastAsia"/>
          <w:sz w:val="32"/>
          <w:szCs w:val="32"/>
        </w:rPr>
        <w:t>，占地面积526.69m</w:t>
      </w:r>
      <w:r>
        <w:rPr>
          <w:rFonts w:hint="eastAsia" w:asciiTheme="minorEastAsia" w:hAnsiTheme="minorEastAsia" w:eastAsiaTheme="minorEastAsia"/>
          <w:sz w:val="32"/>
          <w:szCs w:val="32"/>
          <w:vertAlign w:val="superscript"/>
        </w:rPr>
        <w:t>2</w:t>
      </w:r>
      <w:r>
        <w:rPr>
          <w:rFonts w:hint="eastAsia" w:asciiTheme="minorEastAsia" w:hAnsiTheme="minorEastAsia" w:eastAsiaTheme="minorEastAsia"/>
          <w:sz w:val="32"/>
          <w:szCs w:val="32"/>
        </w:rPr>
        <w:t>，共建设9层。目前该项目已全面完工，现正处于试运行阶段。正式运营后，将大大缓解中心农贸市场周边的停车压力。</w:t>
      </w:r>
    </w:p>
    <w:p>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bCs/>
          <w:sz w:val="32"/>
          <w:szCs w:val="32"/>
        </w:rPr>
        <w:t>餐厨垃圾收营项目全面完工。</w:t>
      </w:r>
      <w:r>
        <w:rPr>
          <w:rFonts w:hint="eastAsia" w:asciiTheme="minorEastAsia" w:hAnsiTheme="minorEastAsia" w:eastAsiaTheme="minorEastAsia"/>
          <w:sz w:val="32"/>
          <w:szCs w:val="32"/>
        </w:rPr>
        <w:t>为规范餐厨垃圾处理，我县制定了《新晃县餐厨垃圾收运、处置市场化招投标实施方案》，采取企业全额出资、政府购买服务的合作方式进行招投标修建餐厨垃圾处理厂，由湖南迪亚环境有限公司中标，220万/年。该工程已于今年8月竣工并投入使用，目前共收集处理餐厨垃圾1200余吨。</w:t>
      </w:r>
    </w:p>
    <w:p>
      <w:pPr>
        <w:spacing w:line="560" w:lineRule="exact"/>
        <w:ind w:firstLine="640" w:firstLineChars="200"/>
        <w:jc w:val="left"/>
        <w:rPr>
          <w:rFonts w:asciiTheme="minorEastAsia" w:hAnsiTheme="minorEastAsia" w:eastAsiaTheme="minorEastAsia"/>
          <w:kern w:val="0"/>
          <w:sz w:val="32"/>
          <w:szCs w:val="32"/>
        </w:rPr>
      </w:pPr>
      <w:r>
        <w:rPr>
          <w:rFonts w:asciiTheme="minorEastAsia" w:hAnsiTheme="minorEastAsia" w:eastAsiaTheme="minorEastAsia"/>
          <w:kern w:val="0"/>
          <w:sz w:val="32"/>
          <w:szCs w:val="32"/>
        </w:rPr>
        <w:t>三、存在的问题及原因</w:t>
      </w:r>
    </w:p>
    <w:p>
      <w:pPr>
        <w:spacing w:line="700" w:lineRule="exact"/>
        <w:ind w:firstLine="640" w:firstLineChars="200"/>
        <w:jc w:val="left"/>
        <w:rPr>
          <w:rFonts w:asciiTheme="minorEastAsia" w:hAnsiTheme="minorEastAsia" w:eastAsiaTheme="minorEastAsia"/>
          <w:kern w:val="0"/>
          <w:sz w:val="32"/>
          <w:szCs w:val="32"/>
        </w:rPr>
      </w:pPr>
      <w:r>
        <w:rPr>
          <w:rFonts w:asciiTheme="minorEastAsia" w:hAnsiTheme="minorEastAsia" w:eastAsiaTheme="minorEastAsia"/>
          <w:kern w:val="0"/>
          <w:sz w:val="32"/>
          <w:szCs w:val="32"/>
        </w:rPr>
        <w:t>当前影响财政资金使用绩效的问题</w:t>
      </w:r>
      <w:r>
        <w:rPr>
          <w:rFonts w:hint="eastAsia" w:asciiTheme="minorEastAsia" w:hAnsiTheme="minorEastAsia" w:eastAsiaTheme="minorEastAsia"/>
          <w:kern w:val="0"/>
          <w:sz w:val="32"/>
          <w:szCs w:val="32"/>
        </w:rPr>
        <w:t>及原因：</w:t>
      </w:r>
    </w:p>
    <w:p>
      <w:pPr>
        <w:spacing w:line="700" w:lineRule="exact"/>
        <w:ind w:firstLine="640" w:firstLineChars="200"/>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1、</w:t>
      </w:r>
      <w:r>
        <w:rPr>
          <w:rFonts w:hint="eastAsia" w:asciiTheme="minorEastAsia" w:hAnsiTheme="minorEastAsia" w:eastAsiaTheme="minorEastAsia"/>
          <w:color w:val="121212"/>
          <w:sz w:val="32"/>
          <w:szCs w:val="32"/>
          <w:shd w:val="clear" w:color="auto" w:fill="FFFFFF"/>
        </w:rPr>
        <w:t>绩效理念尚未完全形成，思想认识不一致</w:t>
      </w:r>
    </w:p>
    <w:p>
      <w:pPr>
        <w:spacing w:line="700" w:lineRule="exact"/>
        <w:ind w:firstLine="640" w:firstLineChars="200"/>
        <w:jc w:val="left"/>
        <w:rPr>
          <w:rFonts w:asciiTheme="minorEastAsia" w:hAnsiTheme="minorEastAsia" w:eastAsiaTheme="minorEastAsia"/>
          <w:color w:val="121212"/>
          <w:sz w:val="32"/>
          <w:szCs w:val="32"/>
          <w:shd w:val="clear" w:color="auto" w:fill="FFFFFF"/>
        </w:rPr>
      </w:pPr>
      <w:r>
        <w:rPr>
          <w:rFonts w:hint="eastAsia" w:asciiTheme="minorEastAsia" w:hAnsiTheme="minorEastAsia" w:eastAsiaTheme="minorEastAsia"/>
          <w:color w:val="121212"/>
          <w:sz w:val="32"/>
          <w:szCs w:val="32"/>
          <w:shd w:val="clear" w:color="auto" w:fill="FFFFFF"/>
        </w:rPr>
        <w:t>财政资金本身错综复杂的利益关系，增加了对绩效评价工作认识的错综复杂性。财政部门、项目管理单位及项目执行单位的理解和把握就有较大的差距，从不同方面削弱了绩效评价工作的地位和作用。绩效评价主要以了解项目进展情况、财政资金使用情况进行监督检查为主，或多或少地涉及了评价绩效的内容，还没有成为真正意义上的财政资金绩效评价。全社会对绩效评价的认识还有一个过程，传统的、固有的观念给绩效评价工作带来相当大的阻力。</w:t>
      </w:r>
    </w:p>
    <w:p>
      <w:pPr>
        <w:spacing w:line="700" w:lineRule="exact"/>
        <w:ind w:firstLine="640" w:firstLineChars="200"/>
        <w:jc w:val="left"/>
        <w:rPr>
          <w:rFonts w:asciiTheme="minorEastAsia" w:hAnsiTheme="minorEastAsia" w:eastAsiaTheme="minorEastAsia"/>
          <w:color w:val="121212"/>
          <w:sz w:val="32"/>
          <w:szCs w:val="32"/>
          <w:shd w:val="clear" w:color="auto" w:fill="FFFFFF"/>
        </w:rPr>
      </w:pPr>
      <w:r>
        <w:rPr>
          <w:rFonts w:hint="eastAsia" w:asciiTheme="minorEastAsia" w:hAnsiTheme="minorEastAsia" w:eastAsiaTheme="minorEastAsia"/>
          <w:color w:val="121212"/>
          <w:sz w:val="32"/>
          <w:szCs w:val="32"/>
          <w:shd w:val="clear" w:color="auto" w:fill="FFFFFF"/>
        </w:rPr>
        <w:t>2、绩效评价工作缺乏法律性约束和制度保障</w:t>
      </w:r>
    </w:p>
    <w:p>
      <w:pPr>
        <w:spacing w:line="700" w:lineRule="exact"/>
        <w:ind w:firstLine="640" w:firstLineChars="200"/>
        <w:jc w:val="left"/>
        <w:rPr>
          <w:rFonts w:asciiTheme="minorEastAsia" w:hAnsiTheme="minorEastAsia" w:eastAsiaTheme="minorEastAsia"/>
          <w:kern w:val="0"/>
          <w:sz w:val="32"/>
          <w:szCs w:val="32"/>
        </w:rPr>
      </w:pPr>
      <w:r>
        <w:rPr>
          <w:rFonts w:hint="eastAsia" w:asciiTheme="minorEastAsia" w:hAnsiTheme="minorEastAsia" w:eastAsiaTheme="minorEastAsia"/>
          <w:color w:val="121212"/>
          <w:sz w:val="32"/>
          <w:szCs w:val="32"/>
          <w:shd w:val="clear" w:color="auto" w:fill="FFFFFF"/>
        </w:rPr>
        <w:t>财政资金绩效评价工作要取得实效，必须得到立法支持，而且要制度化、经常化。而我国公共投资部门虽然也提出要完善项目投资决策程序，对国家重点投资项目要从立项决策、竣工验收直到财政资金绩效评价，实行全过程管理，但迄今尚未出台全国统一的有关财政资金绩效评价工作的法律法规，使我国财政资金绩效评价工作缺乏法律约束和制度保障。</w:t>
      </w:r>
    </w:p>
    <w:p>
      <w:pPr>
        <w:spacing w:line="560" w:lineRule="exact"/>
        <w:ind w:firstLine="640" w:firstLineChars="200"/>
        <w:jc w:val="left"/>
        <w:rPr>
          <w:rFonts w:asciiTheme="minorEastAsia" w:hAnsiTheme="minorEastAsia" w:eastAsiaTheme="minorEastAsia"/>
          <w:kern w:val="0"/>
          <w:sz w:val="32"/>
          <w:szCs w:val="32"/>
        </w:rPr>
      </w:pPr>
      <w:r>
        <w:rPr>
          <w:rFonts w:asciiTheme="minorEastAsia" w:hAnsiTheme="minorEastAsia" w:eastAsiaTheme="minorEastAsia"/>
          <w:kern w:val="0"/>
          <w:sz w:val="32"/>
          <w:szCs w:val="32"/>
        </w:rPr>
        <w:t>四、提高财政资金绩效的措施与建议</w:t>
      </w:r>
    </w:p>
    <w:p>
      <w:pPr>
        <w:spacing w:line="560" w:lineRule="exact"/>
        <w:ind w:firstLine="640" w:firstLineChars="200"/>
        <w:jc w:val="left"/>
        <w:rPr>
          <w:rFonts w:asciiTheme="minorEastAsia" w:hAnsiTheme="minorEastAsia" w:eastAsiaTheme="minorEastAsia"/>
          <w:kern w:val="0"/>
          <w:sz w:val="32"/>
          <w:szCs w:val="32"/>
        </w:rPr>
      </w:pPr>
      <w:r>
        <w:rPr>
          <w:rFonts w:asciiTheme="minorEastAsia" w:hAnsiTheme="minorEastAsia" w:eastAsiaTheme="minorEastAsia"/>
          <w:kern w:val="0"/>
          <w:sz w:val="32"/>
          <w:szCs w:val="32"/>
        </w:rPr>
        <w:t>针对存在的问题及有关情况，提出下一步提高</w:t>
      </w:r>
      <w:r>
        <w:rPr>
          <w:rFonts w:hint="eastAsia" w:asciiTheme="minorEastAsia" w:hAnsiTheme="minorEastAsia" w:eastAsiaTheme="minorEastAsia"/>
          <w:kern w:val="0"/>
          <w:sz w:val="32"/>
          <w:szCs w:val="32"/>
        </w:rPr>
        <w:t>本单位</w:t>
      </w:r>
      <w:r>
        <w:rPr>
          <w:rFonts w:asciiTheme="minorEastAsia" w:hAnsiTheme="minorEastAsia" w:eastAsiaTheme="minorEastAsia"/>
          <w:kern w:val="0"/>
          <w:sz w:val="32"/>
          <w:szCs w:val="32"/>
        </w:rPr>
        <w:t>财政资金使用绩效的措施与建议</w:t>
      </w:r>
      <w:r>
        <w:rPr>
          <w:rFonts w:hint="eastAsia" w:asciiTheme="minorEastAsia" w:hAnsiTheme="minorEastAsia" w:eastAsiaTheme="minorEastAsia"/>
          <w:kern w:val="0"/>
          <w:sz w:val="32"/>
          <w:szCs w:val="32"/>
        </w:rPr>
        <w:t>：建立健全的财政支出绩效评价体系。进行财政支出绩效评价，最终目的是为了提高财政支出效益，因此财政支出绩效评价体系还必须包括绩效评价信息反馈制度、激励机制和奖惩制度等内容。一方面通过绩效评价信息反馈制度及时了解各项目的实施情况和实施效果；另一方面通过建立激励机制和奖惩制度，改变现行预算制度只重视资金分配、不重视资金使用的状况。首先，把对项目预期目标的绩效评价结果作为预算编制和批复的重要依据，从源头上控制没有绩效和低绩效的项目；其次，实现财政预算管理上的两个转变，即预算拨款由传统的按预算拨款转为按绩效拨款，从过去对预算的重过程管理转变为重结果管理；第三，将本年度绩效评价的结果作为下年度预算安排的重要依据。</w:t>
      </w:r>
    </w:p>
    <w:p>
      <w:pPr>
        <w:spacing w:line="560" w:lineRule="exact"/>
        <w:ind w:firstLine="640" w:firstLineChars="200"/>
        <w:jc w:val="left"/>
        <w:rPr>
          <w:rFonts w:asciiTheme="minorEastAsia" w:hAnsiTheme="minorEastAsia" w:eastAsiaTheme="minorEastAsia"/>
          <w:kern w:val="0"/>
          <w:sz w:val="32"/>
          <w:szCs w:val="32"/>
        </w:rPr>
      </w:pPr>
      <w:r>
        <w:rPr>
          <w:rFonts w:asciiTheme="minorEastAsia" w:hAnsiTheme="minorEastAsia" w:eastAsiaTheme="minorEastAsia"/>
          <w:kern w:val="0"/>
          <w:sz w:val="32"/>
          <w:szCs w:val="32"/>
        </w:rPr>
        <w:t>五、附件（佐证依据）</w:t>
      </w:r>
    </w:p>
    <w:p>
      <w:pPr>
        <w:spacing w:line="560" w:lineRule="exact"/>
        <w:ind w:firstLine="640" w:firstLineChars="200"/>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此项附件无。</w:t>
      </w:r>
    </w:p>
    <w:p>
      <w:pPr>
        <w:spacing w:line="560" w:lineRule="exact"/>
        <w:ind w:firstLine="640" w:firstLineChars="200"/>
        <w:jc w:val="left"/>
        <w:rPr>
          <w:rFonts w:asciiTheme="minorEastAsia" w:hAnsiTheme="minorEastAsia" w:eastAsiaTheme="minorEastAsia"/>
          <w:kern w:val="0"/>
          <w:sz w:val="32"/>
          <w:szCs w:val="32"/>
        </w:rPr>
      </w:pPr>
      <w:r>
        <w:rPr>
          <w:rFonts w:asciiTheme="minorEastAsia" w:hAnsiTheme="minorEastAsia" w:eastAsiaTheme="minorEastAsia"/>
          <w:kern w:val="0"/>
          <w:sz w:val="32"/>
          <w:szCs w:val="32"/>
        </w:rPr>
        <w:t xml:space="preserve"> </w:t>
      </w:r>
    </w:p>
    <w:p>
      <w:pPr>
        <w:spacing w:line="560" w:lineRule="exact"/>
        <w:ind w:firstLine="640" w:firstLineChars="200"/>
        <w:jc w:val="left"/>
        <w:rPr>
          <w:rFonts w:asciiTheme="minorEastAsia" w:hAnsiTheme="minorEastAsia" w:eastAsiaTheme="minorEastAsia"/>
          <w:kern w:val="0"/>
          <w:sz w:val="32"/>
          <w:szCs w:val="32"/>
        </w:rPr>
      </w:pPr>
    </w:p>
    <w:p>
      <w:pPr>
        <w:spacing w:line="560" w:lineRule="exact"/>
        <w:ind w:firstLine="640" w:firstLineChars="200"/>
        <w:jc w:val="left"/>
        <w:rPr>
          <w:rFonts w:asciiTheme="minorEastAsia" w:hAnsiTheme="minorEastAsia" w:eastAsiaTheme="minorEastAsia"/>
          <w:kern w:val="0"/>
          <w:sz w:val="32"/>
          <w:szCs w:val="32"/>
        </w:rPr>
      </w:pPr>
      <w:r>
        <w:rPr>
          <w:rFonts w:asciiTheme="minorEastAsia" w:hAnsiTheme="minorEastAsia" w:eastAsiaTheme="minorEastAsia"/>
          <w:kern w:val="0"/>
          <w:sz w:val="32"/>
          <w:szCs w:val="32"/>
        </w:rPr>
        <w:t xml:space="preserve">                       </w:t>
      </w:r>
      <w:r>
        <w:rPr>
          <w:rFonts w:hint="eastAsia" w:asciiTheme="minorEastAsia" w:hAnsiTheme="minorEastAsia" w:eastAsiaTheme="minorEastAsia"/>
          <w:kern w:val="0"/>
          <w:sz w:val="32"/>
          <w:szCs w:val="32"/>
        </w:rPr>
        <w:t xml:space="preserve">     </w:t>
      </w:r>
      <w:r>
        <w:rPr>
          <w:rFonts w:asciiTheme="minorEastAsia" w:hAnsiTheme="minorEastAsia" w:eastAsiaTheme="minorEastAsia"/>
          <w:kern w:val="0"/>
          <w:sz w:val="32"/>
          <w:szCs w:val="32"/>
        </w:rPr>
        <w:t xml:space="preserve"> 部门（签章）</w:t>
      </w:r>
    </w:p>
    <w:p>
      <w:pPr>
        <w:spacing w:line="560" w:lineRule="exact"/>
        <w:ind w:firstLine="640" w:firstLineChars="200"/>
        <w:jc w:val="left"/>
        <w:rPr>
          <w:kern w:val="0"/>
          <w:sz w:val="24"/>
        </w:rPr>
      </w:pPr>
      <w:r>
        <w:rPr>
          <w:rFonts w:asciiTheme="minorEastAsia" w:hAnsiTheme="minorEastAsia" w:eastAsiaTheme="minorEastAsia"/>
          <w:kern w:val="0"/>
          <w:sz w:val="32"/>
          <w:szCs w:val="32"/>
        </w:rPr>
        <w:t xml:space="preserve">                            </w:t>
      </w:r>
      <w:r>
        <w:rPr>
          <w:rFonts w:hint="eastAsia" w:asciiTheme="minorEastAsia" w:hAnsiTheme="minorEastAsia" w:eastAsiaTheme="minorEastAsia"/>
          <w:kern w:val="0"/>
          <w:sz w:val="32"/>
          <w:szCs w:val="32"/>
        </w:rPr>
        <w:t>2021</w:t>
      </w:r>
      <w:r>
        <w:rPr>
          <w:rFonts w:asciiTheme="minorEastAsia" w:hAnsiTheme="minorEastAsia" w:eastAsiaTheme="minorEastAsia"/>
          <w:kern w:val="0"/>
          <w:sz w:val="32"/>
          <w:szCs w:val="32"/>
        </w:rPr>
        <w:t xml:space="preserve">  年   </w:t>
      </w:r>
      <w:r>
        <w:rPr>
          <w:rFonts w:hint="eastAsia" w:asciiTheme="minorEastAsia" w:hAnsiTheme="minorEastAsia" w:eastAsiaTheme="minorEastAsia"/>
          <w:kern w:val="0"/>
          <w:sz w:val="32"/>
          <w:szCs w:val="32"/>
        </w:rPr>
        <w:t>9</w:t>
      </w:r>
      <w:r>
        <w:rPr>
          <w:rFonts w:asciiTheme="minorEastAsia" w:hAnsiTheme="minorEastAsia" w:eastAsiaTheme="minorEastAsia"/>
          <w:kern w:val="0"/>
          <w:sz w:val="32"/>
          <w:szCs w:val="32"/>
        </w:rPr>
        <w:t xml:space="preserve">  月  </w:t>
      </w:r>
      <w:r>
        <w:rPr>
          <w:rFonts w:hint="eastAsia" w:asciiTheme="minorEastAsia" w:hAnsiTheme="minorEastAsia" w:eastAsiaTheme="minorEastAsia"/>
          <w:kern w:val="0"/>
          <w:sz w:val="32"/>
          <w:szCs w:val="32"/>
        </w:rPr>
        <w:t>6</w:t>
      </w:r>
      <w:r>
        <w:rPr>
          <w:rFonts w:asciiTheme="minorEastAsia" w:hAnsiTheme="minorEastAsia" w:eastAsiaTheme="minorEastAsia"/>
          <w:kern w:val="0"/>
          <w:sz w:val="32"/>
          <w:szCs w:val="32"/>
        </w:rPr>
        <w:t xml:space="preserve">  日</w:t>
      </w:r>
      <w:r>
        <w:rPr>
          <w:rFonts w:asciiTheme="minorEastAsia" w:hAnsiTheme="minorEastAsia" w:eastAsiaTheme="minorEastAsia"/>
          <w:kern w:val="0"/>
          <w:sz w:val="32"/>
          <w:szCs w:val="32"/>
        </w:rPr>
        <w:br w:type="page"/>
      </w:r>
      <w:r>
        <w:rPr>
          <w:rFonts w:hint="eastAsia" w:ascii="仿宋_GB2312" w:hAnsi="仿宋_GB2312" w:eastAsia="仿宋_GB2312" w:cs="仿宋_GB2312"/>
          <w:sz w:val="24"/>
        </w:rPr>
        <w:t>附件3-1</w:t>
      </w:r>
    </w:p>
    <w:p>
      <w:pPr>
        <w:pStyle w:val="4"/>
        <w:widowControl w:val="0"/>
        <w:spacing w:before="0" w:beforeAutospacing="0" w:after="0" w:afterAutospacing="0" w:line="800" w:lineRule="exact"/>
        <w:jc w:val="center"/>
        <w:rPr>
          <w:rStyle w:val="6"/>
          <w:rFonts w:ascii="Times New Roman" w:hAnsi="Times New Roman" w:eastAsia="方正粗宋简体" w:cs="Times New Roman"/>
          <w:b w:val="0"/>
          <w:sz w:val="44"/>
          <w:szCs w:val="44"/>
        </w:rPr>
      </w:pPr>
      <w:r>
        <w:rPr>
          <w:rStyle w:val="6"/>
          <w:rFonts w:ascii="Times New Roman" w:hAnsi="Times New Roman" w:eastAsia="方正粗宋简体" w:cs="Times New Roman"/>
          <w:b w:val="0"/>
          <w:sz w:val="44"/>
          <w:szCs w:val="44"/>
        </w:rPr>
        <w:t>2020年度财政支出绩效自评完成情况汇总表</w:t>
      </w:r>
    </w:p>
    <w:p>
      <w:pPr>
        <w:spacing w:line="400" w:lineRule="exact"/>
        <w:rPr>
          <w:rFonts w:eastAsia="华文中宋"/>
          <w:kern w:val="0"/>
          <w:sz w:val="24"/>
        </w:rPr>
      </w:pPr>
      <w:r>
        <w:rPr>
          <w:rFonts w:eastAsia="华文中宋"/>
          <w:kern w:val="0"/>
          <w:sz w:val="24"/>
        </w:rPr>
        <w:t>主管部门（盖章）：               填报人：</w:t>
      </w:r>
      <w:r>
        <w:rPr>
          <w:rFonts w:hint="eastAsia" w:eastAsia="华文中宋"/>
          <w:kern w:val="0"/>
          <w:sz w:val="24"/>
        </w:rPr>
        <w:t>吴文婷</w:t>
      </w:r>
      <w:r>
        <w:rPr>
          <w:rFonts w:eastAsia="华文中宋"/>
          <w:kern w:val="0"/>
          <w:sz w:val="24"/>
        </w:rPr>
        <w:t>                联系电话：</w:t>
      </w:r>
      <w:r>
        <w:rPr>
          <w:rFonts w:hint="eastAsia" w:eastAsia="华文中宋"/>
          <w:kern w:val="0"/>
          <w:sz w:val="24"/>
        </w:rPr>
        <w:t>18942055098</w:t>
      </w:r>
      <w:r>
        <w:rPr>
          <w:rFonts w:eastAsia="华文中宋"/>
          <w:kern w:val="0"/>
          <w:sz w:val="24"/>
        </w:rPr>
        <w:t>          </w:t>
      </w:r>
    </w:p>
    <w:tbl>
      <w:tblPr>
        <w:tblStyle w:val="9"/>
        <w:tblW w:w="9680" w:type="dxa"/>
        <w:jc w:val="center"/>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04"/>
        <w:gridCol w:w="1894"/>
        <w:gridCol w:w="2410"/>
        <w:gridCol w:w="776"/>
        <w:gridCol w:w="862"/>
        <w:gridCol w:w="992"/>
        <w:gridCol w:w="733"/>
        <w:gridCol w:w="777"/>
        <w:gridCol w:w="5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53" w:hRule="atLeast"/>
          <w:tblCellSpacing w:w="0" w:type="dxa"/>
          <w:jc w:val="center"/>
        </w:trPr>
        <w:tc>
          <w:tcPr>
            <w:tcW w:w="704" w:type="dxa"/>
            <w:vMerge w:val="restart"/>
            <w:tcBorders>
              <w:top w:val="single" w:color="auto" w:sz="2" w:space="0"/>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r>
              <w:rPr>
                <w:rFonts w:eastAsia="仿宋_GB2312"/>
                <w:kern w:val="0"/>
                <w:sz w:val="24"/>
              </w:rPr>
              <w:t>序号</w:t>
            </w:r>
          </w:p>
        </w:tc>
        <w:tc>
          <w:tcPr>
            <w:tcW w:w="1894" w:type="dxa"/>
            <w:vMerge w:val="restart"/>
            <w:tcBorders>
              <w:top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r>
              <w:rPr>
                <w:rFonts w:eastAsia="仿宋_GB2312"/>
                <w:kern w:val="0"/>
                <w:sz w:val="24"/>
              </w:rPr>
              <w:t>项目单位</w:t>
            </w:r>
          </w:p>
        </w:tc>
        <w:tc>
          <w:tcPr>
            <w:tcW w:w="2410" w:type="dxa"/>
            <w:vMerge w:val="restart"/>
            <w:tcBorders>
              <w:top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r>
              <w:rPr>
                <w:rFonts w:eastAsia="仿宋_GB2312"/>
                <w:kern w:val="0"/>
                <w:sz w:val="24"/>
              </w:rPr>
              <w:t>项目名称</w:t>
            </w:r>
          </w:p>
        </w:tc>
        <w:tc>
          <w:tcPr>
            <w:tcW w:w="2630" w:type="dxa"/>
            <w:gridSpan w:val="3"/>
            <w:tcBorders>
              <w:top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r>
              <w:rPr>
                <w:rFonts w:eastAsia="仿宋_GB2312"/>
                <w:kern w:val="0"/>
                <w:sz w:val="24"/>
              </w:rPr>
              <w:t>项目资金情况</w:t>
            </w:r>
          </w:p>
        </w:tc>
        <w:tc>
          <w:tcPr>
            <w:tcW w:w="733" w:type="dxa"/>
            <w:vMerge w:val="restart"/>
            <w:tcBorders>
              <w:top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r>
              <w:rPr>
                <w:rFonts w:eastAsia="仿宋_GB2312"/>
                <w:kern w:val="0"/>
                <w:sz w:val="24"/>
              </w:rPr>
              <w:t>自评分数</w:t>
            </w:r>
          </w:p>
        </w:tc>
        <w:tc>
          <w:tcPr>
            <w:tcW w:w="777" w:type="dxa"/>
            <w:vMerge w:val="restart"/>
            <w:tcBorders>
              <w:top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r>
              <w:rPr>
                <w:rFonts w:eastAsia="仿宋_GB2312"/>
                <w:kern w:val="0"/>
                <w:sz w:val="24"/>
              </w:rPr>
              <w:t>自评等级</w:t>
            </w:r>
          </w:p>
        </w:tc>
        <w:tc>
          <w:tcPr>
            <w:tcW w:w="532" w:type="dxa"/>
            <w:vMerge w:val="restart"/>
            <w:tcBorders>
              <w:top w:val="single" w:color="auto" w:sz="2" w:space="0"/>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r>
              <w:rPr>
                <w:rFonts w:eastAsia="仿宋_GB2312"/>
                <w:kern w:val="0"/>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53" w:hRule="atLeast"/>
          <w:tblCellSpacing w:w="0" w:type="dxa"/>
          <w:jc w:val="center"/>
        </w:trPr>
        <w:tc>
          <w:tcPr>
            <w:tcW w:w="704" w:type="dxa"/>
            <w:vMerge w:val="continue"/>
            <w:tcBorders>
              <w:left w:val="single" w:color="auto" w:sz="2" w:space="0"/>
            </w:tcBorders>
            <w:vAlign w:val="center"/>
          </w:tcPr>
          <w:p>
            <w:pPr>
              <w:spacing w:line="300" w:lineRule="exact"/>
              <w:jc w:val="center"/>
              <w:rPr>
                <w:rFonts w:eastAsia="仿宋_GB2312"/>
                <w:kern w:val="0"/>
                <w:sz w:val="24"/>
              </w:rPr>
            </w:pPr>
          </w:p>
        </w:tc>
        <w:tc>
          <w:tcPr>
            <w:tcW w:w="1894" w:type="dxa"/>
            <w:vMerge w:val="continue"/>
            <w:vAlign w:val="center"/>
          </w:tcPr>
          <w:p>
            <w:pPr>
              <w:spacing w:line="300" w:lineRule="exact"/>
              <w:jc w:val="center"/>
              <w:rPr>
                <w:rFonts w:eastAsia="仿宋_GB2312"/>
                <w:kern w:val="0"/>
                <w:sz w:val="24"/>
              </w:rPr>
            </w:pPr>
          </w:p>
        </w:tc>
        <w:tc>
          <w:tcPr>
            <w:tcW w:w="2410" w:type="dxa"/>
            <w:vMerge w:val="continue"/>
            <w:vAlign w:val="center"/>
          </w:tcPr>
          <w:p>
            <w:pPr>
              <w:spacing w:line="300" w:lineRule="exact"/>
              <w:jc w:val="center"/>
              <w:rPr>
                <w:rFonts w:eastAsia="仿宋_GB2312"/>
                <w:kern w:val="0"/>
                <w:sz w:val="24"/>
              </w:rPr>
            </w:pPr>
          </w:p>
        </w:tc>
        <w:tc>
          <w:tcPr>
            <w:tcW w:w="776" w:type="dxa"/>
            <w:vMerge w:val="restart"/>
            <w:tcMar>
              <w:top w:w="15" w:type="dxa"/>
              <w:left w:w="15" w:type="dxa"/>
              <w:bottom w:w="15" w:type="dxa"/>
              <w:right w:w="15" w:type="dxa"/>
            </w:tcMar>
            <w:vAlign w:val="center"/>
          </w:tcPr>
          <w:p>
            <w:pPr>
              <w:spacing w:line="300" w:lineRule="exact"/>
              <w:jc w:val="center"/>
              <w:rPr>
                <w:rFonts w:eastAsia="仿宋_GB2312"/>
                <w:kern w:val="0"/>
                <w:sz w:val="24"/>
              </w:rPr>
            </w:pPr>
            <w:r>
              <w:rPr>
                <w:rFonts w:eastAsia="仿宋_GB2312"/>
                <w:kern w:val="0"/>
                <w:sz w:val="24"/>
              </w:rPr>
              <w:t>预算总金额</w:t>
            </w:r>
          </w:p>
        </w:tc>
        <w:tc>
          <w:tcPr>
            <w:tcW w:w="1854" w:type="dxa"/>
            <w:gridSpan w:val="2"/>
            <w:tcMar>
              <w:top w:w="15" w:type="dxa"/>
              <w:left w:w="15" w:type="dxa"/>
              <w:bottom w:w="15" w:type="dxa"/>
              <w:right w:w="15" w:type="dxa"/>
            </w:tcMar>
          </w:tcPr>
          <w:p>
            <w:pPr>
              <w:spacing w:line="300" w:lineRule="exact"/>
              <w:rPr>
                <w:rFonts w:eastAsia="仿宋_GB2312"/>
                <w:kern w:val="0"/>
                <w:sz w:val="24"/>
              </w:rPr>
            </w:pPr>
            <w:r>
              <w:rPr>
                <w:rFonts w:eastAsia="仿宋_GB2312"/>
                <w:kern w:val="0"/>
                <w:sz w:val="24"/>
              </w:rPr>
              <w:t>其中：</w:t>
            </w:r>
          </w:p>
          <w:p>
            <w:pPr>
              <w:spacing w:line="300" w:lineRule="exact"/>
              <w:ind w:firstLine="240" w:firstLineChars="100"/>
              <w:rPr>
                <w:rFonts w:eastAsia="仿宋_GB2312"/>
                <w:kern w:val="0"/>
                <w:sz w:val="24"/>
              </w:rPr>
            </w:pPr>
            <w:r>
              <w:rPr>
                <w:rFonts w:eastAsia="仿宋_GB2312"/>
                <w:kern w:val="0"/>
                <w:sz w:val="24"/>
              </w:rPr>
              <w:t>县级财政资金</w:t>
            </w:r>
          </w:p>
        </w:tc>
        <w:tc>
          <w:tcPr>
            <w:tcW w:w="733" w:type="dxa"/>
            <w:vMerge w:val="continue"/>
            <w:vAlign w:val="center"/>
          </w:tcPr>
          <w:p>
            <w:pPr>
              <w:spacing w:line="300" w:lineRule="exact"/>
              <w:jc w:val="center"/>
              <w:rPr>
                <w:rFonts w:eastAsia="仿宋_GB2312"/>
                <w:kern w:val="0"/>
                <w:sz w:val="24"/>
              </w:rPr>
            </w:pPr>
          </w:p>
        </w:tc>
        <w:tc>
          <w:tcPr>
            <w:tcW w:w="777" w:type="dxa"/>
            <w:vMerge w:val="continue"/>
            <w:vAlign w:val="center"/>
          </w:tcPr>
          <w:p>
            <w:pPr>
              <w:spacing w:line="300" w:lineRule="exact"/>
              <w:jc w:val="center"/>
              <w:rPr>
                <w:rFonts w:eastAsia="仿宋_GB2312"/>
                <w:kern w:val="0"/>
                <w:sz w:val="24"/>
              </w:rPr>
            </w:pPr>
          </w:p>
        </w:tc>
        <w:tc>
          <w:tcPr>
            <w:tcW w:w="532" w:type="dxa"/>
            <w:vMerge w:val="continue"/>
            <w:tcBorders>
              <w:right w:val="single" w:color="auto" w:sz="2" w:space="0"/>
            </w:tcBorders>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53" w:hRule="atLeast"/>
          <w:tblCellSpacing w:w="0" w:type="dxa"/>
          <w:jc w:val="center"/>
        </w:trPr>
        <w:tc>
          <w:tcPr>
            <w:tcW w:w="704" w:type="dxa"/>
            <w:vMerge w:val="continue"/>
            <w:tcBorders>
              <w:left w:val="single" w:color="auto" w:sz="2" w:space="0"/>
            </w:tcBorders>
            <w:vAlign w:val="center"/>
          </w:tcPr>
          <w:p>
            <w:pPr>
              <w:spacing w:line="300" w:lineRule="exact"/>
              <w:jc w:val="center"/>
              <w:rPr>
                <w:rFonts w:eastAsia="仿宋_GB2312"/>
                <w:kern w:val="0"/>
                <w:sz w:val="24"/>
              </w:rPr>
            </w:pPr>
          </w:p>
        </w:tc>
        <w:tc>
          <w:tcPr>
            <w:tcW w:w="1894" w:type="dxa"/>
            <w:vMerge w:val="continue"/>
            <w:vAlign w:val="center"/>
          </w:tcPr>
          <w:p>
            <w:pPr>
              <w:spacing w:line="300" w:lineRule="exact"/>
              <w:jc w:val="center"/>
              <w:rPr>
                <w:rFonts w:eastAsia="仿宋_GB2312"/>
                <w:kern w:val="0"/>
                <w:sz w:val="24"/>
              </w:rPr>
            </w:pPr>
          </w:p>
        </w:tc>
        <w:tc>
          <w:tcPr>
            <w:tcW w:w="2410" w:type="dxa"/>
            <w:vMerge w:val="continue"/>
            <w:vAlign w:val="center"/>
          </w:tcPr>
          <w:p>
            <w:pPr>
              <w:spacing w:line="300" w:lineRule="exact"/>
              <w:jc w:val="center"/>
              <w:rPr>
                <w:rFonts w:eastAsia="仿宋_GB2312"/>
                <w:kern w:val="0"/>
                <w:sz w:val="24"/>
              </w:rPr>
            </w:pPr>
          </w:p>
        </w:tc>
        <w:tc>
          <w:tcPr>
            <w:tcW w:w="776" w:type="dxa"/>
            <w:vMerge w:val="continue"/>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r>
              <w:rPr>
                <w:rFonts w:eastAsia="仿宋_GB2312"/>
                <w:kern w:val="0"/>
                <w:sz w:val="24"/>
              </w:rPr>
              <w:t>预算</w:t>
            </w:r>
          </w:p>
          <w:p>
            <w:pPr>
              <w:spacing w:line="300" w:lineRule="exact"/>
              <w:jc w:val="center"/>
              <w:rPr>
                <w:rFonts w:eastAsia="仿宋_GB2312"/>
                <w:kern w:val="0"/>
                <w:sz w:val="24"/>
              </w:rPr>
            </w:pPr>
            <w:r>
              <w:rPr>
                <w:rFonts w:eastAsia="仿宋_GB2312"/>
                <w:kern w:val="0"/>
                <w:sz w:val="24"/>
              </w:rPr>
              <w:t>安排</w:t>
            </w: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r>
              <w:rPr>
                <w:rFonts w:eastAsia="仿宋_GB2312"/>
                <w:kern w:val="0"/>
                <w:sz w:val="24"/>
              </w:rPr>
              <w:t>实际</w:t>
            </w:r>
          </w:p>
          <w:p>
            <w:pPr>
              <w:spacing w:line="300" w:lineRule="exact"/>
              <w:jc w:val="center"/>
              <w:rPr>
                <w:rFonts w:eastAsia="仿宋_GB2312"/>
                <w:kern w:val="0"/>
                <w:sz w:val="24"/>
              </w:rPr>
            </w:pPr>
            <w:r>
              <w:rPr>
                <w:rFonts w:eastAsia="仿宋_GB2312"/>
                <w:kern w:val="0"/>
                <w:sz w:val="24"/>
              </w:rPr>
              <w:t>支出</w:t>
            </w:r>
          </w:p>
        </w:tc>
        <w:tc>
          <w:tcPr>
            <w:tcW w:w="733" w:type="dxa"/>
            <w:vMerge w:val="continue"/>
            <w:vAlign w:val="center"/>
          </w:tcPr>
          <w:p>
            <w:pPr>
              <w:spacing w:line="300" w:lineRule="exact"/>
              <w:jc w:val="center"/>
              <w:rPr>
                <w:rFonts w:eastAsia="仿宋_GB2312"/>
                <w:kern w:val="0"/>
                <w:sz w:val="24"/>
              </w:rPr>
            </w:pPr>
          </w:p>
        </w:tc>
        <w:tc>
          <w:tcPr>
            <w:tcW w:w="777" w:type="dxa"/>
            <w:vMerge w:val="continue"/>
            <w:vAlign w:val="center"/>
          </w:tcPr>
          <w:p>
            <w:pPr>
              <w:spacing w:line="300" w:lineRule="exact"/>
              <w:jc w:val="center"/>
              <w:rPr>
                <w:rFonts w:eastAsia="仿宋_GB2312"/>
                <w:kern w:val="0"/>
                <w:sz w:val="24"/>
              </w:rPr>
            </w:pPr>
          </w:p>
        </w:tc>
        <w:tc>
          <w:tcPr>
            <w:tcW w:w="532" w:type="dxa"/>
            <w:vMerge w:val="continue"/>
            <w:tcBorders>
              <w:right w:val="single" w:color="auto" w:sz="2" w:space="0"/>
            </w:tcBorders>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53" w:hRule="atLeast"/>
          <w:tblCellSpacing w:w="0" w:type="dxa"/>
          <w:jc w:val="center"/>
        </w:trPr>
        <w:tc>
          <w:tcPr>
            <w:tcW w:w="9680" w:type="dxa"/>
            <w:gridSpan w:val="9"/>
            <w:tcBorders>
              <w:left w:val="single" w:color="auto" w:sz="2" w:space="0"/>
              <w:right w:val="single" w:color="auto" w:sz="2" w:space="0"/>
            </w:tcBorders>
            <w:tcMar>
              <w:top w:w="15" w:type="dxa"/>
              <w:left w:w="15" w:type="dxa"/>
              <w:bottom w:w="15" w:type="dxa"/>
              <w:right w:w="15" w:type="dxa"/>
            </w:tcMar>
          </w:tcPr>
          <w:p>
            <w:pPr>
              <w:spacing w:line="300" w:lineRule="exact"/>
              <w:rPr>
                <w:rFonts w:eastAsia="仿宋_GB2312"/>
                <w:kern w:val="0"/>
                <w:sz w:val="24"/>
              </w:rPr>
            </w:pPr>
            <w:r>
              <w:rPr>
                <w:rFonts w:eastAsia="仿宋_GB2312"/>
                <w:kern w:val="0"/>
                <w:sz w:val="24"/>
              </w:rPr>
              <w:t>一、项目绩效自评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42" w:hRule="atLeast"/>
          <w:tblCellSpacing w:w="0" w:type="dxa"/>
          <w:jc w:val="center"/>
        </w:trPr>
        <w:tc>
          <w:tcPr>
            <w:tcW w:w="9680" w:type="dxa"/>
            <w:gridSpan w:val="9"/>
            <w:tcBorders>
              <w:left w:val="single" w:color="auto" w:sz="2" w:space="0"/>
              <w:bottom w:val="single" w:color="auto" w:sz="2" w:space="0"/>
              <w:right w:val="single" w:color="auto" w:sz="2" w:space="0"/>
            </w:tcBorders>
            <w:tcMar>
              <w:top w:w="15" w:type="dxa"/>
              <w:left w:w="15" w:type="dxa"/>
              <w:bottom w:w="15" w:type="dxa"/>
              <w:right w:w="15" w:type="dxa"/>
            </w:tcMar>
            <w:vAlign w:val="center"/>
          </w:tcPr>
          <w:p>
            <w:pPr>
              <w:spacing w:line="300" w:lineRule="exact"/>
              <w:rPr>
                <w:rFonts w:eastAsia="仿宋_GB2312"/>
                <w:kern w:val="0"/>
                <w:sz w:val="24"/>
              </w:rPr>
            </w:pPr>
            <w:r>
              <w:rPr>
                <w:rFonts w:eastAsia="仿宋_GB2312"/>
                <w:kern w:val="0"/>
                <w:sz w:val="24"/>
              </w:rPr>
              <w:t>二、部门（单位）整体支出绩效自评：</w:t>
            </w: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部门（单位）：</w:t>
            </w:r>
            <w:r>
              <w:rPr>
                <w:rFonts w:hint="eastAsia" w:eastAsia="仿宋_GB2312"/>
                <w:kern w:val="0"/>
                <w:sz w:val="24"/>
              </w:rPr>
              <w:t>新晃县城市管理和综合执法局</w:t>
            </w:r>
            <w:r>
              <w:rPr>
                <w:rFonts w:eastAsia="仿宋_GB2312"/>
                <w:kern w:val="0"/>
                <w:sz w:val="24"/>
              </w:rPr>
              <w:t>      </w:t>
            </w:r>
            <w:r>
              <w:rPr>
                <w:rFonts w:hint="eastAsia" w:eastAsia="仿宋_GB2312"/>
                <w:kern w:val="0"/>
                <w:sz w:val="24"/>
              </w:rPr>
              <w:t xml:space="preserve"> </w:t>
            </w:r>
            <w:r>
              <w:rPr>
                <w:rFonts w:eastAsia="仿宋_GB2312"/>
                <w:kern w:val="0"/>
                <w:sz w:val="24"/>
              </w:rPr>
              <w:t xml:space="preserve">  </w:t>
            </w:r>
            <w:r>
              <w:rPr>
                <w:rFonts w:hint="eastAsia" w:eastAsia="仿宋_GB2312"/>
                <w:kern w:val="0"/>
                <w:sz w:val="24"/>
              </w:rPr>
              <w:t xml:space="preserve"> </w:t>
            </w:r>
            <w:r>
              <w:rPr>
                <w:rFonts w:eastAsia="仿宋_GB2312"/>
                <w:kern w:val="0"/>
                <w:sz w:val="24"/>
              </w:rPr>
              <w:t xml:space="preserve"> 自评分数：</w:t>
            </w:r>
            <w:r>
              <w:rPr>
                <w:rFonts w:hint="eastAsia" w:eastAsia="仿宋_GB2312"/>
                <w:kern w:val="0"/>
                <w:sz w:val="24"/>
              </w:rPr>
              <w:t>85</w:t>
            </w:r>
            <w:r>
              <w:rPr>
                <w:rFonts w:eastAsia="仿宋_GB2312"/>
                <w:kern w:val="0"/>
                <w:sz w:val="24"/>
              </w:rPr>
              <w:t xml:space="preserve">      </w:t>
            </w:r>
            <w:r>
              <w:rPr>
                <w:rFonts w:hint="eastAsia" w:eastAsia="仿宋_GB2312"/>
                <w:kern w:val="0"/>
                <w:sz w:val="24"/>
              </w:rPr>
              <w:t xml:space="preserve"> </w:t>
            </w:r>
            <w:r>
              <w:rPr>
                <w:rFonts w:eastAsia="仿宋_GB2312"/>
                <w:kern w:val="0"/>
                <w:sz w:val="24"/>
              </w:rPr>
              <w:t xml:space="preserve"> 自评等级：</w:t>
            </w:r>
            <w:r>
              <w:rPr>
                <w:rFonts w:hint="eastAsia" w:eastAsia="仿宋_GB2312"/>
                <w:kern w:val="0"/>
                <w:sz w:val="24"/>
              </w:rPr>
              <w:t>良好</w:t>
            </w:r>
          </w:p>
        </w:tc>
      </w:tr>
    </w:tbl>
    <w:p>
      <w:pPr>
        <w:spacing w:line="400" w:lineRule="exact"/>
        <w:jc w:val="left"/>
        <w:rPr>
          <w:rFonts w:eastAsia="仿宋_GB2312"/>
          <w:kern w:val="0"/>
          <w:sz w:val="24"/>
        </w:rPr>
      </w:pPr>
      <w:r>
        <w:rPr>
          <w:rFonts w:eastAsia="仿宋_GB2312"/>
          <w:kern w:val="0"/>
          <w:sz w:val="24"/>
        </w:rPr>
        <w:t>备注：评价等级划分如下</w:t>
      </w:r>
    </w:p>
    <w:p>
      <w:pPr>
        <w:spacing w:line="400" w:lineRule="exact"/>
        <w:jc w:val="left"/>
        <w:rPr>
          <w:rFonts w:eastAsia="仿宋_GB2312"/>
          <w:kern w:val="0"/>
          <w:sz w:val="24"/>
        </w:rPr>
      </w:pPr>
      <w:r>
        <w:rPr>
          <w:rFonts w:eastAsia="仿宋_GB2312"/>
          <w:kern w:val="0"/>
          <w:sz w:val="24"/>
        </w:rPr>
        <w:t>优秀  95分≤得分≤100分；良好  80分≤得分＜95分；一般  60分≤得分＜80分；较差  得分＜60分</w:t>
      </w:r>
    </w:p>
    <w:sectPr>
      <w:footerReference r:id="rId3" w:type="default"/>
      <w:footerReference r:id="rId4" w:type="even"/>
      <w:pgSz w:w="11906" w:h="16838"/>
      <w:pgMar w:top="1701" w:right="1361" w:bottom="1701" w:left="1701" w:header="1134"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方正粗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6022" w:y="52"/>
      <w:rPr>
        <w:rStyle w:val="7"/>
        <w:rFonts w:ascii="宋体" w:hAnsi="宋体"/>
        <w:sz w:val="21"/>
        <w:szCs w:val="21"/>
      </w:rPr>
    </w:pPr>
    <w:r>
      <w:rPr>
        <w:rFonts w:ascii="宋体" w:hAnsi="宋体"/>
        <w:sz w:val="21"/>
        <w:szCs w:val="21"/>
      </w:rPr>
      <w:fldChar w:fldCharType="begin"/>
    </w:r>
    <w:r>
      <w:rPr>
        <w:rStyle w:val="7"/>
        <w:rFonts w:ascii="宋体" w:hAnsi="宋体"/>
        <w:sz w:val="21"/>
        <w:szCs w:val="21"/>
      </w:rPr>
      <w:instrText xml:space="preserve">PAGE  </w:instrText>
    </w:r>
    <w:r>
      <w:rPr>
        <w:rFonts w:ascii="宋体" w:hAnsi="宋体"/>
        <w:sz w:val="21"/>
        <w:szCs w:val="21"/>
      </w:rPr>
      <w:fldChar w:fldCharType="separate"/>
    </w:r>
    <w:r>
      <w:rPr>
        <w:rStyle w:val="7"/>
        <w:rFonts w:ascii="宋体" w:hAnsi="宋体"/>
        <w:sz w:val="21"/>
        <w:szCs w:val="21"/>
      </w:rPr>
      <w:t>- 1 -</w:t>
    </w:r>
    <w:r>
      <w:rPr>
        <w:rFonts w:ascii="宋体" w:hAnsi="宋体"/>
        <w:sz w:val="21"/>
        <w:szCs w:val="21"/>
      </w:rPr>
      <w:fldChar w:fldCharType="end"/>
    </w:r>
  </w:p>
  <w:p>
    <w:pPr>
      <w:pStyle w:val="2"/>
      <w:ind w:right="360"/>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72ADB"/>
    <w:multiLevelType w:val="multilevel"/>
    <w:tmpl w:val="55572ADB"/>
    <w:lvl w:ilvl="0" w:tentative="0">
      <w:start w:val="1"/>
      <w:numFmt w:val="japaneseCounting"/>
      <w:lvlText w:val="%1、"/>
      <w:lvlJc w:val="left"/>
      <w:pPr>
        <w:ind w:left="1320" w:hanging="648"/>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1">
    <w:nsid w:val="67864056"/>
    <w:multiLevelType w:val="multilevel"/>
    <w:tmpl w:val="67864056"/>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641"/>
    <w:rsid w:val="00004575"/>
    <w:rsid w:val="0000664A"/>
    <w:rsid w:val="00015AC2"/>
    <w:rsid w:val="000166EA"/>
    <w:rsid w:val="00024D30"/>
    <w:rsid w:val="000B599D"/>
    <w:rsid w:val="000C45DA"/>
    <w:rsid w:val="000D3DB1"/>
    <w:rsid w:val="000D4714"/>
    <w:rsid w:val="000F0BBE"/>
    <w:rsid w:val="00101A02"/>
    <w:rsid w:val="00111F5D"/>
    <w:rsid w:val="0012799A"/>
    <w:rsid w:val="001510BA"/>
    <w:rsid w:val="001818F5"/>
    <w:rsid w:val="0018515A"/>
    <w:rsid w:val="00185CB4"/>
    <w:rsid w:val="001B2712"/>
    <w:rsid w:val="001B7BAC"/>
    <w:rsid w:val="001C0BC2"/>
    <w:rsid w:val="00207A31"/>
    <w:rsid w:val="00276E2A"/>
    <w:rsid w:val="00277920"/>
    <w:rsid w:val="002924F3"/>
    <w:rsid w:val="00295C07"/>
    <w:rsid w:val="002C6D54"/>
    <w:rsid w:val="002F4AD9"/>
    <w:rsid w:val="002F6A94"/>
    <w:rsid w:val="003047F4"/>
    <w:rsid w:val="00305515"/>
    <w:rsid w:val="003213B4"/>
    <w:rsid w:val="00380906"/>
    <w:rsid w:val="003835DF"/>
    <w:rsid w:val="00385324"/>
    <w:rsid w:val="0039615E"/>
    <w:rsid w:val="003F07C5"/>
    <w:rsid w:val="003F17E9"/>
    <w:rsid w:val="003F33FD"/>
    <w:rsid w:val="003F5BC8"/>
    <w:rsid w:val="004102E1"/>
    <w:rsid w:val="00431695"/>
    <w:rsid w:val="00447377"/>
    <w:rsid w:val="00474350"/>
    <w:rsid w:val="004A201D"/>
    <w:rsid w:val="004B72ED"/>
    <w:rsid w:val="004C58AD"/>
    <w:rsid w:val="004F30EC"/>
    <w:rsid w:val="005312BF"/>
    <w:rsid w:val="005422A8"/>
    <w:rsid w:val="00550289"/>
    <w:rsid w:val="00560482"/>
    <w:rsid w:val="0058253F"/>
    <w:rsid w:val="0058576A"/>
    <w:rsid w:val="00591F4B"/>
    <w:rsid w:val="005922DC"/>
    <w:rsid w:val="005A5724"/>
    <w:rsid w:val="005E2F8D"/>
    <w:rsid w:val="0060145F"/>
    <w:rsid w:val="006053F3"/>
    <w:rsid w:val="00610D85"/>
    <w:rsid w:val="00640D95"/>
    <w:rsid w:val="00650710"/>
    <w:rsid w:val="00651F73"/>
    <w:rsid w:val="006816F0"/>
    <w:rsid w:val="00684099"/>
    <w:rsid w:val="006A3868"/>
    <w:rsid w:val="006C46C4"/>
    <w:rsid w:val="006D51F0"/>
    <w:rsid w:val="006E1DC2"/>
    <w:rsid w:val="006F2363"/>
    <w:rsid w:val="006F76FA"/>
    <w:rsid w:val="00714BB0"/>
    <w:rsid w:val="0075454F"/>
    <w:rsid w:val="00755A7C"/>
    <w:rsid w:val="0075686D"/>
    <w:rsid w:val="00782460"/>
    <w:rsid w:val="00785362"/>
    <w:rsid w:val="007A7E52"/>
    <w:rsid w:val="007B3CEF"/>
    <w:rsid w:val="007B50C4"/>
    <w:rsid w:val="007E4828"/>
    <w:rsid w:val="0083607D"/>
    <w:rsid w:val="008601DB"/>
    <w:rsid w:val="00872037"/>
    <w:rsid w:val="00873F85"/>
    <w:rsid w:val="00882668"/>
    <w:rsid w:val="008B01C9"/>
    <w:rsid w:val="008C3B39"/>
    <w:rsid w:val="008D5AA1"/>
    <w:rsid w:val="008E05B6"/>
    <w:rsid w:val="00903423"/>
    <w:rsid w:val="00921A1F"/>
    <w:rsid w:val="0097693A"/>
    <w:rsid w:val="00994FD4"/>
    <w:rsid w:val="009D5638"/>
    <w:rsid w:val="009F13BD"/>
    <w:rsid w:val="00A019E7"/>
    <w:rsid w:val="00A377CD"/>
    <w:rsid w:val="00A41BFF"/>
    <w:rsid w:val="00A75A0A"/>
    <w:rsid w:val="00A94C1C"/>
    <w:rsid w:val="00AC5FF5"/>
    <w:rsid w:val="00AE2FF6"/>
    <w:rsid w:val="00AF0583"/>
    <w:rsid w:val="00B16BFA"/>
    <w:rsid w:val="00B468BF"/>
    <w:rsid w:val="00B8218B"/>
    <w:rsid w:val="00BB7641"/>
    <w:rsid w:val="00BC75D9"/>
    <w:rsid w:val="00BF3716"/>
    <w:rsid w:val="00C11BC5"/>
    <w:rsid w:val="00C1598E"/>
    <w:rsid w:val="00C16C2A"/>
    <w:rsid w:val="00C176C8"/>
    <w:rsid w:val="00C177A4"/>
    <w:rsid w:val="00C23959"/>
    <w:rsid w:val="00C3276C"/>
    <w:rsid w:val="00C336C1"/>
    <w:rsid w:val="00C40617"/>
    <w:rsid w:val="00C83317"/>
    <w:rsid w:val="00C94281"/>
    <w:rsid w:val="00CC6249"/>
    <w:rsid w:val="00CD6AF3"/>
    <w:rsid w:val="00CE1595"/>
    <w:rsid w:val="00D042F5"/>
    <w:rsid w:val="00D21260"/>
    <w:rsid w:val="00D6611B"/>
    <w:rsid w:val="00D72623"/>
    <w:rsid w:val="00D75ACA"/>
    <w:rsid w:val="00DA3A9E"/>
    <w:rsid w:val="00DB66D2"/>
    <w:rsid w:val="00DC2824"/>
    <w:rsid w:val="00DE644C"/>
    <w:rsid w:val="00DF6AFF"/>
    <w:rsid w:val="00E440CC"/>
    <w:rsid w:val="00E50BB2"/>
    <w:rsid w:val="00E63D56"/>
    <w:rsid w:val="00EA23EB"/>
    <w:rsid w:val="00ED41B9"/>
    <w:rsid w:val="00EF0C82"/>
    <w:rsid w:val="00F206B1"/>
    <w:rsid w:val="00F53701"/>
    <w:rsid w:val="00F67D59"/>
    <w:rsid w:val="00F747A9"/>
    <w:rsid w:val="00F77874"/>
    <w:rsid w:val="00F816F8"/>
    <w:rsid w:val="00FA1070"/>
    <w:rsid w:val="00FD7576"/>
    <w:rsid w:val="00FF61DE"/>
    <w:rsid w:val="0EE35409"/>
    <w:rsid w:val="13FA3B61"/>
    <w:rsid w:val="149E03A7"/>
    <w:rsid w:val="15815B34"/>
    <w:rsid w:val="16602ECC"/>
    <w:rsid w:val="1BAB7584"/>
    <w:rsid w:val="232F08B9"/>
    <w:rsid w:val="252D363A"/>
    <w:rsid w:val="2758377A"/>
    <w:rsid w:val="27DA6677"/>
    <w:rsid w:val="28EB246E"/>
    <w:rsid w:val="31A964EE"/>
    <w:rsid w:val="36255E67"/>
    <w:rsid w:val="38B52A67"/>
    <w:rsid w:val="3BC65EF6"/>
    <w:rsid w:val="412B4F71"/>
    <w:rsid w:val="44361691"/>
    <w:rsid w:val="461C6F02"/>
    <w:rsid w:val="48C3585F"/>
    <w:rsid w:val="53723BDD"/>
    <w:rsid w:val="54E11A6F"/>
    <w:rsid w:val="563279CB"/>
    <w:rsid w:val="56AF7A77"/>
    <w:rsid w:val="5F8024EB"/>
    <w:rsid w:val="66900E2E"/>
    <w:rsid w:val="715C3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styleId="7">
    <w:name w:val="page number"/>
    <w:basedOn w:val="5"/>
    <w:qFormat/>
    <w:uiPriority w:val="0"/>
  </w:style>
  <w:style w:type="character" w:styleId="8">
    <w:name w:val="Hyperlink"/>
    <w:qFormat/>
    <w:uiPriority w:val="0"/>
    <w:rPr>
      <w:color w:val="0000FF"/>
      <w:u w:val="single"/>
    </w:rPr>
  </w:style>
  <w:style w:type="paragraph" w:styleId="10">
    <w:name w:val="List Paragraph"/>
    <w:basedOn w:val="1"/>
    <w:qFormat/>
    <w:uiPriority w:val="99"/>
    <w:pPr>
      <w:ind w:firstLine="420" w:firstLineChars="200"/>
    </w:p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806666-3FEB-4658-8A49-EE0F5C42810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22</Pages>
  <Words>1914</Words>
  <Characters>10910</Characters>
  <Lines>90</Lines>
  <Paragraphs>25</Paragraphs>
  <TotalTime>1</TotalTime>
  <ScaleCrop>false</ScaleCrop>
  <LinksUpToDate>false</LinksUpToDate>
  <CharactersWithSpaces>12799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2021-09-02T07:24:00Z</dcterms:created>
  <dc:creator>User</dc:creator>
  <cp:lastModifiedBy>Administrator</cp:lastModifiedBy>
  <cp:lastPrinted>2020-09-10T04:03:00Z</cp:lastPrinted>
  <dcterms:modified xsi:type="dcterms:W3CDTF">2021-09-15T07:51:14Z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