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新晃县</w:t>
      </w:r>
      <w:r>
        <w:rPr>
          <w:rFonts w:hint="eastAsia" w:ascii="方正小标宋简体" w:hAnsi="方正小标宋简体" w:eastAsia="方正小标宋简体" w:cs="方正小标宋简体"/>
          <w:sz w:val="44"/>
          <w:szCs w:val="44"/>
        </w:rPr>
        <w:t>城市管理和综合执法局权责清单</w:t>
      </w:r>
    </w:p>
    <w:p>
      <w:pPr>
        <w:spacing w:line="320" w:lineRule="exact"/>
        <w:ind w:right="-420" w:rightChars="-200"/>
        <w:jc w:val="left"/>
        <w:rPr>
          <w:rFonts w:hint="eastAsia" w:ascii="仿宋_GB2312" w:hAnsi="仿宋_GB2312" w:eastAsia="仿宋_GB2312" w:cs="仿宋_GB2312"/>
          <w:b/>
          <w:color w:val="000000"/>
          <w:sz w:val="28"/>
          <w:szCs w:val="28"/>
        </w:rPr>
      </w:pPr>
    </w:p>
    <w:tbl>
      <w:tblPr>
        <w:tblStyle w:val="5"/>
        <w:tblW w:w="15100" w:type="dxa"/>
        <w:tblInd w:w="-24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89"/>
        <w:gridCol w:w="1048"/>
        <w:gridCol w:w="557"/>
        <w:gridCol w:w="5159"/>
        <w:gridCol w:w="900"/>
        <w:gridCol w:w="3994"/>
        <w:gridCol w:w="1181"/>
        <w:gridCol w:w="1038"/>
        <w:gridCol w:w="7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489" w:type="dxa"/>
            <w:tcBorders>
              <w:top w:val="single" w:color="000000" w:sz="12"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1048" w:type="dxa"/>
            <w:tcBorders>
              <w:top w:val="single" w:color="000000" w:sz="12"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rPr>
              <w:t>职权名称</w:t>
            </w:r>
          </w:p>
        </w:tc>
        <w:tc>
          <w:tcPr>
            <w:tcW w:w="557" w:type="dxa"/>
            <w:tcBorders>
              <w:top w:val="single" w:color="000000" w:sz="12"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rPr>
              <w:t>职权类型</w:t>
            </w:r>
          </w:p>
        </w:tc>
        <w:tc>
          <w:tcPr>
            <w:tcW w:w="5159" w:type="dxa"/>
            <w:tcBorders>
              <w:top w:val="single" w:color="000000" w:sz="12" w:space="0"/>
            </w:tcBorders>
            <w:tcMar>
              <w:top w:w="10" w:type="dxa"/>
              <w:left w:w="10" w:type="dxa"/>
              <w:right w:w="10" w:type="dxa"/>
            </w:tcMar>
            <w:vAlign w:val="center"/>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240" w:lineRule="exact"/>
              <w:ind w:firstLine="480"/>
              <w:jc w:val="center"/>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职权依据</w:t>
            </w:r>
          </w:p>
        </w:tc>
        <w:tc>
          <w:tcPr>
            <w:tcW w:w="900" w:type="dxa"/>
            <w:tcBorders>
              <w:top w:val="single" w:color="000000" w:sz="12"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rPr>
              <w:t>责任</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val="en-US" w:eastAsia="zh-CN"/>
              </w:rPr>
              <w:t>股</w:t>
            </w:r>
            <w:r>
              <w:rPr>
                <w:rFonts w:hint="eastAsia" w:ascii="仿宋_GB2312" w:hAnsi="仿宋_GB2312" w:eastAsia="仿宋_GB2312" w:cs="仿宋_GB2312"/>
                <w:bCs/>
                <w:color w:val="000000"/>
                <w:kern w:val="0"/>
                <w:sz w:val="24"/>
                <w:szCs w:val="24"/>
              </w:rPr>
              <w:t>室</w:t>
            </w:r>
          </w:p>
        </w:tc>
        <w:tc>
          <w:tcPr>
            <w:tcW w:w="3994" w:type="dxa"/>
            <w:tcBorders>
              <w:top w:val="single" w:color="000000" w:sz="12"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rPr>
              <w:t>责任事项</w:t>
            </w:r>
          </w:p>
        </w:tc>
        <w:tc>
          <w:tcPr>
            <w:tcW w:w="1181" w:type="dxa"/>
            <w:tcBorders>
              <w:top w:val="single" w:color="000000" w:sz="12"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责任事项依据</w:t>
            </w:r>
          </w:p>
        </w:tc>
        <w:tc>
          <w:tcPr>
            <w:tcW w:w="1038" w:type="dxa"/>
            <w:tcBorders>
              <w:top w:val="single" w:color="000000" w:sz="12"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追责对象范围</w:t>
            </w:r>
          </w:p>
        </w:tc>
        <w:tc>
          <w:tcPr>
            <w:tcW w:w="734" w:type="dxa"/>
            <w:tcBorders>
              <w:top w:val="single" w:color="000000" w:sz="12"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29"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关闭、闲置、拆除城市环卫设施许可</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240" w:lineRule="exact"/>
              <w:ind w:firstLine="240" w:firstLineChars="100"/>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《中华人民共和国固体废物污染环境防治法》第五十五条　建设</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"https://baike.sogou.com/lemma/ShowInnerLink.htm?lemmaId=7715587&amp;ss_c=ssc.citiao.link" \t "_blank"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color w:val="000000"/>
                <w:sz w:val="24"/>
                <w:szCs w:val="24"/>
              </w:rPr>
              <w:t>生活垃圾处理</w:t>
            </w:r>
            <w:r>
              <w:rPr>
                <w:rFonts w:hint="eastAsia" w:ascii="仿宋_GB2312" w:hAnsi="仿宋_GB2312" w:eastAsia="仿宋_GB2312" w:cs="仿宋_GB2312"/>
                <w:bCs/>
                <w:color w:val="000000"/>
                <w:sz w:val="24"/>
                <w:szCs w:val="24"/>
              </w:rPr>
              <w:fldChar w:fldCharType="end"/>
            </w:r>
            <w:r>
              <w:rPr>
                <w:rFonts w:hint="eastAsia" w:ascii="仿宋_GB2312" w:hAnsi="仿宋_GB2312" w:eastAsia="仿宋_GB2312" w:cs="仿宋_GB2312"/>
                <w:bCs/>
                <w:color w:val="000000"/>
                <w:sz w:val="24"/>
                <w:szCs w:val="24"/>
              </w:rPr>
              <w:t>设施、场所，应当符合国务院生态环境主管部门和国务院住房城乡建设主管部门规定的环境保护和</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"https://baike.sogou.com/lemma/ShowInnerLink.htm?lemmaId=8191076&amp;ss_c=ssc.citiao.link" \t "_blank"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color w:val="000000"/>
                <w:sz w:val="24"/>
                <w:szCs w:val="24"/>
              </w:rPr>
              <w:t>环境卫生标准</w:t>
            </w:r>
            <w:r>
              <w:rPr>
                <w:rFonts w:hint="eastAsia" w:ascii="仿宋_GB2312" w:hAnsi="仿宋_GB2312" w:eastAsia="仿宋_GB2312" w:cs="仿宋_GB2312"/>
                <w:bCs/>
                <w:color w:val="000000"/>
                <w:sz w:val="24"/>
                <w:szCs w:val="24"/>
              </w:rPr>
              <w:fldChar w:fldCharType="end"/>
            </w:r>
            <w:r>
              <w:rPr>
                <w:rFonts w:hint="eastAsia" w:ascii="仿宋_GB2312" w:hAnsi="仿宋_GB2312" w:eastAsia="仿宋_GB2312" w:cs="仿宋_GB2312"/>
                <w:bCs/>
                <w:color w:val="000000"/>
                <w:sz w:val="24"/>
                <w:szCs w:val="24"/>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240" w:lineRule="exact"/>
              <w:ind w:firstLine="240" w:firstLineChars="100"/>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szCs w:val="24"/>
              </w:rPr>
              <w:t>禁止擅自关闭、闲置或者拆除生活垃圾处理设施、场所；确有必要关闭、闲置或者拆除的，应当经所在地的市、县级人民政府环境卫生主管部门商所在地生态环境主管部门同意后核准，并采取防止污染环境的措施。</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  《城市市容和环境卫生管理条例》第二十二条：一切单位和个人都不得擅自拆除环境卫生设施；因建设需要必须拆除的，建设单位必须事先提出拆迁方案，报城市人民政府市容环境卫生行政主管部门批准。</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从事生活垃圾（含粪便）经营性清扫、收集、运输、处理服务审批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40" w:firstLineChars="100"/>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bCs/>
                <w:color w:val="000000"/>
                <w:kern w:val="0"/>
                <w:sz w:val="24"/>
                <w:szCs w:val="24"/>
                <w:lang w:val="en-US"/>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3</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因工程建设需要拆除、改动、迁移供水、排水与污水处理设施审核</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40" w:firstLineChars="100"/>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《城镇排水与污水处理条例》第四十三条：因工程建设需要拆除、改动城镇排水与污水处理设施的，建设单位应当制定拆除、改动方案，报城镇排水主管部门审核，并承担重建、改建和采取临时措施的费用。</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《城市供水条例》第三十条：因工程建设确需改装、拆除或者迁移城市公共供水设施的，建设单位应当报经县级以上人民政府城市规划行政主管部门和城市供水行政主管部门批准，并采取相应的补救措施。</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bCs/>
                <w:color w:val="000000"/>
                <w:kern w:val="0"/>
                <w:sz w:val="24"/>
                <w:szCs w:val="24"/>
                <w:lang w:val="en-US"/>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4</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设置大型户外广告及在城市建筑物、设施上悬挂、张贴宣传品审批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40" w:firstLineChars="100"/>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《城市市容和环境卫生管理条例》第十一条：大型户外广告的设置必须征得城市人民政府市容环境卫生行政主管部门同意后，按照有关规定办理审批手续。</w:t>
            </w:r>
          </w:p>
          <w:p>
            <w:pPr>
              <w:keepNext w:val="0"/>
              <w:keepLines w:val="0"/>
              <w:pageBreakBefore w:val="0"/>
              <w:widowControl/>
              <w:kinsoku/>
              <w:wordWrap/>
              <w:overflowPunct/>
              <w:topLinePunct w:val="0"/>
              <w:autoSpaceDE/>
              <w:autoSpaceDN/>
              <w:bidi w:val="0"/>
              <w:adjustRightInd/>
              <w:snapToGrid/>
              <w:spacing w:line="240" w:lineRule="exact"/>
              <w:ind w:firstLine="240" w:firstLineChars="100"/>
              <w:jc w:val="both"/>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《城市市容和环境卫生管理条例》第十七条 ：单位和个人在城市建筑物、设施上张挂、张贴宣传品等，须经城市人民政府市容环境卫生行政主管部门或者其他有关部门批准。第三章城市环境卫生管理。</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03"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5</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市政设施建设类审批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40" w:firstLineChars="100"/>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城市道路管理条例》第三十条：未经市政工程行政主管部门和公安交通管理部门批准，任何单位和个人不得占用或挖掘城市道路。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《城市道路管理条例》）第二十九条：依附于城市道路建设各种管线、杆线等设施的，应当经市政工程行政主管部门批准，方可建设。</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《国务院对确需保留的行政审批项目设定行政许可的决定》：城市桥梁上架设各类市政管线审批，实施机关：所在城市的市人民政府市政工程设施行政主管部门。</w:t>
            </w:r>
          </w:p>
          <w:p>
            <w:pPr>
              <w:keepNext w:val="0"/>
              <w:keepLines w:val="0"/>
              <w:pageBreakBefore w:val="0"/>
              <w:widowControl/>
              <w:kinsoku/>
              <w:wordWrap/>
              <w:overflowPunct/>
              <w:topLinePunct w:val="0"/>
              <w:autoSpaceDE/>
              <w:autoSpaceDN/>
              <w:bidi w:val="0"/>
              <w:adjustRightInd/>
              <w:snapToGrid/>
              <w:spacing w:line="240" w:lineRule="exact"/>
              <w:ind w:firstLine="240" w:firstLineChars="100"/>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《国务院关于印发清理规范投资项目报建审批事项实施方案的通知》：将</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占用、挖掘城市道路审批</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依附于城市道路建设各种管线、杆线等设施审批</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城市桥梁上架设各类市政管线审批</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3项合并为</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市政设施建设类审批</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6</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特殊车辆在城市道路上行驶（包括经过城市桥梁）审批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40" w:firstLineChars="100"/>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《城市道路管理条例》第二十八条：履带车、铁轮车或者超重、超高、超长车辆需要在城市道路上行驶的，事先须征得市政工程行政主管部门同意，并按照公安交通管理部门指定的时间、路线行驶</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7</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由于工程施工、设备维修等原因确需停止供水的审批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供水条例》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8</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临时占用城市绿化用地审批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《城市绿化条例》第十九条：因建设或者其他特殊需要临时占用城市绿化用地，须经城市人民政府城市绿化行政主管部门同意，并按照有关规定办理临时用地手续。</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9</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改变绿化规划、绿化用地的使用性质审批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《国务院对确需保留的行政审批项目设定行政许可的决定》：改变绿化规划、绿化用地的使用性质审批,实施机关：城市人民政府绿化行政主管部门。</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10</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砍伐城市树木审批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《城市绿化条例》第二十条：砍伐城市树木，必须经城市人民政府城市绿化行政主管部门批准，并按照国家有关规定补植树木或者采取其他补救措施。</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val="en-US" w:eastAsia="zh-CN"/>
              </w:rPr>
              <w:t>1</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迁移古树名木审批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40" w:firstLineChars="100"/>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《城市绿化条例》第二十四条：严禁砍伐或者迁移古树名木。因特殊需要迁移古树名木，必须经城市人民政府城市绿化行政主管部门审查同意，并报同级或者上级人民政府批准。</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val="en-US" w:eastAsia="zh-CN"/>
              </w:rPr>
              <w:t>2</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停止供水（气）、改（迁、拆）公共供水的审批</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行政许可</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供水条例》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《城市供水条例》第三十条：因工程建设需改装、拆除或者迁移城市公共供水设施的，建设单位应当报经县级以上人民政府城市规划行政主管部门和城市供水行政主管部门批准，并采取相应的补救措施。</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val="en-US" w:eastAsia="zh-CN"/>
              </w:rPr>
              <w:t>3</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建立古树名木档案和标记</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行政确认</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《城市绿化条例》第二十四条：百年以上树龄的树木,稀有珍贵树木,具有历史价值或者重要纪念意义的树木,均属古树名木</w:t>
            </w:r>
            <w:r>
              <w:rPr>
                <w:rFonts w:hint="eastAsia" w:ascii="仿宋_GB2312" w:hAnsi="仿宋_GB2312" w:eastAsia="仿宋_GB2312" w:cs="仿宋_GB2312"/>
                <w:bCs/>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240" w:firstLineChars="100"/>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对城市古树名木实行统一管理,分别养护。城市人民政府城市绿化行政主管部门,应当建立古树名木的档案和标志,划定保护范围,加强养护管理</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在单位管界内或者私人庭院内的古树名木,由该单位或者居民负责养护,城市人民政府城市绿化行政主管部门负责监督和技术指导。</w:t>
            </w:r>
          </w:p>
          <w:p>
            <w:pPr>
              <w:keepNext w:val="0"/>
              <w:keepLines w:val="0"/>
              <w:pageBreakBefore w:val="0"/>
              <w:widowControl/>
              <w:kinsoku/>
              <w:wordWrap/>
              <w:overflowPunct/>
              <w:topLinePunct w:val="0"/>
              <w:autoSpaceDE/>
              <w:autoSpaceDN/>
              <w:bidi w:val="0"/>
              <w:adjustRightInd/>
              <w:snapToGrid/>
              <w:spacing w:line="240" w:lineRule="exact"/>
              <w:ind w:firstLine="240" w:firstLineChars="100"/>
              <w:jc w:val="left"/>
              <w:textAlignment w:val="center"/>
              <w:outlineLvl w:val="9"/>
              <w:rPr>
                <w:rFonts w:hint="eastAsia" w:ascii="仿宋_GB2312" w:hAnsi="仿宋_GB2312" w:eastAsia="仿宋_GB2312" w:cs="仿宋_GB2312"/>
                <w:bCs/>
                <w:color w:val="000000"/>
                <w:kern w:val="0"/>
                <w:sz w:val="24"/>
                <w:szCs w:val="24"/>
              </w:rPr>
            </w:pP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val="en-US" w:eastAsia="zh-CN"/>
              </w:rPr>
              <w:t>4</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对于在城市公厕的规划、建设和管理中取得显著成绩的单位和个人的表彰</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行政奖励</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《城市公厕管理办法》第二十二条：城市人民政府环境卫生行政主管部门，对于在城市公厕的规划、建设和管理中取得显著成绩的单位和个人，应当给予表彰和奖励。</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val="en-US" w:eastAsia="zh-CN"/>
              </w:rPr>
              <w:t>5</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对在城市照明工作中做出突出贡献的单位和个人给予表彰或者奖励</w:t>
            </w:r>
          </w:p>
        </w:tc>
        <w:tc>
          <w:tcPr>
            <w:tcW w:w="557"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行政奖励</w:t>
            </w: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《城市照明管理规定》第五条：城市照明主管部门应当对在城市照明节能工作中做出显著成绩的单位和个人给予表彰或者奖励。</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val="en-US" w:eastAsia="zh-CN"/>
              </w:rPr>
              <w:t>6</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工程建设项目附属绿化工程设计方案审查及竣工验收</w:t>
            </w:r>
          </w:p>
        </w:tc>
        <w:tc>
          <w:tcPr>
            <w:tcW w:w="557" w:type="dxa"/>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其他行政权力</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城市绿化条例》）第十一条：城市绿化工程的设计，应当委托持有相应资格证书的设计单位承担。 工程建设项目的附属绿化工程设计方案，按照基本建设程序审批时，必须有城市人民政府城市绿化行政主管部门参加审查。 建设单位必须按照批准的设计方案进行施工。设计方案确需改变时，须经原批准机关审批。</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17</w:t>
            </w:r>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城市供水单位水质突发事件应急预案备案</w:t>
            </w:r>
          </w:p>
        </w:tc>
        <w:tc>
          <w:tcPr>
            <w:tcW w:w="557" w:type="dxa"/>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其他行政权力</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供水水质管理规定》第二十四条：城市供水单位应当依据所在地城市供水水质突发事件应急预案，制定相应的突发事件应急预案，报所在地直辖市、市、县人民政府城市供水主管部门备案，并定期组织演练。</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45" w:hRule="atLeast"/>
          <w:tblHeader/>
        </w:trPr>
        <w:tc>
          <w:tcPr>
            <w:tcW w:w="48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18</w:t>
            </w:r>
            <w:bookmarkStart w:id="0" w:name="_GoBack"/>
            <w:bookmarkEnd w:id="0"/>
          </w:p>
        </w:tc>
        <w:tc>
          <w:tcPr>
            <w:tcW w:w="104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sz w:val="24"/>
                <w:szCs w:val="24"/>
              </w:rPr>
              <w:t>权限内占用城市绿地审批</w:t>
            </w:r>
          </w:p>
        </w:tc>
        <w:tc>
          <w:tcPr>
            <w:tcW w:w="557" w:type="dxa"/>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其他行政权力</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p>
        </w:tc>
        <w:tc>
          <w:tcPr>
            <w:tcW w:w="5159"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《城市绿化条例》）第十九条：任何单位和个人都不得擅自占用城市绿化用地；占用的城市绿化用地，应当限期归还。 因建设或者其他特殊需要临时占用城市绿化用地，须经城市人民政府城市绿化行政主管部门同意，并按照有关规定办理临时用地手续。 《湖南省实施《城市绿化条例》办法》第二十条第（三）项：任何单位和个人均不得擅自占用城市绿地，因建设或者其他特殊原因确需占用的，应当落实补偿绿地的措施，并按下列规定报批后，依法办理其他审批手续：（二）占用0．1公顷以上不足1公顷的公共绿地或者0．4公顷以上不足1公顷的其他绿地，经地、州、市建设行政主管部门审核，报省建设行政主管部门批准；（三）占用0．1公顷以下的公共绿地或者0．4公顷以下的其他绿地，经州、市人民政府和地区行政公署的城市绿化行政主管部门批准。</w:t>
            </w:r>
          </w:p>
        </w:tc>
        <w:tc>
          <w:tcPr>
            <w:tcW w:w="900"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行政审批股</w:t>
            </w:r>
          </w:p>
        </w:tc>
        <w:tc>
          <w:tcPr>
            <w:tcW w:w="399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 xml:space="preserve">1.受理责任：公示法定应当提交的材料；一次性告知补正材料；依法受理或不予受理申请（不予受理应当告知理由）。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2.审查责任：对申请人提交的申请材料进行审查，提出审查意见。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3.决定责任：在规定期限内作出许可或不予许可的书面决定；不予许可应告知理由，并告知相对人申请复议或提起行政诉讼的权利。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4.送达责任：在规定期限内  向申请人送达行政许可证件；建立信息档案；公开有关信息。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 xml:space="preserve">5.事后监管责任：建立实施监督检查的运行机制和管理制度，加强监管。 </w:t>
            </w:r>
            <w:r>
              <w:rPr>
                <w:rFonts w:hint="eastAsia" w:ascii="仿宋_GB2312" w:hAnsi="仿宋_GB2312" w:eastAsia="仿宋_GB2312" w:cs="仿宋_GB2312"/>
                <w:bCs/>
                <w:color w:val="000000"/>
                <w:kern w:val="0"/>
                <w:sz w:val="24"/>
                <w:szCs w:val="24"/>
              </w:rPr>
              <w:br w:type="textWrapping"/>
            </w:r>
            <w:r>
              <w:rPr>
                <w:rFonts w:hint="eastAsia" w:ascii="仿宋_GB2312" w:hAnsi="仿宋_GB2312" w:eastAsia="仿宋_GB2312" w:cs="仿宋_GB2312"/>
                <w:bCs/>
                <w:color w:val="000000"/>
                <w:kern w:val="0"/>
                <w:sz w:val="24"/>
                <w:szCs w:val="24"/>
              </w:rPr>
              <w:t>6.法律法规规章文件规定应履行的其他责任。</w:t>
            </w:r>
          </w:p>
        </w:tc>
        <w:tc>
          <w:tcPr>
            <w:tcW w:w="1181"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1.《行政许可法》第七十二条、第七十三条、第七十四条、第七十五条；1.《行政机关公务员处分条例》第三章。</w:t>
            </w:r>
          </w:p>
        </w:tc>
        <w:tc>
          <w:tcPr>
            <w:tcW w:w="1038"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Cs/>
                <w:color w:val="000000"/>
                <w:kern w:val="0"/>
                <w:sz w:val="24"/>
                <w:szCs w:val="24"/>
              </w:rPr>
              <w:t>单位负责人、分管负责人、内设机构负责人、具体承办人</w:t>
            </w:r>
          </w:p>
        </w:tc>
        <w:tc>
          <w:tcPr>
            <w:tcW w:w="734" w:type="dxa"/>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b/>
                <w:color w:val="000000"/>
                <w:sz w:val="24"/>
                <w:szCs w:val="24"/>
              </w:rPr>
            </w:pPr>
          </w:p>
        </w:tc>
      </w:tr>
    </w:tbl>
    <w:p>
      <w:pPr>
        <w:rPr>
          <w:rFonts w:ascii="宋体" w:cs="宋体"/>
        </w:rPr>
      </w:pPr>
    </w:p>
    <w:sectPr>
      <w:pgSz w:w="16838" w:h="11906" w:orient="landscape"/>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c2MmQ1NjRiMjI3N2M3YzVjOTRjYTFiOTZkNjBmMWMifQ=="/>
  </w:docVars>
  <w:rsids>
    <w:rsidRoot w:val="0E805739"/>
    <w:rsid w:val="001970EA"/>
    <w:rsid w:val="0025789C"/>
    <w:rsid w:val="003E01BF"/>
    <w:rsid w:val="003F6711"/>
    <w:rsid w:val="00452660"/>
    <w:rsid w:val="004A3FA5"/>
    <w:rsid w:val="00523648"/>
    <w:rsid w:val="0066450B"/>
    <w:rsid w:val="00711E22"/>
    <w:rsid w:val="007B0BC7"/>
    <w:rsid w:val="00927D64"/>
    <w:rsid w:val="009D46F5"/>
    <w:rsid w:val="00AE52D7"/>
    <w:rsid w:val="00B94C7D"/>
    <w:rsid w:val="00C2652D"/>
    <w:rsid w:val="00C9265D"/>
    <w:rsid w:val="00D40E30"/>
    <w:rsid w:val="00F84B31"/>
    <w:rsid w:val="0D1D1291"/>
    <w:rsid w:val="0E805739"/>
    <w:rsid w:val="0E8B1E8A"/>
    <w:rsid w:val="16C17C6F"/>
    <w:rsid w:val="1A91679C"/>
    <w:rsid w:val="20F365E9"/>
    <w:rsid w:val="29FF7C01"/>
    <w:rsid w:val="2B845FF1"/>
    <w:rsid w:val="3598312A"/>
    <w:rsid w:val="39CB361C"/>
    <w:rsid w:val="3ACF09AE"/>
    <w:rsid w:val="3EB9705C"/>
    <w:rsid w:val="418B1656"/>
    <w:rsid w:val="44AC2703"/>
    <w:rsid w:val="48E93B8E"/>
    <w:rsid w:val="493E506F"/>
    <w:rsid w:val="4BF079C2"/>
    <w:rsid w:val="52F219D8"/>
    <w:rsid w:val="59FB2FDD"/>
    <w:rsid w:val="675D085B"/>
    <w:rsid w:val="6FA5266E"/>
    <w:rsid w:val="70327381"/>
    <w:rsid w:val="735030B3"/>
    <w:rsid w:val="77224C6F"/>
    <w:rsid w:val="781F15D1"/>
    <w:rsid w:val="7CAA2B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99"/>
    <w:rPr>
      <w:rFonts w:cs="Times New Roman"/>
      <w:color w:val="0000FF"/>
      <w:u w:val="single"/>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27</Pages>
  <Words>2345</Words>
  <Characters>13369</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2021-09-16T08:46:00Z</dcterms:created>
  <dc:creator>Administrator</dc:creator>
  <cp:lastModifiedBy>Administrator</cp:lastModifiedBy>
  <cp:lastPrinted>2021-09-18T00:51:00Z</cp:lastPrinted>
  <dcterms:modified xsi:type="dcterms:W3CDTF">2023-11-27T02:00:00Z</dcterms:modified>
  <dc:title>怀化市城市管理和综合执法局权责清单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B5FA944DE178420C9D3E7F32712C33DB</vt:lpwstr>
  </property>
</Properties>
</file>