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3E65C">
      <w:pPr>
        <w:pStyle w:val="5"/>
        <w:keepNext w:val="0"/>
        <w:keepLines w:val="0"/>
        <w:pageBreakBefore w:val="0"/>
        <w:widowControl w:val="0"/>
        <w:kinsoku/>
        <w:wordWrap/>
        <w:overflowPunct/>
        <w:topLinePunct w:val="0"/>
        <w:bidi w:val="0"/>
        <w:snapToGrid/>
        <w:spacing w:line="720" w:lineRule="auto"/>
        <w:ind w:firstLine="720" w:firstLineChars="200"/>
        <w:jc w:val="center"/>
        <w:textAlignment w:val="auto"/>
        <w:rPr>
          <w:rFonts w:hint="eastAsia" w:ascii="黑体" w:hAnsi="黑体" w:eastAsia="黑体" w:cs="黑体"/>
          <w:b w:val="0"/>
          <w:bCs/>
          <w:sz w:val="36"/>
          <w:szCs w:val="36"/>
        </w:rPr>
      </w:pPr>
      <w:r>
        <w:rPr>
          <w:rFonts w:hint="eastAsia" w:hAnsi="黑体" w:cs="黑体"/>
          <w:b w:val="0"/>
          <w:bCs/>
          <w:sz w:val="36"/>
          <w:szCs w:val="36"/>
          <w:lang w:val="en-US" w:eastAsia="zh-CN"/>
        </w:rPr>
        <w:t>新晃侗族自治县信访局</w:t>
      </w:r>
      <w:r>
        <w:rPr>
          <w:rFonts w:hint="eastAsia" w:ascii="黑体" w:hAnsi="黑体" w:eastAsia="黑体" w:cs="黑体"/>
          <w:b w:val="0"/>
          <w:bCs/>
          <w:sz w:val="36"/>
          <w:szCs w:val="36"/>
        </w:rPr>
        <w:t>关于</w:t>
      </w:r>
      <w:r>
        <w:rPr>
          <w:rFonts w:hint="eastAsia" w:ascii="Times New Roman" w:hAnsi="Times New Roman" w:eastAsia="仿宋_GB2312"/>
          <w:sz w:val="36"/>
          <w:szCs w:val="36"/>
        </w:rPr>
        <w:t>202</w:t>
      </w:r>
      <w:r>
        <w:rPr>
          <w:rFonts w:hint="eastAsia" w:ascii="Times New Roman" w:hAnsi="Times New Roman" w:eastAsia="仿宋_GB2312"/>
          <w:sz w:val="36"/>
          <w:szCs w:val="36"/>
          <w:lang w:val="en-US" w:eastAsia="zh-CN"/>
        </w:rPr>
        <w:t>3</w:t>
      </w:r>
      <w:r>
        <w:rPr>
          <w:rFonts w:hint="eastAsia" w:ascii="黑体" w:hAnsi="黑体" w:eastAsia="黑体" w:cs="黑体"/>
          <w:b w:val="0"/>
          <w:bCs/>
          <w:sz w:val="36"/>
          <w:szCs w:val="36"/>
        </w:rPr>
        <w:t>年度预算绩效</w:t>
      </w:r>
    </w:p>
    <w:p w14:paraId="614C19FA">
      <w:pPr>
        <w:pStyle w:val="5"/>
        <w:keepNext w:val="0"/>
        <w:keepLines w:val="0"/>
        <w:pageBreakBefore w:val="0"/>
        <w:widowControl w:val="0"/>
        <w:kinsoku/>
        <w:wordWrap/>
        <w:overflowPunct/>
        <w:topLinePunct w:val="0"/>
        <w:bidi w:val="0"/>
        <w:snapToGrid/>
        <w:spacing w:line="720" w:lineRule="auto"/>
        <w:ind w:firstLine="720" w:firstLineChars="200"/>
        <w:jc w:val="center"/>
        <w:textAlignment w:val="auto"/>
        <w:rPr>
          <w:rFonts w:hint="eastAsia" w:ascii="黑体" w:hAnsi="黑体" w:eastAsia="黑体" w:cs="黑体"/>
          <w:b w:val="0"/>
          <w:bCs/>
          <w:sz w:val="36"/>
          <w:szCs w:val="36"/>
        </w:rPr>
      </w:pPr>
      <w:r>
        <w:rPr>
          <w:rFonts w:hint="eastAsia" w:ascii="黑体" w:hAnsi="黑体" w:eastAsia="黑体" w:cs="黑体"/>
          <w:b w:val="0"/>
          <w:bCs/>
          <w:sz w:val="36"/>
          <w:szCs w:val="36"/>
        </w:rPr>
        <w:t>情况的说明</w:t>
      </w:r>
    </w:p>
    <w:p w14:paraId="257D9EB6"/>
    <w:p w14:paraId="4B9CD697">
      <w:pPr>
        <w:pStyle w:val="5"/>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14:paraId="5C717572">
      <w:pPr>
        <w:spacing w:line="560" w:lineRule="exact"/>
        <w:ind w:firstLine="640" w:firstLineChars="200"/>
        <w:jc w:val="left"/>
        <w:rPr>
          <w:rFonts w:hint="default" w:ascii="楷体" w:hAnsi="楷体" w:eastAsia="楷体" w:cs="楷体"/>
          <w:b/>
          <w:bCs/>
          <w:sz w:val="32"/>
          <w:szCs w:val="32"/>
          <w:lang w:val="en-US" w:eastAsia="zh-CN"/>
        </w:rPr>
      </w:pPr>
      <w:r>
        <w:rPr>
          <w:rFonts w:hint="eastAsia" w:ascii="仿宋_GB2312" w:hAnsi="仿宋_GB2312" w:eastAsia="仿宋_GB2312" w:cs="仿宋_GB2312"/>
          <w:color w:val="000000"/>
          <w:sz w:val="32"/>
          <w:szCs w:val="32"/>
          <w:lang w:val="en-US" w:eastAsia="zh-CN"/>
        </w:rPr>
        <w:t>本单位</w:t>
      </w:r>
      <w:r>
        <w:rPr>
          <w:rFonts w:hint="default" w:ascii="仿宋_GB2312" w:hAnsi="仿宋_GB2312" w:eastAsia="仿宋_GB2312" w:cs="仿宋_GB2312"/>
          <w:sz w:val="32"/>
          <w:szCs w:val="32"/>
        </w:rPr>
        <w:t>严格按照</w:t>
      </w:r>
      <w:r>
        <w:rPr>
          <w:rFonts w:hint="eastAsia" w:ascii="仿宋_GB2312" w:hAnsi="仿宋_GB2312" w:eastAsia="仿宋_GB2312" w:cs="仿宋_GB2312"/>
          <w:sz w:val="32"/>
          <w:szCs w:val="32"/>
          <w:lang w:eastAsia="zh-CN"/>
        </w:rPr>
        <w:t>绩效目标评价</w:t>
      </w:r>
      <w:r>
        <w:rPr>
          <w:rFonts w:hint="default" w:ascii="仿宋_GB2312" w:hAnsi="仿宋_GB2312" w:eastAsia="仿宋_GB2312" w:cs="仿宋_GB2312"/>
          <w:sz w:val="32"/>
          <w:szCs w:val="32"/>
        </w:rPr>
        <w:t>方案进行</w:t>
      </w:r>
      <w:r>
        <w:rPr>
          <w:rFonts w:hint="eastAsia" w:ascii="仿宋_GB2312" w:hAnsi="仿宋_GB2312" w:eastAsia="仿宋_GB2312" w:cs="仿宋_GB2312"/>
          <w:sz w:val="32"/>
          <w:szCs w:val="32"/>
          <w:lang w:eastAsia="zh-CN"/>
        </w:rPr>
        <w:t>评价</w:t>
      </w:r>
      <w:r>
        <w:rPr>
          <w:rFonts w:hint="default" w:ascii="仿宋_GB2312" w:hAnsi="仿宋_GB2312" w:eastAsia="仿宋_GB2312" w:cs="仿宋_GB2312"/>
          <w:sz w:val="32"/>
          <w:szCs w:val="32"/>
        </w:rPr>
        <w:t>，确保</w:t>
      </w:r>
      <w:r>
        <w:rPr>
          <w:rFonts w:hint="eastAsia" w:ascii="仿宋_GB2312" w:hAnsi="仿宋_GB2312" w:eastAsia="仿宋_GB2312" w:cs="仿宋_GB2312"/>
          <w:sz w:val="32"/>
          <w:szCs w:val="32"/>
          <w:lang w:eastAsia="zh-CN"/>
        </w:rPr>
        <w:t>绩效目标评价</w:t>
      </w:r>
      <w:r>
        <w:rPr>
          <w:rFonts w:hint="default" w:ascii="仿宋_GB2312" w:hAnsi="仿宋_GB2312" w:eastAsia="仿宋_GB2312" w:cs="仿宋_GB2312"/>
          <w:sz w:val="32"/>
          <w:szCs w:val="32"/>
        </w:rPr>
        <w:t>结果的客观、公正。</w:t>
      </w:r>
      <w:r>
        <w:rPr>
          <w:rFonts w:hint="eastAsia" w:ascii="仿宋_GB2312" w:hAnsi="仿宋_GB2312" w:eastAsia="仿宋_GB2312" w:cs="仿宋_GB2312"/>
          <w:sz w:val="32"/>
          <w:szCs w:val="32"/>
          <w:lang w:eastAsia="zh-CN"/>
        </w:rPr>
        <w:t>评价</w:t>
      </w:r>
      <w:r>
        <w:rPr>
          <w:rFonts w:hint="default" w:ascii="仿宋_GB2312" w:hAnsi="仿宋_GB2312" w:eastAsia="仿宋_GB2312" w:cs="仿宋_GB2312"/>
          <w:sz w:val="32"/>
          <w:szCs w:val="32"/>
        </w:rPr>
        <w:t>过程中，注重收集和分析数据，听取意见，对各项绩效指标进行综合评价。</w:t>
      </w:r>
      <w:r>
        <w:rPr>
          <w:rFonts w:hint="eastAsia" w:ascii="仿宋_GB2312" w:hAnsi="仿宋_GB2312" w:eastAsia="仿宋_GB2312" w:cs="仿宋_GB2312"/>
          <w:color w:val="000000"/>
          <w:sz w:val="32"/>
          <w:szCs w:val="32"/>
          <w:lang w:val="en-US" w:eastAsia="zh-CN"/>
        </w:rPr>
        <w:t>本单位较好的完成了2023年履行职能职责，整体支出完成情况较为理想，能按时按质完成预期目标任务，有效地提高了财政资金使用效率，总体上达到了全过程预算绩效管理的要求。</w:t>
      </w:r>
    </w:p>
    <w:p w14:paraId="0157170E">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D9AB15D">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根据《部门整体支出绩效评价指标》评分表，自评得分9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分，整体支出绩效为“</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Times New Roman" w:hAnsi="Times New Roman" w:eastAsia="仿宋_GB2312"/>
          <w:sz w:val="32"/>
          <w:szCs w:val="32"/>
        </w:rPr>
        <w:t>2023年支出规模为279.64万元，其中：工资福利支出140.90万元，主要包括基本工资、津贴补贴、奖金、绩效工资、机关事业单位基本养老保险缴费、职工基本医疗保险缴费、住房公积金、其他工资福利支出；商品和服务支出114.75万元，主要包括办公费、差旅费、劳务费、工会经费以及其他商品和服务支出；对个人和家庭的补助支出16.82万元，主要是生活补助和信访救助资金；资本性支出7.16万元，主要用于购买办公设备。财政资金支出保障了我单位正常工作运转经费开支以及在职和退休工作人员的工资福利待遇，提高了我单位的办事效率和信访事项处理群众满意度，减少了矛盾纠纷，促进了社会和谐与稳定,本年度信访事项及时受理率100%，按期答复率100%，群众满意率99.70%。</w:t>
      </w:r>
    </w:p>
    <w:p w14:paraId="0ECF2833">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78C4FEB8">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一是</w:t>
      </w:r>
      <w:r>
        <w:rPr>
          <w:rFonts w:hint="eastAsia" w:eastAsia="仿宋_GB2312"/>
          <w:sz w:val="32"/>
          <w:szCs w:val="32"/>
        </w:rPr>
        <w:t>预算准确率有待提高。年初预算编制不够精确，考虑不全面，导致年底决算数与年初预算数相差较大。原因是前瞻性不强，没有综合考虑单位公用经费及项目支出。</w:t>
      </w:r>
      <w:r>
        <w:rPr>
          <w:rFonts w:hint="eastAsia" w:eastAsia="仿宋_GB2312"/>
          <w:sz w:val="32"/>
          <w:szCs w:val="32"/>
          <w:lang w:eastAsia="zh-CN"/>
        </w:rPr>
        <w:t>二是</w:t>
      </w:r>
      <w:r>
        <w:rPr>
          <w:rFonts w:hint="eastAsia" w:eastAsia="仿宋_GB2312"/>
          <w:sz w:val="32"/>
          <w:szCs w:val="32"/>
        </w:rPr>
        <w:t>预算执行存在偏差。</w:t>
      </w:r>
      <w:r>
        <w:rPr>
          <w:rFonts w:hint="eastAsia" w:eastAsia="仿宋_GB2312"/>
          <w:sz w:val="32"/>
          <w:szCs w:val="32"/>
          <w:lang w:eastAsia="zh-CN"/>
        </w:rPr>
        <w:t>由于财政资金有限，实际下达资金不足，</w:t>
      </w:r>
      <w:r>
        <w:rPr>
          <w:rFonts w:hint="eastAsia" w:eastAsia="仿宋_GB2312"/>
          <w:sz w:val="32"/>
          <w:szCs w:val="32"/>
        </w:rPr>
        <w:t>造成部分科目实际支出比预算偏高，</w:t>
      </w:r>
      <w:r>
        <w:rPr>
          <w:rFonts w:hint="eastAsia" w:eastAsia="仿宋_GB2312"/>
          <w:sz w:val="32"/>
          <w:szCs w:val="32"/>
          <w:lang w:eastAsia="zh-CN"/>
        </w:rPr>
        <w:t>或者实际未</w:t>
      </w:r>
      <w:r>
        <w:rPr>
          <w:rFonts w:hint="eastAsia" w:eastAsia="仿宋_GB2312"/>
          <w:sz w:val="32"/>
          <w:szCs w:val="32"/>
        </w:rPr>
        <w:t>缺口资金只能调剂其他资金使用</w:t>
      </w:r>
      <w:r>
        <w:rPr>
          <w:rFonts w:hint="eastAsia" w:eastAsia="仿宋_GB2312"/>
          <w:sz w:val="32"/>
          <w:szCs w:val="32"/>
          <w:lang w:eastAsia="zh-CN"/>
        </w:rPr>
        <w:t>。</w:t>
      </w:r>
    </w:p>
    <w:p w14:paraId="57DA0BF9">
      <w:pPr>
        <w:spacing w:line="560" w:lineRule="exact"/>
        <w:ind w:firstLine="640" w:firstLineChars="200"/>
        <w:jc w:val="both"/>
        <w:rPr>
          <w:rFonts w:hint="eastAsia" w:eastAsia="仿宋_GB2312"/>
          <w:sz w:val="32"/>
          <w:szCs w:val="32"/>
        </w:rPr>
      </w:pPr>
      <w:r>
        <w:rPr>
          <w:rFonts w:hint="eastAsia" w:ascii="Times New Roman" w:hAnsi="Times New Roman" w:eastAsia="仿宋_GB2312" w:cs="Times New Roman"/>
          <w:sz w:val="32"/>
          <w:szCs w:val="32"/>
          <w:lang w:eastAsia="zh-CN"/>
        </w:rPr>
        <w:t>建议</w:t>
      </w:r>
      <w:r>
        <w:rPr>
          <w:rFonts w:hint="eastAsia" w:ascii="Times New Roman" w:hAnsi="Times New Roman" w:eastAsia="仿宋_GB2312" w:cs="Times New Roman"/>
          <w:sz w:val="32"/>
          <w:szCs w:val="32"/>
        </w:rPr>
        <w:t>夯实工作基础，完善工作制度，细化工作内容，建立起对应的工作流程和业务规范，运用预算管理、对标管理、资产管理等手段，实现全过程控制，将财务管理由事后管理转化为事前控制、事中监督、预警管理，实现对财务工作的动态管理。建立以绩效为导向的预算编制模式。提高部门预算和整体支出绩效目标编制的科学性和前瞻性，科学合理编制预算，提高预算预见力，严格执行预算，避免项目支出与基本支出划分不准或预算支出与实际执行出现较大偏差</w:t>
      </w:r>
      <w:r>
        <w:rPr>
          <w:rFonts w:hint="eastAsia" w:ascii="Times New Roman" w:hAnsi="Times New Roman" w:eastAsia="仿宋_GB2312" w:cs="Times New Roman"/>
          <w:sz w:val="32"/>
          <w:szCs w:val="32"/>
          <w:lang w:eastAsia="zh-CN"/>
        </w:rPr>
        <w:t>的情况。</w:t>
      </w:r>
      <w:bookmarkStart w:id="0" w:name="_GoBack"/>
      <w:bookmarkEnd w:id="0"/>
    </w:p>
    <w:p w14:paraId="19A5D9F1">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5A2C7"/>
    <w:multiLevelType w:val="singleLevel"/>
    <w:tmpl w:val="CA95A2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zMDQ2Yjc2NWNlZmZiOWJjNDkzMGViZmE3MzJlNDgifQ=="/>
  </w:docVars>
  <w:rsids>
    <w:rsidRoot w:val="00000000"/>
    <w:rsid w:val="01317F69"/>
    <w:rsid w:val="067032E2"/>
    <w:rsid w:val="0C767178"/>
    <w:rsid w:val="11D861DF"/>
    <w:rsid w:val="19835723"/>
    <w:rsid w:val="22056B7C"/>
    <w:rsid w:val="28C64B8B"/>
    <w:rsid w:val="2D053ED4"/>
    <w:rsid w:val="30AB4D93"/>
    <w:rsid w:val="37313FCF"/>
    <w:rsid w:val="408B24EB"/>
    <w:rsid w:val="41652D3C"/>
    <w:rsid w:val="441822E7"/>
    <w:rsid w:val="45260A34"/>
    <w:rsid w:val="489A18C8"/>
    <w:rsid w:val="4ADA02F6"/>
    <w:rsid w:val="4D53704B"/>
    <w:rsid w:val="4F9C201E"/>
    <w:rsid w:val="53972DC5"/>
    <w:rsid w:val="53F87A3F"/>
    <w:rsid w:val="585316E8"/>
    <w:rsid w:val="5866141B"/>
    <w:rsid w:val="59822285"/>
    <w:rsid w:val="59F34F31"/>
    <w:rsid w:val="5D0336DD"/>
    <w:rsid w:val="67B657F0"/>
    <w:rsid w:val="71193077"/>
    <w:rsid w:val="727342FE"/>
    <w:rsid w:val="7CA3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仿宋_GB2312" w:hAnsi="仿宋_GB2312" w:eastAsia="仿宋_GB2312" w:cs="仿宋_GB2312"/>
      <w:kern w:val="0"/>
      <w:sz w:val="32"/>
      <w:szCs w:val="32"/>
      <w:lang w:val="zh-CN" w:bidi="zh-CN"/>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957</Characters>
  <Lines>0</Lines>
  <Paragraphs>0</Paragraphs>
  <TotalTime>1</TotalTime>
  <ScaleCrop>false</ScaleCrop>
  <LinksUpToDate>false</LinksUpToDate>
  <CharactersWithSpaces>1034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来一杯</cp:lastModifiedBy>
  <dcterms:modified xsi:type="dcterms:W3CDTF">2024-11-12T07:56:43Z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12A71744045445B687D66BD13FB312DC_12</vt:lpwstr>
  </property>
</Properties>
</file>