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附件3-1</w:t>
      </w:r>
    </w:p>
    <w:p>
      <w:pPr>
        <w:pStyle w:val="3"/>
        <w:widowControl w:val="0"/>
        <w:spacing w:before="0" w:beforeAutospacing="0" w:after="0" w:afterAutospacing="0" w:line="800" w:lineRule="exact"/>
        <w:jc w:val="center"/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</w:pPr>
      <w:r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  <w:t>202</w:t>
      </w:r>
      <w:r>
        <w:rPr>
          <w:rStyle w:val="6"/>
          <w:rFonts w:hint="eastAsia" w:ascii="Times New Roman" w:hAnsi="Times New Roman" w:eastAsia="方正粗宋简体" w:cs="Times New Roman"/>
          <w:b w:val="0"/>
          <w:sz w:val="44"/>
          <w:szCs w:val="44"/>
          <w:lang w:val="en-US" w:eastAsia="zh-CN"/>
        </w:rPr>
        <w:t>2</w:t>
      </w:r>
      <w:r>
        <w:rPr>
          <w:rStyle w:val="6"/>
          <w:rFonts w:ascii="Times New Roman" w:hAnsi="Times New Roman" w:eastAsia="方正粗宋简体" w:cs="Times New Roman"/>
          <w:b w:val="0"/>
          <w:sz w:val="44"/>
          <w:szCs w:val="44"/>
        </w:rPr>
        <w:t>年度绩效自评完成情况汇总表</w:t>
      </w:r>
    </w:p>
    <w:p>
      <w:pPr>
        <w:spacing w:line="400" w:lineRule="exact"/>
        <w:rPr>
          <w:rFonts w:eastAsia="STZhongsong"/>
          <w:sz w:val="24"/>
        </w:rPr>
      </w:pPr>
      <w:r>
        <w:rPr>
          <w:rFonts w:eastAsia="STZhongsong"/>
          <w:sz w:val="24"/>
        </w:rPr>
        <w:t>主管部门（盖章）：               填报人：                 联系电话：          </w:t>
      </w:r>
    </w:p>
    <w:tbl>
      <w:tblPr>
        <w:tblStyle w:val="4"/>
        <w:tblW w:w="9680" w:type="dxa"/>
        <w:jc w:val="center"/>
        <w:tblCellSpacing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4"/>
        <w:gridCol w:w="1894"/>
        <w:gridCol w:w="2410"/>
        <w:gridCol w:w="776"/>
        <w:gridCol w:w="862"/>
        <w:gridCol w:w="992"/>
        <w:gridCol w:w="733"/>
        <w:gridCol w:w="777"/>
        <w:gridCol w:w="53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restart"/>
            <w:tcBorders>
              <w:top w:val="single" w:color="auto" w:sz="2" w:space="0"/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序号</w:t>
            </w:r>
          </w:p>
        </w:tc>
        <w:tc>
          <w:tcPr>
            <w:tcW w:w="1894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项目单位</w:t>
            </w:r>
          </w:p>
        </w:tc>
        <w:tc>
          <w:tcPr>
            <w:tcW w:w="2410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30" w:type="dxa"/>
            <w:gridSpan w:val="3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项目资金情况</w:t>
            </w:r>
          </w:p>
        </w:tc>
        <w:tc>
          <w:tcPr>
            <w:tcW w:w="733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自评分数</w:t>
            </w:r>
          </w:p>
        </w:tc>
        <w:tc>
          <w:tcPr>
            <w:tcW w:w="777" w:type="dxa"/>
            <w:vMerge w:val="restart"/>
            <w:tcBorders>
              <w:top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自评等级</w:t>
            </w:r>
          </w:p>
        </w:tc>
        <w:tc>
          <w:tcPr>
            <w:tcW w:w="532" w:type="dxa"/>
            <w:vMerge w:val="restart"/>
            <w:tcBorders>
              <w:top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restart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预算总金额</w:t>
            </w:r>
          </w:p>
        </w:tc>
        <w:tc>
          <w:tcPr>
            <w:tcW w:w="1854" w:type="dxa"/>
            <w:gridSpan w:val="2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其中：</w:t>
            </w:r>
          </w:p>
          <w:p>
            <w:pPr>
              <w:spacing w:line="30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县级财政资金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704" w:type="dxa"/>
            <w:vMerge w:val="continue"/>
            <w:tcBorders>
              <w:lef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预算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安排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实际</w:t>
            </w:r>
          </w:p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支出</w:t>
            </w:r>
          </w:p>
        </w:tc>
        <w:tc>
          <w:tcPr>
            <w:tcW w:w="733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vMerge w:val="continue"/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vMerge w:val="continue"/>
            <w:tcBorders>
              <w:right w:val="single" w:color="auto" w:sz="2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一、项目绩效自评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法律援助及认罪认罚经费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购买服务人员经费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新晃县司法局</w:t>
            </w: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法律顾问经费</w:t>
            </w: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</w:t>
            </w: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ind w:left="1" w:leftChars="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tblCellSpacing w:w="0" w:type="dxa"/>
          <w:jc w:val="center"/>
        </w:trPr>
        <w:tc>
          <w:tcPr>
            <w:tcW w:w="704" w:type="dxa"/>
            <w:tcBorders>
              <w:lef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4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1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6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6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2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33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32" w:type="dxa"/>
            <w:tcBorders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tblCellSpacing w:w="0" w:type="dxa"/>
          <w:jc w:val="center"/>
        </w:trPr>
        <w:tc>
          <w:tcPr>
            <w:tcW w:w="9680" w:type="dxa"/>
            <w:gridSpan w:val="9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二、部门（单位）整体支出绩效自评：</w:t>
            </w:r>
          </w:p>
          <w:p>
            <w:pPr>
              <w:spacing w:line="300" w:lineRule="exact"/>
              <w:rPr>
                <w:rFonts w:eastAsia="仿宋_GB2312"/>
                <w:sz w:val="24"/>
              </w:rPr>
            </w:pPr>
          </w:p>
          <w:p>
            <w:pPr>
              <w:spacing w:line="300" w:lineRule="exact"/>
              <w:ind w:firstLine="360" w:firstLineChars="15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eastAsia="仿宋_GB2312"/>
                <w:sz w:val="24"/>
              </w:rPr>
              <w:t>部门（单位）：                自评分数：</w:t>
            </w:r>
            <w:r>
              <w:rPr>
                <w:rFonts w:hint="eastAsia" w:eastAsia="仿宋_GB2312"/>
                <w:sz w:val="24"/>
                <w:lang w:val="en-US" w:eastAsia="zh-CN"/>
              </w:rPr>
              <w:t>96</w:t>
            </w:r>
            <w:r>
              <w:rPr>
                <w:rFonts w:eastAsia="仿宋_GB2312"/>
                <w:sz w:val="24"/>
              </w:rPr>
              <w:t>            自评等级：</w:t>
            </w: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</w:tbl>
    <w:p>
      <w:pPr>
        <w:spacing w:line="400" w:lineRule="exact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备注：评价等级划分如下</w:t>
      </w:r>
    </w:p>
    <w:p>
      <w:pPr>
        <w:spacing w:line="400" w:lineRule="exact"/>
        <w:jc w:val="left"/>
      </w:pPr>
      <w:r>
        <w:rPr>
          <w:rFonts w:eastAsia="仿宋_GB2312"/>
          <w:sz w:val="24"/>
        </w:rPr>
        <w:t>优秀  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分≤得分≤100分；良好  80分≤得分＜9</w:t>
      </w:r>
      <w:r>
        <w:rPr>
          <w:rFonts w:hint="eastAsia" w:eastAsia="仿宋_GB2312"/>
          <w:sz w:val="24"/>
        </w:rPr>
        <w:t>0</w:t>
      </w:r>
      <w:r>
        <w:rPr>
          <w:rFonts w:eastAsia="仿宋_GB2312"/>
          <w:sz w:val="24"/>
        </w:rPr>
        <w:t>分；</w:t>
      </w:r>
      <w:r>
        <w:rPr>
          <w:rFonts w:hint="eastAsia" w:eastAsia="仿宋_GB2312"/>
          <w:sz w:val="24"/>
        </w:rPr>
        <w:t>较差</w:t>
      </w:r>
      <w:r>
        <w:rPr>
          <w:rFonts w:eastAsia="仿宋_GB2312"/>
          <w:sz w:val="24"/>
        </w:rPr>
        <w:t xml:space="preserve"> 60分≤得分＜80分；差 </w:t>
      </w:r>
      <w:r>
        <w:rPr>
          <w:rFonts w:hint="eastAsia" w:eastAsia="仿宋_GB2312"/>
          <w:sz w:val="24"/>
        </w:rPr>
        <w:t xml:space="preserve">  </w:t>
      </w:r>
      <w:r>
        <w:rPr>
          <w:rFonts w:eastAsia="仿宋_GB2312"/>
          <w:sz w:val="24"/>
        </w:rPr>
        <w:t xml:space="preserve"> 得分＜60分</w:t>
      </w:r>
    </w:p>
    <w:sectPr>
      <w:pgSz w:w="11906" w:h="16838"/>
      <w:pgMar w:top="1440" w:right="1689" w:bottom="1440" w:left="1689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TZhongsong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23F5F04"/>
    <w:rsid w:val="10702243"/>
    <w:rsid w:val="1E5B44D0"/>
    <w:rsid w:val="53115824"/>
    <w:rsid w:val="60531903"/>
    <w:rsid w:val="7391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265</Characters>
  <Lines>0</Lines>
  <Paragraphs>0</Paragraphs>
  <TotalTime>0</TotalTime>
  <ScaleCrop>false</ScaleCrop>
  <LinksUpToDate>false</LinksUpToDate>
  <CharactersWithSpaces>344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2023-05-30T02:08:25Z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06FA658CFB3C4E0A8BC9EA4388BCBF35</vt:lpwstr>
  </property>
</Properties>
</file>