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rPr>
      </w:pPr>
      <w:r>
        <w:rPr>
          <w:rFonts w:eastAsia="方正粗宋简体"/>
          <w:w w:val="85"/>
          <w:sz w:val="44"/>
          <w:szCs w:val="44"/>
        </w:rPr>
        <w:t> 202</w:t>
      </w:r>
      <w:r>
        <w:rPr>
          <w:rFonts w:hint="eastAsia" w:eastAsia="方正粗宋简体"/>
          <w:w w:val="85"/>
          <w:sz w:val="44"/>
          <w:szCs w:val="44"/>
          <w:lang w:val="en-US" w:eastAsia="zh-CN"/>
        </w:rPr>
        <w:t>2</w:t>
      </w:r>
      <w:r>
        <w:rPr>
          <w:rFonts w:hAnsi="方正粗宋简体" w:eastAsia="方正粗宋简体"/>
          <w:w w:val="85"/>
          <w:sz w:val="44"/>
          <w:szCs w:val="44"/>
        </w:rPr>
        <w:t>年度新晃县</w:t>
      </w:r>
      <w:r>
        <w:rPr>
          <w:rFonts w:hint="eastAsia" w:hAnsi="方正粗宋简体" w:eastAsia="方正粗宋简体"/>
          <w:w w:val="85"/>
          <w:sz w:val="44"/>
          <w:szCs w:val="44"/>
          <w:lang w:eastAsia="zh-CN"/>
        </w:rPr>
        <w:t>法律援助及认罪认罚经费</w:t>
      </w:r>
      <w:r>
        <w:rPr>
          <w:rFonts w:hint="eastAsia" w:hAnsi="方正粗宋简体" w:eastAsia="方正粗宋简体"/>
          <w:w w:val="85"/>
          <w:sz w:val="44"/>
          <w:szCs w:val="44"/>
        </w:rPr>
        <w:t>项目</w:t>
      </w:r>
      <w:r>
        <w:rPr>
          <w:rFonts w:hAnsi="方正粗宋简体" w:eastAsia="方正粗宋简体"/>
          <w:w w:val="85"/>
          <w:sz w:val="44"/>
          <w:szCs w:val="44"/>
        </w:rPr>
        <w:t>支出</w:t>
      </w:r>
      <w:r>
        <w:rPr>
          <w:rFonts w:hint="eastAsia" w:hAnsi="方正粗宋简体" w:eastAsia="方正粗宋简体"/>
          <w:w w:val="85"/>
          <w:sz w:val="44"/>
          <w:szCs w:val="44"/>
        </w:rPr>
        <w:t>绩效</w:t>
      </w:r>
      <w:r>
        <w:rPr>
          <w:rFonts w:hAnsi="方正粗宋简体" w:eastAsia="方正粗宋简体"/>
          <w:w w:val="85"/>
          <w:sz w:val="44"/>
          <w:szCs w:val="44"/>
        </w:rPr>
        <w:t>自评报告</w:t>
      </w:r>
    </w:p>
    <w:p>
      <w:pPr>
        <w:spacing w:line="600" w:lineRule="exact"/>
        <w:jc w:val="center"/>
        <w:rPr>
          <w:rFonts w:eastAsia="方正粗宋简体"/>
          <w:w w:val="85"/>
          <w:sz w:val="44"/>
          <w:szCs w:val="44"/>
        </w:rPr>
      </w:pPr>
    </w:p>
    <w:p>
      <w:pPr>
        <w:spacing w:line="560" w:lineRule="exact"/>
        <w:ind w:firstLine="643" w:firstLineChars="200"/>
        <w:jc w:val="left"/>
        <w:rPr>
          <w:rFonts w:eastAsia="仿宋_GB2312"/>
          <w:b/>
          <w:bCs/>
          <w:sz w:val="32"/>
          <w:szCs w:val="32"/>
        </w:rPr>
      </w:pPr>
      <w:r>
        <w:rPr>
          <w:rFonts w:hint="eastAsia" w:eastAsia="仿宋_GB2312"/>
          <w:b/>
          <w:bCs/>
          <w:sz w:val="32"/>
          <w:szCs w:val="32"/>
        </w:rPr>
        <w:t>一、基本情况</w:t>
      </w:r>
    </w:p>
    <w:p>
      <w:pPr>
        <w:spacing w:line="560" w:lineRule="exact"/>
        <w:ind w:firstLine="640" w:firstLineChars="200"/>
        <w:jc w:val="left"/>
        <w:rPr>
          <w:rFonts w:hint="default" w:eastAsia="仿宋_GB2312"/>
          <w:sz w:val="32"/>
          <w:szCs w:val="32"/>
          <w:lang w:val="en-US" w:eastAsia="zh-CN"/>
        </w:rPr>
      </w:pPr>
      <w:r>
        <w:rPr>
          <w:rFonts w:hint="eastAsia" w:eastAsia="仿宋_GB2312"/>
          <w:sz w:val="32"/>
          <w:szCs w:val="32"/>
        </w:rPr>
        <w:t>（一）项目概况。法律援助及认罪认罚经费</w:t>
      </w:r>
      <w:r>
        <w:rPr>
          <w:rFonts w:hint="eastAsia" w:eastAsia="仿宋_GB2312"/>
          <w:sz w:val="32"/>
          <w:szCs w:val="32"/>
          <w:lang w:val="en-US" w:eastAsia="zh-CN"/>
        </w:rPr>
        <w:t>10万元，主要用于办理法律援助案件及办理认罪认罚案件的案件补贴。</w:t>
      </w:r>
    </w:p>
    <w:p>
      <w:pPr>
        <w:spacing w:line="560" w:lineRule="exact"/>
        <w:ind w:firstLine="640" w:firstLineChars="200"/>
        <w:jc w:val="left"/>
        <w:rPr>
          <w:rFonts w:hint="default" w:eastAsia="仿宋_GB2312"/>
          <w:sz w:val="32"/>
          <w:szCs w:val="32"/>
          <w:lang w:val="en-US" w:eastAsia="zh-CN"/>
        </w:rPr>
      </w:pPr>
      <w:r>
        <w:rPr>
          <w:rFonts w:hint="eastAsia" w:eastAsia="仿宋_GB2312"/>
          <w:sz w:val="32"/>
          <w:szCs w:val="32"/>
        </w:rPr>
        <w:t>（二）项目绩效目标。</w:t>
      </w:r>
      <w:r>
        <w:rPr>
          <w:rFonts w:hint="eastAsia" w:eastAsia="仿宋_GB2312"/>
          <w:sz w:val="32"/>
          <w:szCs w:val="32"/>
          <w:lang w:eastAsia="zh-CN"/>
        </w:rPr>
        <w:t>办理法律援助及认罪认罚案件</w:t>
      </w:r>
      <w:r>
        <w:rPr>
          <w:rFonts w:hint="eastAsia" w:eastAsia="仿宋_GB2312"/>
          <w:sz w:val="32"/>
          <w:szCs w:val="32"/>
          <w:lang w:val="en-US" w:eastAsia="zh-CN"/>
        </w:rPr>
        <w:t>300件。</w:t>
      </w:r>
    </w:p>
    <w:p>
      <w:pPr>
        <w:spacing w:line="560" w:lineRule="exact"/>
        <w:ind w:firstLine="643" w:firstLineChars="200"/>
        <w:jc w:val="left"/>
        <w:rPr>
          <w:rFonts w:eastAsia="仿宋_GB2312"/>
          <w:b/>
          <w:bCs/>
          <w:sz w:val="32"/>
          <w:szCs w:val="32"/>
        </w:rPr>
      </w:pPr>
      <w:r>
        <w:rPr>
          <w:rFonts w:hint="eastAsia" w:eastAsia="仿宋_GB2312"/>
          <w:b/>
          <w:bCs/>
          <w:sz w:val="32"/>
          <w:szCs w:val="32"/>
        </w:rPr>
        <w:t>二、绩效评价工作开展情况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640" w:firstLineChars="200"/>
        <w:rPr>
          <w:rFonts w:hint="eastAsia" w:eastAsia="仿宋_GB2312"/>
          <w:sz w:val="32"/>
          <w:szCs w:val="32"/>
        </w:rPr>
      </w:pPr>
      <w:r>
        <w:rPr>
          <w:rFonts w:hint="eastAsia" w:eastAsia="仿宋_GB2312"/>
          <w:sz w:val="32"/>
          <w:szCs w:val="32"/>
        </w:rPr>
        <w:t>（一）绩效评价目的、对象和范围。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（1）严格执行《预算法》，强化支出责任，提高项目资金使用效益，对项目支出情况开展绩效评价，践行“花钱必问效、无效必问责”。</w:t>
      </w:r>
    </w:p>
    <w:p>
      <w:pPr>
        <w:spacing w:line="560" w:lineRule="exact"/>
        <w:ind w:firstLine="640" w:firstLineChars="200"/>
        <w:jc w:val="left"/>
      </w:pPr>
      <w:r>
        <w:rPr>
          <w:rFonts w:hint="eastAsia" w:ascii="Times New Roman" w:hAnsi="Times New Roman" w:eastAsia="仿宋_GB2312" w:cs="Times New Roman"/>
          <w:sz w:val="32"/>
          <w:szCs w:val="32"/>
          <w:lang w:val="en-US" w:eastAsia="zh-CN" w:bidi="ar-SA"/>
        </w:rPr>
        <w:t>（2）通过对项目资金的绩效评价，进一步了解和掌握项目实施的具体情况，评价其项目资金安排的科学性、合理性、规范性和资金使用成效，及时总结项目管理经验，完善项目管理办法，提高项目管理水平和资金的使用效益。</w:t>
      </w:r>
    </w:p>
    <w:p>
      <w:pPr>
        <w:spacing w:line="560" w:lineRule="exact"/>
        <w:ind w:firstLine="640" w:firstLineChars="200"/>
        <w:jc w:val="left"/>
        <w:rPr>
          <w:rFonts w:hint="eastAsia" w:eastAsia="仿宋_GB2312"/>
          <w:sz w:val="32"/>
          <w:szCs w:val="32"/>
        </w:rPr>
      </w:pPr>
      <w:r>
        <w:rPr>
          <w:rFonts w:hint="eastAsia" w:eastAsia="仿宋_GB2312"/>
          <w:sz w:val="32"/>
          <w:szCs w:val="32"/>
        </w:rPr>
        <w:t>（二）绩效评价原则、评价指标体系（附表说明）、评价方法、评价标准等。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（1）科学公正。绩效评价应当运用科学合理的方法，按照规范的程序，对项目绩效进行客观、公正地反映。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（2）统筹兼顾。单位自评、部门评价和财政评价应职责明确，各有侧重，相互衔接。单位自评应由项目单位自主实施，即“谁支出、谁自评”。部门评价和财政评价应在单位自评的基础上开展。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pPr>
      <w:r>
        <w:rPr>
          <w:rFonts w:hint="eastAsia" w:ascii="Times New Roman" w:hAnsi="Times New Roman" w:eastAsia="仿宋_GB2312" w:cs="Times New Roman"/>
          <w:sz w:val="32"/>
          <w:szCs w:val="32"/>
          <w:lang w:val="en-US" w:eastAsia="zh-CN" w:bidi="ar-SA"/>
        </w:rPr>
        <w:t>　　（3）激励约束。绩效评价结果应与预算安排、政策调整、改进管理实质性挂钩，体现奖优罚劣和激励相容导向，有效要安排、低效要压减、无效要问责。</w:t>
      </w:r>
    </w:p>
    <w:p>
      <w:pPr>
        <w:spacing w:line="560" w:lineRule="exact"/>
        <w:ind w:firstLine="640" w:firstLineChars="200"/>
        <w:jc w:val="left"/>
        <w:rPr>
          <w:rFonts w:hint="eastAsia" w:eastAsia="仿宋_GB2312"/>
          <w:sz w:val="32"/>
          <w:szCs w:val="32"/>
        </w:rPr>
      </w:pPr>
      <w:r>
        <w:rPr>
          <w:rFonts w:hint="eastAsia" w:eastAsia="仿宋_GB2312"/>
          <w:sz w:val="32"/>
          <w:szCs w:val="32"/>
        </w:rPr>
        <w:t>（三）绩效评价工作过程。</w:t>
      </w:r>
    </w:p>
    <w:p>
      <w:pPr>
        <w:pStyle w:val="2"/>
        <w:ind w:firstLine="640" w:firstLineChars="200"/>
        <w:rPr>
          <w:rFonts w:hint="eastAsia" w:ascii="Times New Roman" w:hAnsi="Times New Roman" w:eastAsia="仿宋_GB2312" w:cs="Times New Roman"/>
          <w:b w:val="0"/>
          <w:kern w:val="0"/>
          <w:sz w:val="32"/>
          <w:szCs w:val="32"/>
          <w:lang w:val="en-US" w:eastAsia="zh-CN" w:bidi="ar-SA"/>
        </w:rPr>
      </w:pPr>
      <w:r>
        <w:rPr>
          <w:rFonts w:hint="eastAsia" w:ascii="Times New Roman" w:hAnsi="Times New Roman" w:eastAsia="仿宋_GB2312" w:cs="Times New Roman"/>
          <w:b w:val="0"/>
          <w:kern w:val="0"/>
          <w:sz w:val="32"/>
          <w:szCs w:val="32"/>
          <w:lang w:val="en-US" w:eastAsia="zh-CN" w:bidi="ar-SA"/>
        </w:rPr>
        <w:t>1.成立绩效评价领导小组；</w:t>
      </w:r>
    </w:p>
    <w:p>
      <w:pPr>
        <w:pStyle w:val="2"/>
        <w:rPr>
          <w:rFonts w:hint="eastAsia" w:ascii="Times New Roman" w:hAnsi="Times New Roman" w:eastAsia="仿宋_GB2312" w:cs="Times New Roman"/>
          <w:b w:val="0"/>
          <w:kern w:val="0"/>
          <w:sz w:val="32"/>
          <w:szCs w:val="32"/>
          <w:lang w:val="en-US" w:eastAsia="zh-CN" w:bidi="ar-SA"/>
        </w:rPr>
      </w:pPr>
      <w:r>
        <w:rPr>
          <w:rFonts w:hint="eastAsia" w:ascii="Times New Roman" w:hAnsi="Times New Roman" w:eastAsia="仿宋_GB2312" w:cs="Times New Roman"/>
          <w:b w:val="0"/>
          <w:kern w:val="0"/>
          <w:sz w:val="32"/>
          <w:szCs w:val="32"/>
          <w:lang w:val="en-US" w:eastAsia="zh-CN" w:bidi="ar-SA"/>
        </w:rPr>
        <w:t>　　2.组织相关人员进行培训；</w:t>
      </w:r>
    </w:p>
    <w:p>
      <w:pPr>
        <w:pStyle w:val="2"/>
        <w:rPr>
          <w:rFonts w:hint="eastAsia" w:ascii="Times New Roman" w:hAnsi="Times New Roman" w:eastAsia="仿宋_GB2312" w:cs="Times New Roman"/>
          <w:b w:val="0"/>
          <w:kern w:val="0"/>
          <w:sz w:val="32"/>
          <w:szCs w:val="32"/>
          <w:lang w:val="en-US" w:eastAsia="zh-CN" w:bidi="ar-SA"/>
        </w:rPr>
      </w:pPr>
      <w:r>
        <w:rPr>
          <w:rFonts w:hint="eastAsia" w:ascii="Times New Roman" w:hAnsi="Times New Roman" w:eastAsia="仿宋_GB2312" w:cs="Times New Roman"/>
          <w:b w:val="0"/>
          <w:kern w:val="0"/>
          <w:sz w:val="32"/>
          <w:szCs w:val="32"/>
          <w:lang w:val="en-US" w:eastAsia="zh-CN" w:bidi="ar-SA"/>
        </w:rPr>
        <w:t>　　3.收集相关资料；</w:t>
      </w:r>
    </w:p>
    <w:p>
      <w:pPr>
        <w:pStyle w:val="2"/>
        <w:rPr>
          <w:rFonts w:hint="eastAsia" w:ascii="Times New Roman" w:hAnsi="Times New Roman" w:eastAsia="仿宋_GB2312" w:cs="Times New Roman"/>
          <w:b w:val="0"/>
          <w:kern w:val="0"/>
          <w:sz w:val="32"/>
          <w:szCs w:val="32"/>
          <w:lang w:val="en-US" w:eastAsia="zh-CN" w:bidi="ar-SA"/>
        </w:rPr>
      </w:pPr>
      <w:r>
        <w:rPr>
          <w:rFonts w:hint="eastAsia" w:ascii="Times New Roman" w:hAnsi="Times New Roman" w:eastAsia="仿宋_GB2312" w:cs="Times New Roman"/>
          <w:b w:val="0"/>
          <w:kern w:val="0"/>
          <w:sz w:val="32"/>
          <w:szCs w:val="32"/>
          <w:lang w:val="en-US" w:eastAsia="zh-CN" w:bidi="ar-SA"/>
        </w:rPr>
        <w:t>　　4.分析资料、汇总评价数据；</w:t>
      </w:r>
    </w:p>
    <w:p>
      <w:pPr>
        <w:pStyle w:val="2"/>
        <w:rPr>
          <w:rFonts w:hint="eastAsia" w:ascii="Times New Roman" w:hAnsi="Times New Roman" w:eastAsia="仿宋_GB2312" w:cs="Times New Roman"/>
          <w:b w:val="0"/>
          <w:kern w:val="0"/>
          <w:sz w:val="32"/>
          <w:szCs w:val="32"/>
          <w:lang w:val="en-US" w:eastAsia="zh-CN" w:bidi="ar-SA"/>
        </w:rPr>
      </w:pPr>
      <w:r>
        <w:rPr>
          <w:rFonts w:hint="eastAsia" w:ascii="Times New Roman" w:hAnsi="Times New Roman" w:eastAsia="仿宋_GB2312" w:cs="Times New Roman"/>
          <w:b w:val="0"/>
          <w:kern w:val="0"/>
          <w:sz w:val="32"/>
          <w:szCs w:val="32"/>
          <w:lang w:val="en-US" w:eastAsia="zh-CN" w:bidi="ar-SA"/>
        </w:rPr>
        <w:t>　　5.填写项目支出绩效单位自评表，撰写绩效自评报告。</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spacing w:line="600" w:lineRule="exact"/>
        <w:ind w:firstLine="640" w:firstLineChars="200"/>
        <w:jc w:val="both"/>
        <w:rPr>
          <w:rFonts w:hint="eastAsia"/>
        </w:rPr>
      </w:pPr>
      <w:r>
        <w:rPr>
          <w:rFonts w:hint="eastAsia" w:ascii="Times New Roman" w:hAnsi="Times New Roman" w:eastAsia="仿宋_GB2312" w:cs="Times New Roman"/>
          <w:sz w:val="32"/>
          <w:szCs w:val="32"/>
          <w:lang w:val="en-US" w:eastAsia="zh-CN" w:bidi="ar-SA"/>
        </w:rPr>
        <w:t>根据绩效目标表</w:t>
      </w:r>
      <w:r>
        <w:rPr>
          <w:rFonts w:hint="eastAsia" w:eastAsia="仿宋_GB2312" w:cs="Times New Roman"/>
          <w:sz w:val="32"/>
          <w:szCs w:val="32"/>
          <w:lang w:val="en-US" w:eastAsia="zh-CN" w:bidi="ar-SA"/>
        </w:rPr>
        <w:t>相关指标，逐一对应指标值数进行综合评价，自评分数为95分，评价结果为优秀。</w:t>
      </w:r>
    </w:p>
    <w:tbl>
      <w:tblPr>
        <w:tblStyle w:val="5"/>
        <w:tblW w:w="86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1244"/>
        <w:gridCol w:w="1755"/>
        <w:gridCol w:w="3555"/>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658" w:type="dxa"/>
            <w:vMerge w:val="restart"/>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绩效</w:t>
            </w:r>
          </w:p>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指标</w:t>
            </w:r>
          </w:p>
        </w:tc>
        <w:tc>
          <w:tcPr>
            <w:tcW w:w="1244"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一级</w:t>
            </w:r>
          </w:p>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指标</w:t>
            </w:r>
          </w:p>
        </w:tc>
        <w:tc>
          <w:tcPr>
            <w:tcW w:w="1755"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二级指标</w:t>
            </w:r>
          </w:p>
        </w:tc>
        <w:tc>
          <w:tcPr>
            <w:tcW w:w="3555"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三级指标</w:t>
            </w:r>
          </w:p>
        </w:tc>
        <w:tc>
          <w:tcPr>
            <w:tcW w:w="1460"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658" w:type="dxa"/>
            <w:vMerge w:val="continue"/>
            <w:vAlign w:val="center"/>
          </w:tcPr>
          <w:p>
            <w:pPr>
              <w:spacing w:line="400" w:lineRule="exact"/>
              <w:jc w:val="center"/>
              <w:rPr>
                <w:rFonts w:hint="eastAsia" w:ascii="仿宋_GB2312" w:eastAsia="仿宋_GB2312" w:hAnsiTheme="minorEastAsia"/>
                <w:szCs w:val="21"/>
              </w:rPr>
            </w:pPr>
          </w:p>
        </w:tc>
        <w:tc>
          <w:tcPr>
            <w:tcW w:w="1244" w:type="dxa"/>
            <w:vMerge w:val="restart"/>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产出指标</w:t>
            </w:r>
          </w:p>
        </w:tc>
        <w:tc>
          <w:tcPr>
            <w:tcW w:w="1755" w:type="dxa"/>
            <w:vMerge w:val="restart"/>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数量指标</w:t>
            </w:r>
          </w:p>
        </w:tc>
        <w:tc>
          <w:tcPr>
            <w:tcW w:w="3555" w:type="dxa"/>
            <w:vAlign w:val="center"/>
          </w:tcPr>
          <w:p>
            <w:pPr>
              <w:spacing w:line="400" w:lineRule="exact"/>
              <w:jc w:val="left"/>
              <w:rPr>
                <w:rFonts w:hint="default" w:ascii="仿宋_GB2312" w:eastAsia="仿宋_GB2312" w:hAnsiTheme="minorEastAsia"/>
                <w:szCs w:val="21"/>
                <w:lang w:val="en-US" w:eastAsia="zh-CN"/>
              </w:rPr>
            </w:pPr>
            <w:r>
              <w:rPr>
                <w:rFonts w:hint="eastAsia" w:ascii="仿宋_GB2312" w:eastAsia="仿宋_GB2312" w:hAnsiTheme="minorEastAsia"/>
                <w:szCs w:val="21"/>
                <w:lang w:val="en-US" w:eastAsia="zh-CN"/>
              </w:rPr>
              <w:t>项目资金支出</w:t>
            </w:r>
          </w:p>
        </w:tc>
        <w:tc>
          <w:tcPr>
            <w:tcW w:w="1460" w:type="dxa"/>
            <w:vAlign w:val="center"/>
          </w:tcPr>
          <w:p>
            <w:pPr>
              <w:spacing w:line="400" w:lineRule="exact"/>
              <w:jc w:val="center"/>
              <w:rPr>
                <w:rFonts w:hint="default" w:ascii="仿宋_GB2312" w:eastAsia="仿宋_GB2312" w:hAnsiTheme="minorEastAsia"/>
                <w:szCs w:val="21"/>
                <w:lang w:val="en-US" w:eastAsia="zh-CN"/>
              </w:rPr>
            </w:pPr>
            <w:r>
              <w:rPr>
                <w:rFonts w:hint="eastAsia" w:ascii="仿宋_GB2312" w:eastAsia="仿宋_GB2312" w:hAnsiTheme="minorEastAsia"/>
                <w:szCs w:val="21"/>
                <w:lang w:val="en-US" w:eastAsia="zh-CN"/>
              </w:rPr>
              <w:t>≤10万元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658" w:type="dxa"/>
            <w:vMerge w:val="continue"/>
            <w:vAlign w:val="center"/>
          </w:tcPr>
          <w:p>
            <w:pPr>
              <w:spacing w:line="400" w:lineRule="exact"/>
              <w:jc w:val="center"/>
              <w:rPr>
                <w:rFonts w:hint="eastAsia" w:ascii="仿宋_GB2312" w:eastAsia="仿宋_GB2312" w:hAnsiTheme="minorEastAsia"/>
                <w:szCs w:val="21"/>
              </w:rPr>
            </w:pPr>
          </w:p>
        </w:tc>
        <w:tc>
          <w:tcPr>
            <w:tcW w:w="1244" w:type="dxa"/>
            <w:vMerge w:val="continue"/>
            <w:vAlign w:val="center"/>
          </w:tcPr>
          <w:p>
            <w:pPr>
              <w:spacing w:line="400" w:lineRule="exact"/>
              <w:jc w:val="center"/>
              <w:rPr>
                <w:rFonts w:hint="eastAsia" w:ascii="仿宋_GB2312" w:eastAsia="仿宋_GB2312" w:hAnsiTheme="minorEastAsia"/>
                <w:szCs w:val="21"/>
              </w:rPr>
            </w:pPr>
          </w:p>
        </w:tc>
        <w:tc>
          <w:tcPr>
            <w:tcW w:w="1755" w:type="dxa"/>
            <w:vMerge w:val="continue"/>
            <w:vAlign w:val="center"/>
          </w:tcPr>
          <w:p>
            <w:pPr>
              <w:spacing w:line="400" w:lineRule="exact"/>
              <w:jc w:val="center"/>
              <w:rPr>
                <w:rFonts w:hint="eastAsia" w:ascii="仿宋_GB2312" w:eastAsia="仿宋_GB2312" w:hAnsiTheme="minorEastAsia"/>
                <w:szCs w:val="21"/>
              </w:rPr>
            </w:pPr>
          </w:p>
        </w:tc>
        <w:tc>
          <w:tcPr>
            <w:tcW w:w="3555" w:type="dxa"/>
            <w:vAlign w:val="center"/>
          </w:tcPr>
          <w:p>
            <w:pPr>
              <w:spacing w:line="400" w:lineRule="exact"/>
              <w:jc w:val="left"/>
              <w:rPr>
                <w:rFonts w:hint="default" w:ascii="仿宋_GB2312" w:eastAsia="仿宋_GB2312" w:hAnsiTheme="minorEastAsia"/>
                <w:szCs w:val="21"/>
                <w:lang w:val="en-US" w:eastAsia="zh-CN"/>
              </w:rPr>
            </w:pPr>
            <w:r>
              <w:rPr>
                <w:rFonts w:hint="eastAsia" w:ascii="仿宋_GB2312" w:eastAsia="仿宋_GB2312" w:hAnsiTheme="minorEastAsia"/>
                <w:szCs w:val="21"/>
                <w:lang w:val="en-US" w:eastAsia="zh-CN"/>
              </w:rPr>
              <w:t>办理法援案件数量</w:t>
            </w:r>
          </w:p>
        </w:tc>
        <w:tc>
          <w:tcPr>
            <w:tcW w:w="1460" w:type="dxa"/>
            <w:vAlign w:val="center"/>
          </w:tcPr>
          <w:p>
            <w:pPr>
              <w:spacing w:line="400" w:lineRule="exact"/>
              <w:jc w:val="center"/>
              <w:rPr>
                <w:rFonts w:hint="default" w:ascii="仿宋_GB2312" w:eastAsia="仿宋_GB2312" w:hAnsiTheme="minorEastAsia"/>
                <w:szCs w:val="21"/>
                <w:lang w:val="en-US" w:eastAsia="zh-CN"/>
              </w:rPr>
            </w:pPr>
            <w:r>
              <w:rPr>
                <w:rFonts w:hint="eastAsia" w:ascii="仿宋_GB2312" w:eastAsia="仿宋_GB2312" w:hAnsiTheme="minorEastAsia"/>
                <w:szCs w:val="21"/>
                <w:lang w:val="en-US" w:eastAsia="zh-CN"/>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658" w:type="dxa"/>
            <w:vMerge w:val="continue"/>
            <w:vAlign w:val="center"/>
          </w:tcPr>
          <w:p>
            <w:pPr>
              <w:spacing w:line="400" w:lineRule="exact"/>
              <w:jc w:val="center"/>
              <w:rPr>
                <w:rFonts w:hint="eastAsia" w:ascii="仿宋_GB2312" w:eastAsia="仿宋_GB2312" w:hAnsiTheme="minorEastAsia"/>
                <w:szCs w:val="21"/>
              </w:rPr>
            </w:pPr>
          </w:p>
        </w:tc>
        <w:tc>
          <w:tcPr>
            <w:tcW w:w="1244" w:type="dxa"/>
            <w:vMerge w:val="continue"/>
            <w:vAlign w:val="center"/>
          </w:tcPr>
          <w:p>
            <w:pPr>
              <w:spacing w:line="400" w:lineRule="exact"/>
              <w:jc w:val="center"/>
              <w:rPr>
                <w:rFonts w:hint="eastAsia" w:ascii="仿宋_GB2312" w:eastAsia="仿宋_GB2312" w:hAnsiTheme="minorEastAsia"/>
                <w:szCs w:val="21"/>
              </w:rPr>
            </w:pPr>
          </w:p>
        </w:tc>
        <w:tc>
          <w:tcPr>
            <w:tcW w:w="1755" w:type="dxa"/>
            <w:vMerge w:val="continue"/>
            <w:vAlign w:val="center"/>
          </w:tcPr>
          <w:p>
            <w:pPr>
              <w:spacing w:line="400" w:lineRule="exact"/>
              <w:jc w:val="center"/>
              <w:rPr>
                <w:rFonts w:hint="eastAsia" w:ascii="仿宋_GB2312" w:eastAsia="仿宋_GB2312" w:hAnsiTheme="minorEastAsia"/>
                <w:szCs w:val="21"/>
              </w:rPr>
            </w:pPr>
          </w:p>
        </w:tc>
        <w:tc>
          <w:tcPr>
            <w:tcW w:w="3555" w:type="dxa"/>
            <w:vAlign w:val="center"/>
          </w:tcPr>
          <w:p>
            <w:pPr>
              <w:spacing w:line="400" w:lineRule="exact"/>
              <w:jc w:val="left"/>
              <w:rPr>
                <w:rFonts w:hint="default" w:ascii="仿宋_GB2312" w:eastAsia="仿宋_GB2312" w:hAnsiTheme="minorEastAsia"/>
                <w:szCs w:val="21"/>
                <w:lang w:val="en-US" w:eastAsia="zh-CN"/>
              </w:rPr>
            </w:pPr>
            <w:r>
              <w:rPr>
                <w:rFonts w:hint="eastAsia" w:ascii="仿宋_GB2312" w:eastAsia="仿宋_GB2312" w:hAnsiTheme="minorEastAsia"/>
                <w:szCs w:val="21"/>
                <w:lang w:val="en-US" w:eastAsia="zh-CN"/>
              </w:rPr>
              <w:t>办理认罪认罚案件数量</w:t>
            </w:r>
          </w:p>
        </w:tc>
        <w:tc>
          <w:tcPr>
            <w:tcW w:w="1460" w:type="dxa"/>
            <w:vAlign w:val="center"/>
          </w:tcPr>
          <w:p>
            <w:pPr>
              <w:spacing w:line="400" w:lineRule="exact"/>
              <w:jc w:val="center"/>
              <w:rPr>
                <w:rFonts w:hint="default" w:ascii="仿宋_GB2312" w:eastAsia="仿宋_GB2312" w:hAnsiTheme="minorEastAsia"/>
                <w:szCs w:val="21"/>
                <w:lang w:val="en-US" w:eastAsia="zh-CN"/>
              </w:rPr>
            </w:pPr>
            <w:r>
              <w:rPr>
                <w:rFonts w:hint="eastAsia" w:ascii="仿宋_GB2312" w:eastAsia="仿宋_GB2312" w:hAnsiTheme="minorEastAsia"/>
                <w:szCs w:val="21"/>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658" w:type="dxa"/>
            <w:vMerge w:val="continue"/>
            <w:vAlign w:val="center"/>
          </w:tcPr>
          <w:p>
            <w:pPr>
              <w:spacing w:line="400" w:lineRule="exact"/>
              <w:jc w:val="center"/>
              <w:rPr>
                <w:rFonts w:hint="eastAsia" w:ascii="仿宋_GB2312" w:eastAsia="仿宋_GB2312" w:hAnsiTheme="minorEastAsia"/>
                <w:szCs w:val="21"/>
              </w:rPr>
            </w:pPr>
          </w:p>
        </w:tc>
        <w:tc>
          <w:tcPr>
            <w:tcW w:w="1244" w:type="dxa"/>
            <w:vMerge w:val="continue"/>
            <w:vAlign w:val="center"/>
          </w:tcPr>
          <w:p>
            <w:pPr>
              <w:spacing w:line="400" w:lineRule="exact"/>
              <w:jc w:val="center"/>
              <w:rPr>
                <w:rFonts w:hint="eastAsia" w:ascii="仿宋_GB2312" w:eastAsia="仿宋_GB2312" w:hAnsiTheme="minorEastAsia"/>
                <w:szCs w:val="21"/>
              </w:rPr>
            </w:pPr>
          </w:p>
        </w:tc>
        <w:tc>
          <w:tcPr>
            <w:tcW w:w="1755" w:type="dxa"/>
            <w:vMerge w:val="restart"/>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质量指标</w:t>
            </w:r>
          </w:p>
        </w:tc>
        <w:tc>
          <w:tcPr>
            <w:tcW w:w="3555" w:type="dxa"/>
            <w:vAlign w:val="center"/>
          </w:tcPr>
          <w:p>
            <w:pPr>
              <w:spacing w:line="400" w:lineRule="exact"/>
              <w:jc w:val="left"/>
              <w:rPr>
                <w:rFonts w:hint="eastAsia" w:ascii="仿宋_GB2312" w:eastAsia="仿宋_GB2312" w:hAnsiTheme="minorEastAsia"/>
                <w:szCs w:val="21"/>
              </w:rPr>
            </w:pPr>
            <w:r>
              <w:rPr>
                <w:rFonts w:hint="eastAsia" w:ascii="仿宋_GB2312" w:eastAsia="仿宋_GB2312" w:hAnsiTheme="minorEastAsia"/>
                <w:szCs w:val="21"/>
                <w:lang w:val="en-US" w:eastAsia="zh-CN"/>
              </w:rPr>
              <w:t>项目</w:t>
            </w:r>
            <w:r>
              <w:rPr>
                <w:rFonts w:hint="eastAsia" w:ascii="仿宋_GB2312" w:eastAsia="仿宋_GB2312" w:hAnsiTheme="minorEastAsia"/>
                <w:szCs w:val="21"/>
              </w:rPr>
              <w:t>资金足额拨付率</w:t>
            </w:r>
          </w:p>
        </w:tc>
        <w:tc>
          <w:tcPr>
            <w:tcW w:w="1460"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658" w:type="dxa"/>
            <w:vMerge w:val="continue"/>
            <w:vAlign w:val="center"/>
          </w:tcPr>
          <w:p>
            <w:pPr>
              <w:spacing w:line="400" w:lineRule="exact"/>
              <w:jc w:val="center"/>
              <w:rPr>
                <w:rFonts w:hint="eastAsia" w:ascii="仿宋_GB2312" w:eastAsia="仿宋_GB2312" w:hAnsiTheme="minorEastAsia"/>
                <w:szCs w:val="21"/>
              </w:rPr>
            </w:pPr>
          </w:p>
        </w:tc>
        <w:tc>
          <w:tcPr>
            <w:tcW w:w="1244" w:type="dxa"/>
            <w:vMerge w:val="continue"/>
            <w:vAlign w:val="center"/>
          </w:tcPr>
          <w:p>
            <w:pPr>
              <w:spacing w:line="400" w:lineRule="exact"/>
              <w:jc w:val="center"/>
              <w:rPr>
                <w:rFonts w:hint="eastAsia" w:ascii="仿宋_GB2312" w:eastAsia="仿宋_GB2312" w:hAnsiTheme="minorEastAsia"/>
                <w:szCs w:val="21"/>
              </w:rPr>
            </w:pPr>
          </w:p>
        </w:tc>
        <w:tc>
          <w:tcPr>
            <w:tcW w:w="1755" w:type="dxa"/>
            <w:vMerge w:val="continue"/>
            <w:vAlign w:val="center"/>
          </w:tcPr>
          <w:p>
            <w:pPr>
              <w:spacing w:line="400" w:lineRule="exact"/>
              <w:jc w:val="center"/>
              <w:rPr>
                <w:rFonts w:hint="eastAsia" w:ascii="仿宋_GB2312" w:eastAsia="仿宋_GB2312" w:hAnsiTheme="minorEastAsia"/>
                <w:szCs w:val="21"/>
              </w:rPr>
            </w:pPr>
          </w:p>
        </w:tc>
        <w:tc>
          <w:tcPr>
            <w:tcW w:w="3555" w:type="dxa"/>
            <w:vAlign w:val="center"/>
          </w:tcPr>
          <w:p>
            <w:pPr>
              <w:spacing w:line="400" w:lineRule="exact"/>
              <w:jc w:val="left"/>
              <w:rPr>
                <w:rFonts w:hint="eastAsia" w:ascii="仿宋_GB2312" w:eastAsia="仿宋_GB2312" w:hAnsiTheme="minorEastAsia"/>
                <w:szCs w:val="21"/>
              </w:rPr>
            </w:pPr>
            <w:r>
              <w:rPr>
                <w:rFonts w:hint="eastAsia" w:ascii="仿宋_GB2312" w:eastAsia="仿宋_GB2312" w:hAnsiTheme="minorEastAsia"/>
                <w:szCs w:val="21"/>
                <w:lang w:val="en-US" w:eastAsia="zh-CN"/>
              </w:rPr>
              <w:t>项目目标完成</w:t>
            </w:r>
            <w:r>
              <w:rPr>
                <w:rFonts w:hint="eastAsia" w:ascii="仿宋_GB2312" w:eastAsia="仿宋_GB2312" w:hAnsiTheme="minorEastAsia"/>
                <w:szCs w:val="21"/>
              </w:rPr>
              <w:t>率</w:t>
            </w:r>
          </w:p>
        </w:tc>
        <w:tc>
          <w:tcPr>
            <w:tcW w:w="1460"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lang w:val="en-US" w:eastAsia="zh-CN"/>
              </w:rPr>
              <w:t>100</w:t>
            </w:r>
            <w:r>
              <w:rPr>
                <w:rFonts w:hint="eastAsia" w:ascii="仿宋_GB2312" w:eastAsia="仿宋_GB2312" w:hAnsi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658" w:type="dxa"/>
            <w:vMerge w:val="continue"/>
            <w:vAlign w:val="center"/>
          </w:tcPr>
          <w:p>
            <w:pPr>
              <w:spacing w:line="400" w:lineRule="exact"/>
              <w:jc w:val="center"/>
              <w:rPr>
                <w:rFonts w:hint="eastAsia" w:ascii="仿宋_GB2312" w:eastAsia="仿宋_GB2312" w:hAnsiTheme="minorEastAsia"/>
                <w:szCs w:val="21"/>
              </w:rPr>
            </w:pPr>
          </w:p>
        </w:tc>
        <w:tc>
          <w:tcPr>
            <w:tcW w:w="1244" w:type="dxa"/>
            <w:vMerge w:val="continue"/>
            <w:vAlign w:val="center"/>
          </w:tcPr>
          <w:p>
            <w:pPr>
              <w:spacing w:line="400" w:lineRule="exact"/>
              <w:jc w:val="center"/>
              <w:rPr>
                <w:rFonts w:hint="eastAsia" w:ascii="仿宋_GB2312" w:eastAsia="仿宋_GB2312" w:hAnsiTheme="minorEastAsia"/>
                <w:szCs w:val="21"/>
              </w:rPr>
            </w:pPr>
          </w:p>
        </w:tc>
        <w:tc>
          <w:tcPr>
            <w:tcW w:w="1755"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时效指标</w:t>
            </w:r>
          </w:p>
        </w:tc>
        <w:tc>
          <w:tcPr>
            <w:tcW w:w="3555" w:type="dxa"/>
            <w:vAlign w:val="center"/>
          </w:tcPr>
          <w:p>
            <w:pPr>
              <w:spacing w:line="400" w:lineRule="exact"/>
              <w:jc w:val="left"/>
              <w:rPr>
                <w:rFonts w:hint="eastAsia" w:ascii="仿宋_GB2312" w:eastAsia="仿宋_GB2312" w:hAnsiTheme="minorEastAsia"/>
                <w:szCs w:val="21"/>
              </w:rPr>
            </w:pPr>
            <w:r>
              <w:rPr>
                <w:rFonts w:hint="eastAsia" w:ascii="仿宋_GB2312" w:eastAsia="仿宋_GB2312" w:hAnsiTheme="minorEastAsia"/>
                <w:szCs w:val="21"/>
                <w:lang w:val="en-US" w:eastAsia="zh-CN"/>
              </w:rPr>
              <w:t>项目</w:t>
            </w:r>
            <w:r>
              <w:rPr>
                <w:rFonts w:hint="eastAsia" w:ascii="仿宋_GB2312" w:eastAsia="仿宋_GB2312" w:hAnsiTheme="minorEastAsia"/>
                <w:szCs w:val="21"/>
              </w:rPr>
              <w:t>资金及时拨付率</w:t>
            </w:r>
          </w:p>
        </w:tc>
        <w:tc>
          <w:tcPr>
            <w:tcW w:w="1460"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658" w:type="dxa"/>
            <w:vMerge w:val="continue"/>
            <w:vAlign w:val="center"/>
          </w:tcPr>
          <w:p>
            <w:pPr>
              <w:spacing w:line="400" w:lineRule="exact"/>
              <w:jc w:val="center"/>
              <w:rPr>
                <w:rFonts w:hint="eastAsia" w:ascii="仿宋_GB2312" w:eastAsia="仿宋_GB2312" w:hAnsiTheme="minorEastAsia"/>
                <w:szCs w:val="21"/>
              </w:rPr>
            </w:pPr>
          </w:p>
        </w:tc>
        <w:tc>
          <w:tcPr>
            <w:tcW w:w="1244" w:type="dxa"/>
            <w:vMerge w:val="restart"/>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效益指标</w:t>
            </w:r>
          </w:p>
        </w:tc>
        <w:tc>
          <w:tcPr>
            <w:tcW w:w="1755"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社会效益指标</w:t>
            </w:r>
          </w:p>
        </w:tc>
        <w:tc>
          <w:tcPr>
            <w:tcW w:w="3555" w:type="dxa"/>
            <w:vAlign w:val="center"/>
          </w:tcPr>
          <w:p>
            <w:pPr>
              <w:spacing w:line="400" w:lineRule="exact"/>
              <w:jc w:val="left"/>
              <w:rPr>
                <w:rFonts w:hint="eastAsia" w:ascii="仿宋_GB2312" w:eastAsia="仿宋_GB2312" w:hAnsiTheme="minorEastAsia"/>
                <w:szCs w:val="21"/>
                <w:lang w:eastAsia="zh-CN"/>
              </w:rPr>
            </w:pPr>
            <w:r>
              <w:rPr>
                <w:rFonts w:hint="eastAsia" w:ascii="仿宋_GB2312" w:eastAsia="仿宋_GB2312" w:hAnsiTheme="minorEastAsia"/>
                <w:szCs w:val="21"/>
              </w:rPr>
              <w:t>改善群众的生产生活条件，方便村民的生产生活条件</w:t>
            </w:r>
            <w:r>
              <w:rPr>
                <w:rFonts w:hint="eastAsia" w:ascii="仿宋_GB2312" w:eastAsia="仿宋_GB2312" w:hAnsiTheme="minorEastAsia"/>
                <w:szCs w:val="21"/>
                <w:lang w:eastAsia="zh-CN"/>
              </w:rPr>
              <w:t>。</w:t>
            </w:r>
          </w:p>
        </w:tc>
        <w:tc>
          <w:tcPr>
            <w:tcW w:w="1460"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有效改善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658" w:type="dxa"/>
            <w:vMerge w:val="continue"/>
            <w:vAlign w:val="center"/>
          </w:tcPr>
          <w:p>
            <w:pPr>
              <w:spacing w:line="400" w:lineRule="exact"/>
              <w:jc w:val="center"/>
              <w:rPr>
                <w:rFonts w:hint="eastAsia" w:ascii="仿宋_GB2312" w:eastAsia="仿宋_GB2312" w:hAnsiTheme="minorEastAsia"/>
                <w:szCs w:val="21"/>
              </w:rPr>
            </w:pPr>
          </w:p>
        </w:tc>
        <w:tc>
          <w:tcPr>
            <w:tcW w:w="1244" w:type="dxa"/>
            <w:vMerge w:val="continue"/>
            <w:vAlign w:val="center"/>
          </w:tcPr>
          <w:p>
            <w:pPr>
              <w:spacing w:line="400" w:lineRule="exact"/>
              <w:jc w:val="center"/>
              <w:rPr>
                <w:rFonts w:hint="eastAsia" w:ascii="仿宋_GB2312" w:eastAsia="仿宋_GB2312" w:hAnsiTheme="minorEastAsia"/>
                <w:szCs w:val="21"/>
              </w:rPr>
            </w:pPr>
          </w:p>
        </w:tc>
        <w:tc>
          <w:tcPr>
            <w:tcW w:w="1755" w:type="dxa"/>
            <w:vAlign w:val="center"/>
          </w:tcPr>
          <w:p>
            <w:pPr>
              <w:spacing w:line="400" w:lineRule="exact"/>
              <w:jc w:val="center"/>
              <w:rPr>
                <w:rFonts w:hint="eastAsia" w:ascii="仿宋_GB2312" w:eastAsia="仿宋_GB2312" w:hAnsiTheme="minorEastAsia"/>
                <w:szCs w:val="21"/>
                <w:lang w:val="en-US" w:eastAsia="zh-CN"/>
              </w:rPr>
            </w:pPr>
            <w:r>
              <w:rPr>
                <w:rFonts w:hint="eastAsia" w:ascii="仿宋_GB2312" w:eastAsia="仿宋_GB2312" w:hAnsiTheme="minorEastAsia"/>
                <w:szCs w:val="21"/>
                <w:lang w:val="en-US" w:eastAsia="zh-CN"/>
              </w:rPr>
              <w:t>可持续影响指标</w:t>
            </w:r>
          </w:p>
        </w:tc>
        <w:tc>
          <w:tcPr>
            <w:tcW w:w="3555" w:type="dxa"/>
            <w:vAlign w:val="center"/>
          </w:tcPr>
          <w:p>
            <w:pPr>
              <w:spacing w:line="400" w:lineRule="exact"/>
              <w:jc w:val="left"/>
              <w:rPr>
                <w:rFonts w:hint="eastAsia" w:ascii="仿宋_GB2312" w:eastAsia="仿宋_GB2312" w:hAnsiTheme="minorEastAsia"/>
                <w:szCs w:val="21"/>
              </w:rPr>
            </w:pPr>
            <w:r>
              <w:rPr>
                <w:rFonts w:hint="eastAsia" w:ascii="仿宋_GB2312" w:eastAsia="仿宋_GB2312" w:hAnsiTheme="minorEastAsia"/>
                <w:szCs w:val="21"/>
              </w:rPr>
              <w:t>创建项目具有可持续性</w:t>
            </w:r>
          </w:p>
        </w:tc>
        <w:tc>
          <w:tcPr>
            <w:tcW w:w="1460" w:type="dxa"/>
            <w:vAlign w:val="center"/>
          </w:tcPr>
          <w:p>
            <w:pPr>
              <w:spacing w:line="400" w:lineRule="exact"/>
              <w:jc w:val="center"/>
              <w:rPr>
                <w:rFonts w:hint="eastAsia" w:ascii="仿宋_GB2312" w:eastAsia="仿宋_GB2312" w:hAnsiTheme="minorEastAsia"/>
                <w:szCs w:val="21"/>
                <w:lang w:val="en-US" w:eastAsia="zh-CN"/>
              </w:rPr>
            </w:pPr>
            <w:r>
              <w:rPr>
                <w:rFonts w:hint="eastAsia" w:ascii="仿宋_GB2312" w:eastAsia="仿宋_GB2312" w:hAnsiTheme="minorEastAsia"/>
                <w:szCs w:val="21"/>
                <w:lang w:val="en-US" w:eastAsia="zh-CN"/>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658" w:type="dxa"/>
            <w:vMerge w:val="continue"/>
            <w:vAlign w:val="center"/>
          </w:tcPr>
          <w:p>
            <w:pPr>
              <w:spacing w:line="400" w:lineRule="exact"/>
              <w:jc w:val="center"/>
              <w:rPr>
                <w:rFonts w:hint="eastAsia" w:ascii="仿宋_GB2312" w:eastAsia="仿宋_GB2312" w:hAnsiTheme="minorEastAsia"/>
                <w:szCs w:val="21"/>
              </w:rPr>
            </w:pPr>
          </w:p>
        </w:tc>
        <w:tc>
          <w:tcPr>
            <w:tcW w:w="1244"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满意度指标</w:t>
            </w:r>
          </w:p>
        </w:tc>
        <w:tc>
          <w:tcPr>
            <w:tcW w:w="1755"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服务对象满意度指标</w:t>
            </w:r>
          </w:p>
        </w:tc>
        <w:tc>
          <w:tcPr>
            <w:tcW w:w="3555" w:type="dxa"/>
            <w:vAlign w:val="center"/>
          </w:tcPr>
          <w:p>
            <w:pPr>
              <w:spacing w:line="400" w:lineRule="exact"/>
              <w:jc w:val="left"/>
              <w:rPr>
                <w:rFonts w:hint="eastAsia" w:ascii="仿宋_GB2312" w:eastAsia="仿宋_GB2312" w:hAnsiTheme="minorEastAsia"/>
                <w:szCs w:val="21"/>
              </w:rPr>
            </w:pPr>
            <w:r>
              <w:rPr>
                <w:rFonts w:hint="eastAsia" w:ascii="仿宋_GB2312" w:eastAsia="仿宋_GB2312" w:hAnsiTheme="minorEastAsia"/>
                <w:szCs w:val="21"/>
                <w:lang w:val="en-US" w:eastAsia="zh-CN"/>
              </w:rPr>
              <w:t>受益</w:t>
            </w:r>
            <w:r>
              <w:rPr>
                <w:rFonts w:hint="eastAsia" w:ascii="仿宋_GB2312" w:eastAsia="仿宋_GB2312" w:hAnsiTheme="minorEastAsia"/>
                <w:szCs w:val="21"/>
              </w:rPr>
              <w:t>群众满意度</w:t>
            </w:r>
          </w:p>
        </w:tc>
        <w:tc>
          <w:tcPr>
            <w:tcW w:w="1460" w:type="dxa"/>
            <w:vAlign w:val="center"/>
          </w:tcPr>
          <w:p>
            <w:pPr>
              <w:spacing w:line="400" w:lineRule="exact"/>
              <w:jc w:val="center"/>
              <w:rPr>
                <w:rFonts w:hint="eastAsia" w:ascii="仿宋_GB2312" w:eastAsia="仿宋_GB2312" w:hAnsiTheme="minorEastAsia"/>
                <w:szCs w:val="21"/>
              </w:rPr>
            </w:pPr>
            <w:r>
              <w:rPr>
                <w:rFonts w:hint="eastAsia" w:ascii="仿宋_GB2312" w:eastAsia="仿宋_GB2312" w:hAnsiTheme="minorEastAsia"/>
                <w:szCs w:val="21"/>
              </w:rPr>
              <w:t>≥90%</w:t>
            </w:r>
          </w:p>
        </w:tc>
      </w:tr>
    </w:tbl>
    <w:p>
      <w:pPr>
        <w:spacing w:line="560" w:lineRule="exact"/>
        <w:ind w:left="0" w:firstLine="560" w:firstLineChars="200"/>
        <w:jc w:val="left"/>
        <w:rPr>
          <w:rFonts w:hint="eastAsia" w:ascii="宋体" w:hAnsi="宋体"/>
          <w:bCs/>
          <w:sz w:val="32"/>
          <w:szCs w:val="32"/>
        </w:rPr>
      </w:pPr>
      <w:r>
        <w:rPr>
          <w:rFonts w:ascii="Times New Roman" w:hAnsi="Times New Roman" w:eastAsia="仿宋_GB2312" w:cs="Times New Roman"/>
          <w:sz w:val="28"/>
          <w:szCs w:val="28"/>
        </w:rPr>
        <w:t>  </w:t>
      </w:r>
      <w:r>
        <w:rPr>
          <w:rFonts w:hint="eastAsia" w:ascii="宋体" w:hAnsi="宋体"/>
          <w:bCs/>
          <w:sz w:val="32"/>
          <w:szCs w:val="32"/>
        </w:rPr>
        <w:t>四、绩效评价指标分析</w:t>
      </w:r>
    </w:p>
    <w:p>
      <w:pPr>
        <w:spacing w:line="560" w:lineRule="exact"/>
        <w:ind w:left="0" w:firstLine="640" w:firstLineChars="200"/>
        <w:jc w:val="left"/>
        <w:rPr>
          <w:rFonts w:hint="eastAsia" w:ascii="仿宋_GB2312" w:eastAsia="仿宋_GB2312"/>
          <w:sz w:val="32"/>
          <w:szCs w:val="32"/>
        </w:rPr>
      </w:pPr>
      <w:r>
        <w:rPr>
          <w:rFonts w:hint="eastAsia" w:ascii="仿宋_GB2312" w:eastAsia="仿宋_GB2312"/>
          <w:sz w:val="32"/>
          <w:szCs w:val="32"/>
        </w:rPr>
        <w:t>（一）项目决策情况。</w:t>
      </w:r>
    </w:p>
    <w:p>
      <w:pPr>
        <w:spacing w:line="600" w:lineRule="exact"/>
        <w:ind w:left="0" w:firstLine="640" w:firstLineChars="200"/>
        <w:textAlignment w:val="auto"/>
        <w:rPr>
          <w:rFonts w:hint="eastAsia"/>
          <w:lang w:val="en-US" w:eastAsia="zh-CN"/>
        </w:rPr>
      </w:pPr>
      <w:r>
        <w:rPr>
          <w:rFonts w:hint="eastAsia" w:ascii="仿宋_GB2312" w:eastAsia="仿宋_GB2312"/>
          <w:b w:val="0"/>
          <w:bCs/>
          <w:sz w:val="32"/>
          <w:szCs w:val="32"/>
          <w:lang w:val="en-US" w:eastAsia="zh-CN"/>
        </w:rPr>
        <w:t>法律援助及认罪认罚经费主要用于办理法律援助及认罪认罚案件支出，</w:t>
      </w: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560" w:lineRule="exact"/>
        <w:ind w:left="0" w:firstLine="640" w:firstLineChars="200"/>
        <w:jc w:val="left"/>
        <w:rPr>
          <w:rFonts w:hint="eastAsia" w:ascii="仿宋_GB2312" w:eastAsia="仿宋_GB2312"/>
          <w:sz w:val="32"/>
          <w:szCs w:val="32"/>
        </w:rPr>
      </w:pPr>
      <w:r>
        <w:rPr>
          <w:rFonts w:hint="eastAsia" w:ascii="仿宋_GB2312" w:eastAsia="仿宋_GB2312"/>
          <w:sz w:val="32"/>
          <w:szCs w:val="32"/>
        </w:rPr>
        <w:t>（二）项目过程情况。</w:t>
      </w:r>
    </w:p>
    <w:p>
      <w:pPr>
        <w:pStyle w:val="2"/>
        <w:rPr>
          <w:rFonts w:hint="default" w:ascii="仿宋_GB2312" w:hAnsi="Times New Roman" w:eastAsia="仿宋_GB2312" w:cs="Times New Roman"/>
          <w:b w:val="0"/>
          <w:bCs/>
          <w:kern w:val="0"/>
          <w:sz w:val="32"/>
          <w:szCs w:val="32"/>
          <w:lang w:val="en-US" w:eastAsia="zh-CN" w:bidi="ar-SA"/>
        </w:rPr>
      </w:pPr>
      <w:r>
        <w:rPr>
          <w:rFonts w:hint="eastAsia" w:ascii="仿宋_GB2312" w:hAnsi="Times New Roman" w:eastAsia="仿宋_GB2312" w:cs="Times New Roman"/>
          <w:b w:val="0"/>
          <w:bCs/>
          <w:kern w:val="0"/>
          <w:sz w:val="32"/>
          <w:szCs w:val="32"/>
          <w:lang w:val="en-US" w:eastAsia="zh-CN" w:bidi="ar-SA"/>
        </w:rPr>
        <w:t>资金到位10万元，到位率100%，支出10万元，使用率100%。该项目资金严格按照相关要求使用，专款专用。</w:t>
      </w:r>
    </w:p>
    <w:p>
      <w:pPr>
        <w:spacing w:line="560" w:lineRule="exact"/>
        <w:ind w:left="0" w:firstLine="640" w:firstLineChars="200"/>
        <w:jc w:val="left"/>
        <w:rPr>
          <w:rFonts w:hint="eastAsia" w:ascii="仿宋_GB2312" w:eastAsia="仿宋_GB2312"/>
          <w:sz w:val="32"/>
          <w:szCs w:val="32"/>
        </w:rPr>
      </w:pPr>
      <w:r>
        <w:rPr>
          <w:rFonts w:hint="eastAsia" w:ascii="仿宋_GB2312" w:eastAsia="仿宋_GB2312"/>
          <w:sz w:val="32"/>
          <w:szCs w:val="32"/>
        </w:rPr>
        <w:t>（三）项目产出情况。</w:t>
      </w:r>
    </w:p>
    <w:p>
      <w:pPr>
        <w:spacing w:line="560" w:lineRule="exact"/>
        <w:ind w:left="0" w:firstLine="640" w:firstLineChars="200"/>
        <w:jc w:val="left"/>
        <w:rPr>
          <w:rFonts w:hint="eastAsia" w:ascii="仿宋_GB2312" w:eastAsia="仿宋_GB2312"/>
          <w:sz w:val="32"/>
          <w:szCs w:val="32"/>
        </w:rPr>
      </w:pPr>
      <w:r>
        <w:rPr>
          <w:rFonts w:hint="eastAsia" w:ascii="仿宋_GB2312" w:eastAsia="仿宋_GB2312"/>
          <w:sz w:val="32"/>
          <w:szCs w:val="32"/>
        </w:rPr>
        <w:t>全年办理法律援助及认罪认罚案件500多件，项目支出10万元。</w:t>
      </w:r>
    </w:p>
    <w:p>
      <w:pPr>
        <w:spacing w:line="560" w:lineRule="exact"/>
        <w:ind w:left="0" w:firstLine="640" w:firstLineChars="200"/>
        <w:jc w:val="left"/>
        <w:rPr>
          <w:rFonts w:hint="eastAsia" w:ascii="仿宋_GB2312" w:eastAsia="仿宋_GB2312"/>
          <w:sz w:val="32"/>
          <w:szCs w:val="32"/>
        </w:rPr>
      </w:pPr>
      <w:r>
        <w:rPr>
          <w:rFonts w:hint="eastAsia" w:ascii="仿宋_GB2312" w:eastAsia="仿宋_GB2312"/>
          <w:sz w:val="32"/>
          <w:szCs w:val="32"/>
        </w:rPr>
        <w:t>（四）项目效益情况。</w:t>
      </w:r>
    </w:p>
    <w:p>
      <w:pPr>
        <w:spacing w:line="560" w:lineRule="exact"/>
        <w:ind w:left="0" w:firstLine="640" w:firstLineChars="200"/>
        <w:jc w:val="left"/>
        <w:rPr>
          <w:rFonts w:hint="eastAsia" w:ascii="宋体" w:hAnsi="宋体"/>
          <w:bCs/>
          <w:sz w:val="32"/>
          <w:szCs w:val="32"/>
        </w:rPr>
      </w:pPr>
      <w:r>
        <w:rPr>
          <w:rFonts w:hint="eastAsia" w:ascii="仿宋_GB2312" w:eastAsia="仿宋_GB2312"/>
          <w:sz w:val="32"/>
          <w:szCs w:val="32"/>
        </w:rPr>
        <w:t>进一步提高我县律师、基层法律工作者参与法律援助工作的积极性和主动性，不断提高办案质量，为受援人提供优质高效的法律服务，使法律援助机构充分发挥“社会弱势群体法律保护伞”的职能，有效保障受援人的合法权益，促进社会和谐稳定</w:t>
      </w:r>
      <w:r>
        <w:rPr>
          <w:rFonts w:hint="eastAsia" w:ascii="宋体" w:hAnsi="宋体"/>
          <w:bCs/>
          <w:sz w:val="32"/>
          <w:szCs w:val="32"/>
        </w:rPr>
        <w:t>。</w:t>
      </w:r>
    </w:p>
    <w:p>
      <w:pPr>
        <w:spacing w:line="560" w:lineRule="exact"/>
        <w:ind w:left="0" w:firstLine="640" w:firstLineChars="200"/>
        <w:jc w:val="left"/>
        <w:rPr>
          <w:rFonts w:hint="eastAsia" w:ascii="宋体" w:hAnsi="宋体"/>
          <w:bCs/>
          <w:sz w:val="32"/>
          <w:szCs w:val="32"/>
        </w:rPr>
      </w:pPr>
      <w:bookmarkStart w:id="0" w:name="_GoBack"/>
      <w:bookmarkEnd w:id="0"/>
      <w:r>
        <w:rPr>
          <w:rFonts w:hint="eastAsia" w:ascii="宋体" w:hAnsi="宋体"/>
          <w:bCs/>
          <w:sz w:val="32"/>
          <w:szCs w:val="32"/>
        </w:rPr>
        <w:t>五、主要经验及做法、存在的问题及原因分析</w:t>
      </w:r>
    </w:p>
    <w:p>
      <w:pPr>
        <w:pStyle w:val="2"/>
        <w:rPr>
          <w:rFonts w:hint="eastAsia" w:ascii="仿宋_GB2312" w:hAnsi="Times New Roman" w:eastAsia="仿宋_GB2312" w:cs="Times New Roman"/>
          <w:b w:val="0"/>
          <w:bCs/>
          <w:kern w:val="0"/>
          <w:sz w:val="32"/>
          <w:szCs w:val="32"/>
          <w:lang w:val="en-US" w:eastAsia="zh-CN" w:bidi="ar-SA"/>
        </w:rPr>
      </w:pPr>
      <w:r>
        <w:rPr>
          <w:rFonts w:hint="eastAsia" w:ascii="仿宋_GB2312" w:hAnsi="Times New Roman" w:eastAsia="仿宋_GB2312" w:cs="Times New Roman"/>
          <w:b w:val="0"/>
          <w:bCs/>
          <w:kern w:val="0"/>
          <w:sz w:val="32"/>
          <w:szCs w:val="32"/>
          <w:lang w:val="en-US" w:eastAsia="zh-CN" w:bidi="ar-SA"/>
        </w:rPr>
        <w:t>加强专项资金绩效管理。通过2022年度专项绩效评价工作的开展，进一步加强专项支出的绩效管理，完善业务和财务管理制度，健全和落实财务监控机制，有效提高专项资金的使用效益和效率，确保财政资金的使用绩效。</w:t>
      </w:r>
    </w:p>
    <w:p>
      <w:pPr>
        <w:spacing w:line="560" w:lineRule="exact"/>
        <w:ind w:left="0" w:firstLine="640" w:firstLineChars="200"/>
        <w:jc w:val="left"/>
        <w:rPr>
          <w:rFonts w:hint="eastAsia" w:ascii="宋体" w:hAnsi="宋体"/>
          <w:bCs/>
          <w:sz w:val="32"/>
          <w:szCs w:val="32"/>
        </w:rPr>
      </w:pPr>
      <w:r>
        <w:rPr>
          <w:rFonts w:hint="eastAsia" w:ascii="宋体" w:hAnsi="宋体"/>
          <w:bCs/>
          <w:sz w:val="32"/>
          <w:szCs w:val="32"/>
        </w:rPr>
        <w:t>六、有关建议</w:t>
      </w:r>
    </w:p>
    <w:p>
      <w:pPr>
        <w:pStyle w:val="2"/>
        <w:ind w:firstLine="640" w:firstLineChars="200"/>
        <w:rPr>
          <w:rFonts w:hint="eastAsia" w:ascii="仿宋_GB2312" w:hAnsi="Times New Roman" w:eastAsia="仿宋_GB2312" w:cs="Times New Roman"/>
          <w:b w:val="0"/>
          <w:bCs/>
          <w:kern w:val="0"/>
          <w:sz w:val="32"/>
          <w:szCs w:val="32"/>
          <w:lang w:val="en-US" w:eastAsia="zh-CN" w:bidi="ar-SA"/>
        </w:rPr>
      </w:pPr>
      <w:r>
        <w:rPr>
          <w:rFonts w:hint="eastAsia" w:ascii="仿宋_GB2312" w:hAnsi="Times New Roman" w:eastAsia="仿宋_GB2312" w:cs="Times New Roman"/>
          <w:b w:val="0"/>
          <w:bCs/>
          <w:kern w:val="0"/>
          <w:sz w:val="32"/>
          <w:szCs w:val="32"/>
          <w:lang w:val="en-US" w:eastAsia="zh-CN" w:bidi="ar-SA"/>
        </w:rPr>
        <w:t>一是完善预算编制，加大预算统筹力度，对政府性资金综合考虑、统一管理、统筹安排，提高预算的约束力。二是建立健全分工明晰、责任明确、相互制约的资金分配、使用、监督机制，明确项目主管部门、项目实施单位和财政部门的职责和权力，为资金规范分配使用提供制度保证。</w:t>
      </w:r>
    </w:p>
    <w:p>
      <w:pPr>
        <w:spacing w:line="560" w:lineRule="exact"/>
        <w:ind w:left="0" w:firstLine="640" w:firstLineChars="200"/>
        <w:jc w:val="left"/>
        <w:rPr>
          <w:rFonts w:hint="eastAsia" w:ascii="宋体" w:hAnsi="宋体"/>
          <w:bCs/>
          <w:sz w:val="32"/>
          <w:szCs w:val="32"/>
        </w:rPr>
      </w:pPr>
      <w:r>
        <w:rPr>
          <w:rFonts w:hint="eastAsia" w:ascii="宋体" w:hAnsi="宋体"/>
          <w:bCs/>
          <w:sz w:val="32"/>
          <w:szCs w:val="32"/>
        </w:rPr>
        <w:t>七、其他需要说明的问题</w:t>
      </w:r>
    </w:p>
    <w:p>
      <w:pPr>
        <w:spacing w:line="560" w:lineRule="exact"/>
        <w:ind w:left="0" w:firstLine="640" w:firstLineChars="200"/>
        <w:jc w:val="left"/>
        <w:rPr>
          <w:rFonts w:hint="eastAsia" w:ascii="仿宋_GB2312" w:hAnsi="Times New Roman" w:eastAsia="仿宋_GB2312" w:cs="Times New Roman"/>
          <w:b w:val="0"/>
          <w:bCs/>
          <w:kern w:val="0"/>
          <w:sz w:val="32"/>
          <w:szCs w:val="32"/>
          <w:lang w:val="en-US" w:eastAsia="zh-CN" w:bidi="ar-SA"/>
        </w:rPr>
      </w:pPr>
      <w:r>
        <w:rPr>
          <w:rFonts w:hint="eastAsia" w:ascii="仿宋_GB2312" w:hAnsi="Times New Roman" w:eastAsia="仿宋_GB2312" w:cs="Times New Roman"/>
          <w:b w:val="0"/>
          <w:bCs/>
          <w:kern w:val="0"/>
          <w:sz w:val="32"/>
          <w:szCs w:val="32"/>
          <w:lang w:val="en-US" w:eastAsia="zh-CN" w:bidi="ar-SA"/>
        </w:rPr>
        <w:t>无他需要说明的问题</w:t>
      </w:r>
    </w:p>
    <w:p>
      <w:pPr>
        <w:spacing w:line="560" w:lineRule="exact"/>
        <w:ind w:left="0" w:firstLine="640" w:firstLineChars="200"/>
        <w:jc w:val="left"/>
        <w:rPr>
          <w:rFonts w:hint="eastAsia" w:ascii="宋体" w:hAnsi="宋体"/>
          <w:bCs/>
          <w:sz w:val="32"/>
          <w:szCs w:val="32"/>
        </w:rPr>
      </w:pPr>
    </w:p>
    <w:p>
      <w:pPr>
        <w:pStyle w:val="3"/>
        <w:widowControl w:val="0"/>
        <w:spacing w:before="0" w:beforeAutospacing="0" w:after="0" w:afterAutospacing="0" w:line="520" w:lineRule="exact"/>
        <w:rPr>
          <w:rFonts w:ascii="Times New Roman" w:hAnsi="Times New Roman" w:eastAsia="仿宋_GB2312" w:cs="Times New Roman"/>
          <w:sz w:val="28"/>
          <w:szCs w:val="28"/>
        </w:rPr>
      </w:pPr>
    </w:p>
    <w:p>
      <w:pPr>
        <w:ind w:left="7840" w:hanging="7840" w:hangingChars="2800"/>
        <w:rPr>
          <w:rFonts w:hint="eastAsia"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项目单位（签）                        </w:t>
      </w:r>
    </w:p>
    <w:p>
      <w:pPr>
        <w:ind w:firstLine="5600" w:firstLineChars="2000"/>
        <w:rPr>
          <w:rFonts w:eastAsia="仿宋_GB2312"/>
          <w:sz w:val="28"/>
          <w:szCs w:val="28"/>
        </w:rPr>
      </w:pPr>
      <w:r>
        <w:rPr>
          <w:rFonts w:hint="default" w:eastAsia="仿宋_GB2312"/>
          <w:sz w:val="28"/>
          <w:szCs w:val="28"/>
        </w:rPr>
        <w:t> 202</w:t>
      </w:r>
      <w:r>
        <w:rPr>
          <w:rFonts w:hint="eastAsia" w:eastAsia="仿宋_GB2312"/>
          <w:sz w:val="28"/>
          <w:szCs w:val="28"/>
          <w:lang w:val="en-US" w:eastAsia="zh-CN"/>
        </w:rPr>
        <w:t>3</w:t>
      </w:r>
      <w:r>
        <w:rPr>
          <w:rFonts w:hint="default" w:eastAsia="仿宋_GB2312"/>
          <w:sz w:val="28"/>
          <w:szCs w:val="28"/>
        </w:rPr>
        <w:t>年5   月</w:t>
      </w:r>
      <w:r>
        <w:rPr>
          <w:rFonts w:hint="eastAsia" w:eastAsia="仿宋_GB2312"/>
          <w:sz w:val="28"/>
          <w:szCs w:val="28"/>
          <w:lang w:val="en-US" w:eastAsia="zh-CN"/>
        </w:rPr>
        <w:t>10</w:t>
      </w:r>
      <w:r>
        <w:rPr>
          <w:rFonts w:hint="default" w:eastAsia="仿宋_GB2312"/>
          <w:sz w:val="28"/>
          <w:szCs w:val="28"/>
        </w:rPr>
        <w:t>  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jZTI5YTRkZTBmMzUwOWMwZDZjYmQ0ZTMxMjRlNWEifQ=="/>
  </w:docVars>
  <w:rsids>
    <w:rsidRoot w:val="00000000"/>
    <w:rsid w:val="0A2F3910"/>
    <w:rsid w:val="0EAD6646"/>
    <w:rsid w:val="18A71757"/>
    <w:rsid w:val="3D10710C"/>
    <w:rsid w:val="4B163B58"/>
    <w:rsid w:val="5C735E44"/>
    <w:rsid w:val="5E1A7241"/>
    <w:rsid w:val="73F81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955</Words>
  <Characters>989</Characters>
  <Lines>0</Lines>
  <Paragraphs>0</Paragraphs>
  <TotalTime>0</TotalTime>
  <ScaleCrop>false</ScaleCrop>
  <LinksUpToDate>false</LinksUpToDate>
  <CharactersWithSpaces>1074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答案</cp:lastModifiedBy>
  <dcterms:modified xsi:type="dcterms:W3CDTF">2023-06-02T09:08:42Z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9A6B76F5F59648359911104D9CCE6B01</vt:lpwstr>
  </property>
</Properties>
</file>