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left="0"/>
        <w:jc w:val="left"/>
        <w:rPr>
          <w:sz w:val="24"/>
        </w:rPr>
      </w:pPr>
      <w:r>
        <w:rPr>
          <w:rFonts w:hint="eastAsia" w:ascii="仿宋_GB2312" w:hAnsi="仿宋_GB2312" w:eastAsia="仿宋_GB2312" w:cs="仿宋_GB2312"/>
          <w:sz w:val="24"/>
        </w:rPr>
        <w:t>附件1-1</w:t>
      </w:r>
    </w:p>
    <w:p>
      <w:pPr>
        <w:spacing w:line="500" w:lineRule="exact"/>
        <w:jc w:val="center"/>
        <w:rPr>
          <w:rFonts w:hint="eastAsia" w:eastAsia="方正粗宋简体"/>
          <w:w w:val="85"/>
          <w:sz w:val="36"/>
          <w:szCs w:val="36"/>
        </w:rPr>
      </w:pPr>
      <w:r>
        <w:rPr>
          <w:rFonts w:eastAsia="方正粗宋简体"/>
          <w:w w:val="85"/>
          <w:sz w:val="36"/>
          <w:szCs w:val="36"/>
        </w:rPr>
        <w:t>202</w:t>
      </w:r>
      <w:r>
        <w:rPr>
          <w:rFonts w:hint="eastAsia" w:eastAsia="方正粗宋简体"/>
          <w:w w:val="85"/>
          <w:sz w:val="36"/>
          <w:szCs w:val="36"/>
        </w:rPr>
        <w:t>1</w:t>
      </w:r>
      <w:r>
        <w:rPr>
          <w:rFonts w:hAnsi="方正粗宋简体" w:eastAsia="方正粗宋简体"/>
          <w:w w:val="85"/>
          <w:sz w:val="36"/>
          <w:szCs w:val="36"/>
        </w:rPr>
        <w:t>年度新晃县</w:t>
      </w:r>
      <w:r>
        <w:rPr>
          <w:rFonts w:hint="eastAsia" w:hAnsi="方正粗宋简体" w:eastAsia="方正粗宋简体"/>
          <w:w w:val="85"/>
          <w:sz w:val="36"/>
          <w:szCs w:val="36"/>
          <w:lang w:eastAsia="zh-CN"/>
        </w:rPr>
        <w:t>司法局</w:t>
      </w:r>
      <w:r>
        <w:rPr>
          <w:rFonts w:hAnsi="方正粗宋简体" w:eastAsia="方正粗宋简体"/>
          <w:w w:val="85"/>
          <w:sz w:val="36"/>
          <w:szCs w:val="36"/>
        </w:rPr>
        <w:t>部门（单位）整体支出绩效</w:t>
      </w:r>
      <w:r>
        <w:rPr>
          <w:rFonts w:hint="eastAsia" w:hAnsi="方正粗宋简体" w:eastAsia="方正粗宋简体"/>
          <w:w w:val="85"/>
          <w:sz w:val="36"/>
          <w:szCs w:val="36"/>
        </w:rPr>
        <w:t>自评表</w:t>
      </w:r>
    </w:p>
    <w:tbl>
      <w:tblPr>
        <w:tblStyle w:val="5"/>
        <w:tblW w:w="14417" w:type="dxa"/>
        <w:jc w:val="center"/>
        <w:tblCellSpacing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079"/>
        <w:gridCol w:w="1179"/>
        <w:gridCol w:w="1226"/>
        <w:gridCol w:w="701"/>
        <w:gridCol w:w="4750"/>
        <w:gridCol w:w="3123"/>
        <w:gridCol w:w="1614"/>
        <w:gridCol w:w="74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88" w:hRule="atLeast"/>
          <w:tblHeader/>
          <w:tblCellSpacing w:w="0" w:type="dxa"/>
          <w:jc w:val="center"/>
        </w:trPr>
        <w:tc>
          <w:tcPr>
            <w:tcW w:w="1079" w:type="dxa"/>
            <w:noWrap w:val="0"/>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一级指标</w:t>
            </w:r>
          </w:p>
        </w:tc>
        <w:tc>
          <w:tcPr>
            <w:tcW w:w="1179" w:type="dxa"/>
            <w:noWrap w:val="0"/>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二级指标</w:t>
            </w:r>
          </w:p>
        </w:tc>
        <w:tc>
          <w:tcPr>
            <w:tcW w:w="1226" w:type="dxa"/>
            <w:noWrap w:val="0"/>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三级指标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分值</w:t>
            </w:r>
          </w:p>
        </w:tc>
        <w:tc>
          <w:tcPr>
            <w:tcW w:w="4750" w:type="dxa"/>
            <w:noWrap w:val="0"/>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指标内容</w:t>
            </w:r>
          </w:p>
        </w:tc>
        <w:tc>
          <w:tcPr>
            <w:tcW w:w="3123" w:type="dxa"/>
            <w:noWrap w:val="0"/>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指标评价标</w:t>
            </w:r>
            <w:r>
              <w:rPr>
                <w:rFonts w:hint="eastAsia" w:eastAsia="楷体_GB2312"/>
              </w:rPr>
              <w:t>准</w:t>
            </w:r>
            <w:r>
              <w:rPr>
                <w:rFonts w:eastAsia="楷体_GB2312"/>
              </w:rPr>
              <w:t>及对应分值</w:t>
            </w:r>
          </w:p>
        </w:tc>
        <w:tc>
          <w:tcPr>
            <w:tcW w:w="1614" w:type="dxa"/>
            <w:noWrap w:val="0"/>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指标实际完成情况及依据</w:t>
            </w:r>
          </w:p>
        </w:tc>
        <w:tc>
          <w:tcPr>
            <w:tcW w:w="745" w:type="dxa"/>
            <w:noWrap w:val="0"/>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得分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0" w:hRule="atLeast"/>
          <w:tblCellSpacing w:w="0" w:type="dxa"/>
          <w:jc w:val="center"/>
        </w:trPr>
        <w:tc>
          <w:tcPr>
            <w:tcW w:w="10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投入</w:t>
            </w:r>
          </w:p>
          <w:p>
            <w:pPr>
              <w:spacing w:before="100" w:beforeAutospacing="1" w:after="100" w:afterAutospacing="1"/>
              <w:jc w:val="center"/>
              <w:rPr>
                <w:rFonts w:eastAsia="楷体_GB2312"/>
                <w:sz w:val="18"/>
                <w:szCs w:val="18"/>
              </w:rPr>
            </w:pPr>
            <w:r>
              <w:rPr>
                <w:rFonts w:eastAsia="楷体_GB2312"/>
                <w:sz w:val="18"/>
                <w:szCs w:val="18"/>
              </w:rPr>
              <w:t>(共</w:t>
            </w:r>
            <w:r>
              <w:rPr>
                <w:rFonts w:hint="eastAsia" w:eastAsia="楷体_GB2312"/>
                <w:sz w:val="18"/>
                <w:szCs w:val="18"/>
              </w:rPr>
              <w:t>14</w:t>
            </w:r>
            <w:r>
              <w:rPr>
                <w:rFonts w:eastAsia="楷体_GB2312"/>
                <w:sz w:val="18"/>
                <w:szCs w:val="18"/>
              </w:rPr>
              <w:t>分)</w:t>
            </w:r>
          </w:p>
        </w:tc>
        <w:tc>
          <w:tcPr>
            <w:tcW w:w="11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预算编制(共</w:t>
            </w:r>
            <w:r>
              <w:rPr>
                <w:rFonts w:hint="eastAsia" w:eastAsia="楷体_GB2312"/>
                <w:sz w:val="18"/>
                <w:szCs w:val="18"/>
              </w:rPr>
              <w:t>5</w:t>
            </w:r>
            <w:r>
              <w:rPr>
                <w:rFonts w:eastAsia="楷体_GB2312"/>
                <w:sz w:val="18"/>
                <w:szCs w:val="18"/>
              </w:rPr>
              <w:t>分)</w:t>
            </w: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整体绩效</w:t>
            </w:r>
          </w:p>
          <w:p>
            <w:pPr>
              <w:spacing w:line="300" w:lineRule="exact"/>
              <w:jc w:val="center"/>
              <w:rPr>
                <w:rFonts w:eastAsia="楷体_GB2312"/>
                <w:sz w:val="18"/>
                <w:szCs w:val="18"/>
              </w:rPr>
            </w:pPr>
            <w:r>
              <w:rPr>
                <w:rFonts w:eastAsia="楷体_GB2312"/>
                <w:sz w:val="18"/>
                <w:szCs w:val="18"/>
              </w:rPr>
              <w:t>目标设定</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2.</w:t>
            </w:r>
            <w:r>
              <w:rPr>
                <w:rFonts w:eastAsia="楷体_GB2312"/>
                <w:sz w:val="18"/>
                <w:szCs w:val="18"/>
              </w:rPr>
              <w:t>5</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部门（含所属二级预算单位，下同）或单位是否制定了年度预算整体绩效目标；整体绩效目标制定依据是否充分，是否与部门履职、年度工作任务相符；整体绩效目标是否清晰、细化、可衡量。</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设有整体绩效目标</w:t>
            </w:r>
            <w:r>
              <w:rPr>
                <w:rFonts w:hint="eastAsia" w:eastAsia="楷体_GB2312"/>
                <w:sz w:val="18"/>
                <w:szCs w:val="18"/>
              </w:rPr>
              <w:t>1</w:t>
            </w:r>
            <w:r>
              <w:rPr>
                <w:rFonts w:eastAsia="楷体_GB2312"/>
                <w:sz w:val="18"/>
                <w:szCs w:val="18"/>
              </w:rPr>
              <w:t>分；目标设定依据充分符合客观实际</w:t>
            </w:r>
            <w:r>
              <w:rPr>
                <w:rFonts w:hint="eastAsia" w:eastAsia="楷体_GB2312"/>
                <w:sz w:val="18"/>
                <w:szCs w:val="18"/>
              </w:rPr>
              <w:t>0.5</w:t>
            </w:r>
            <w:r>
              <w:rPr>
                <w:rFonts w:eastAsia="楷体_GB2312"/>
                <w:sz w:val="18"/>
                <w:szCs w:val="18"/>
              </w:rPr>
              <w:t>分；目标清晰、细化</w:t>
            </w:r>
            <w:r>
              <w:rPr>
                <w:rFonts w:hint="eastAsia" w:eastAsia="楷体_GB2312"/>
                <w:sz w:val="18"/>
                <w:szCs w:val="18"/>
              </w:rPr>
              <w:t>0.5</w:t>
            </w:r>
            <w:r>
              <w:rPr>
                <w:rFonts w:eastAsia="楷体_GB2312"/>
                <w:sz w:val="18"/>
                <w:szCs w:val="18"/>
              </w:rPr>
              <w:t>分；目标可衡量</w:t>
            </w:r>
            <w:r>
              <w:rPr>
                <w:rFonts w:hint="eastAsia" w:eastAsia="楷体_GB2312"/>
                <w:sz w:val="18"/>
                <w:szCs w:val="18"/>
              </w:rPr>
              <w:t>0.5</w:t>
            </w:r>
            <w:r>
              <w:rPr>
                <w:rFonts w:eastAsia="楷体_GB2312"/>
                <w:sz w:val="18"/>
                <w:szCs w:val="18"/>
              </w:rPr>
              <w:t>分。</w:t>
            </w:r>
          </w:p>
        </w:tc>
        <w:tc>
          <w:tcPr>
            <w:tcW w:w="1614" w:type="dxa"/>
            <w:noWrap w:val="0"/>
            <w:tcMar>
              <w:top w:w="0" w:type="dxa"/>
              <w:left w:w="105" w:type="dxa"/>
              <w:bottom w:w="0" w:type="dxa"/>
              <w:right w:w="105" w:type="dxa"/>
            </w:tcMar>
            <w:vAlign w:val="center"/>
          </w:tcPr>
          <w:p>
            <w:pPr>
              <w:ind w:left="1" w:leftChars="0"/>
              <w:jc w:val="center"/>
              <w:rPr>
                <w:rFonts w:hint="default" w:ascii="Times New Roman" w:hAnsi="Times New Roman" w:eastAsia="楷体_GB2312" w:cs="Times New Roman"/>
                <w:sz w:val="18"/>
                <w:szCs w:val="18"/>
                <w:lang w:val="en-US" w:eastAsia="zh-CN" w:bidi="ar-SA"/>
              </w:rPr>
            </w:pPr>
            <w:r>
              <w:rPr>
                <w:rFonts w:hint="eastAsia" w:eastAsia="楷体_GB2312"/>
                <w:sz w:val="18"/>
                <w:szCs w:val="18"/>
                <w:lang w:val="en-US" w:eastAsia="zh-CN"/>
              </w:rPr>
              <w:t>设有</w:t>
            </w:r>
            <w:r>
              <w:rPr>
                <w:rFonts w:eastAsia="楷体_GB2312"/>
                <w:sz w:val="18"/>
                <w:szCs w:val="18"/>
              </w:rPr>
              <w:t>整体绩效目标</w:t>
            </w:r>
            <w:r>
              <w:rPr>
                <w:rFonts w:hint="eastAsia" w:eastAsia="楷体_GB2312"/>
                <w:sz w:val="18"/>
                <w:szCs w:val="18"/>
                <w:lang w:eastAsia="zh-CN"/>
              </w:rPr>
              <w:t>，</w:t>
            </w:r>
            <w:r>
              <w:rPr>
                <w:rFonts w:hint="eastAsia" w:eastAsia="楷体_GB2312"/>
                <w:sz w:val="18"/>
                <w:szCs w:val="18"/>
                <w:lang w:val="en-US" w:eastAsia="zh-CN"/>
              </w:rPr>
              <w:t>目标设定依据基本符合客观实际，但是细化不够</w:t>
            </w:r>
          </w:p>
        </w:tc>
        <w:tc>
          <w:tcPr>
            <w:tcW w:w="745" w:type="dxa"/>
            <w:noWrap w:val="0"/>
            <w:tcMar>
              <w:top w:w="0" w:type="dxa"/>
              <w:left w:w="105" w:type="dxa"/>
              <w:bottom w:w="0" w:type="dxa"/>
              <w:right w:w="105" w:type="dxa"/>
            </w:tcMar>
            <w:vAlign w:val="center"/>
          </w:tcPr>
          <w:p>
            <w:pPr>
              <w:ind w:left="1" w:leftChars="0"/>
              <w:jc w:val="center"/>
              <w:rPr>
                <w:rFonts w:hint="eastAsia" w:ascii="Times New Roman" w:hAnsi="Times New Roman" w:eastAsia="楷体_GB2312" w:cs="Times New Roman"/>
                <w:lang w:val="en-US" w:eastAsia="zh-CN" w:bidi="ar-SA"/>
              </w:rPr>
            </w:pPr>
            <w:r>
              <w:rPr>
                <w:rFonts w:hint="eastAsia" w:eastAsia="楷体_GB2312"/>
                <w:lang w:val="en-US" w:eastAsia="zh-CN"/>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31"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项目绩效</w:t>
            </w:r>
          </w:p>
          <w:p>
            <w:pPr>
              <w:spacing w:line="300" w:lineRule="exact"/>
              <w:jc w:val="center"/>
              <w:rPr>
                <w:rFonts w:eastAsia="楷体_GB2312"/>
                <w:sz w:val="18"/>
                <w:szCs w:val="18"/>
              </w:rPr>
            </w:pPr>
            <w:r>
              <w:rPr>
                <w:rFonts w:eastAsia="楷体_GB2312"/>
                <w:sz w:val="18"/>
                <w:szCs w:val="18"/>
              </w:rPr>
              <w:t>目标设定</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2.</w:t>
            </w:r>
            <w:r>
              <w:rPr>
                <w:rFonts w:eastAsia="楷体_GB2312"/>
                <w:sz w:val="18"/>
                <w:szCs w:val="18"/>
              </w:rPr>
              <w:t>5</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是否科学、合理设立了项目绩效目标；目标明确；目标细化；目标量化。</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项目均设有绩效目标</w:t>
            </w:r>
            <w:r>
              <w:rPr>
                <w:rFonts w:hint="eastAsia" w:eastAsia="楷体_GB2312"/>
                <w:sz w:val="18"/>
                <w:szCs w:val="18"/>
              </w:rPr>
              <w:t>0.5</w:t>
            </w:r>
            <w:r>
              <w:rPr>
                <w:rFonts w:eastAsia="楷体_GB2312"/>
                <w:sz w:val="18"/>
                <w:szCs w:val="18"/>
              </w:rPr>
              <w:t>分；目标科学合理</w:t>
            </w:r>
            <w:r>
              <w:rPr>
                <w:rFonts w:hint="eastAsia" w:eastAsia="楷体_GB2312"/>
                <w:sz w:val="18"/>
                <w:szCs w:val="18"/>
              </w:rPr>
              <w:t>0.5</w:t>
            </w:r>
            <w:r>
              <w:rPr>
                <w:rFonts w:eastAsia="楷体_GB2312"/>
                <w:sz w:val="18"/>
                <w:szCs w:val="18"/>
              </w:rPr>
              <w:t>分；目标明确</w:t>
            </w:r>
            <w:r>
              <w:rPr>
                <w:rFonts w:hint="eastAsia" w:eastAsia="楷体_GB2312"/>
                <w:sz w:val="18"/>
                <w:szCs w:val="18"/>
              </w:rPr>
              <w:t>0.5</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目标细化</w:t>
            </w:r>
            <w:r>
              <w:rPr>
                <w:rFonts w:hint="eastAsia" w:eastAsia="楷体_GB2312"/>
                <w:sz w:val="18"/>
                <w:szCs w:val="18"/>
              </w:rPr>
              <w:t>0.5</w:t>
            </w:r>
            <w:r>
              <w:rPr>
                <w:rFonts w:eastAsia="楷体_GB2312"/>
                <w:sz w:val="18"/>
                <w:szCs w:val="18"/>
              </w:rPr>
              <w:t>分；目标量化</w:t>
            </w:r>
            <w:r>
              <w:rPr>
                <w:rFonts w:hint="eastAsia" w:eastAsia="楷体_GB2312"/>
                <w:sz w:val="18"/>
                <w:szCs w:val="18"/>
              </w:rPr>
              <w:t>0.5</w:t>
            </w:r>
            <w:r>
              <w:rPr>
                <w:rFonts w:eastAsia="楷体_GB2312"/>
                <w:sz w:val="18"/>
                <w:szCs w:val="18"/>
              </w:rPr>
              <w:t>分。</w:t>
            </w:r>
          </w:p>
        </w:tc>
        <w:tc>
          <w:tcPr>
            <w:tcW w:w="1614" w:type="dxa"/>
            <w:noWrap w:val="0"/>
            <w:tcMar>
              <w:top w:w="0" w:type="dxa"/>
              <w:left w:w="105" w:type="dxa"/>
              <w:bottom w:w="0" w:type="dxa"/>
              <w:right w:w="105" w:type="dxa"/>
            </w:tcMar>
            <w:vAlign w:val="center"/>
          </w:tcPr>
          <w:p>
            <w:pPr>
              <w:ind w:left="1" w:leftChars="0"/>
              <w:jc w:val="center"/>
              <w:rPr>
                <w:rFonts w:hint="default" w:ascii="Times New Roman" w:hAnsi="Times New Roman" w:eastAsia="楷体_GB2312" w:cs="Times New Roman"/>
                <w:sz w:val="18"/>
                <w:szCs w:val="18"/>
                <w:lang w:val="en-US" w:eastAsia="zh-CN" w:bidi="ar-SA"/>
              </w:rPr>
            </w:pPr>
            <w:r>
              <w:rPr>
                <w:rFonts w:eastAsia="楷体_GB2312"/>
                <w:sz w:val="18"/>
                <w:szCs w:val="18"/>
              </w:rPr>
              <w:t>项目均设有绩效目标</w:t>
            </w:r>
            <w:r>
              <w:rPr>
                <w:rFonts w:hint="eastAsia" w:eastAsia="楷体_GB2312"/>
                <w:sz w:val="18"/>
                <w:szCs w:val="18"/>
                <w:lang w:eastAsia="zh-CN"/>
              </w:rPr>
              <w:t>，</w:t>
            </w:r>
            <w:r>
              <w:rPr>
                <w:rFonts w:hint="eastAsia" w:eastAsia="楷体_GB2312"/>
                <w:sz w:val="18"/>
                <w:szCs w:val="18"/>
                <w:lang w:val="en-US" w:eastAsia="zh-CN"/>
              </w:rPr>
              <w:t>目标科学合理，基本明确、细化、量化</w:t>
            </w:r>
          </w:p>
        </w:tc>
        <w:tc>
          <w:tcPr>
            <w:tcW w:w="745" w:type="dxa"/>
            <w:noWrap w:val="0"/>
            <w:tcMar>
              <w:top w:w="0" w:type="dxa"/>
              <w:left w:w="105" w:type="dxa"/>
              <w:bottom w:w="0" w:type="dxa"/>
              <w:right w:w="105" w:type="dxa"/>
            </w:tcMar>
            <w:vAlign w:val="center"/>
          </w:tcPr>
          <w:p>
            <w:pPr>
              <w:ind w:left="1" w:leftChars="0"/>
              <w:jc w:val="center"/>
              <w:rPr>
                <w:rFonts w:hint="eastAsia" w:ascii="Times New Roman" w:hAnsi="Times New Roman" w:eastAsia="楷体_GB2312" w:cs="Times New Roman"/>
                <w:lang w:val="en-US" w:eastAsia="zh-CN" w:bidi="ar-SA"/>
              </w:rPr>
            </w:pPr>
            <w:r>
              <w:rPr>
                <w:rFonts w:hint="eastAsia" w:eastAsia="楷体_GB2312"/>
                <w:lang w:val="en-US" w:eastAsia="zh-CN"/>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527"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预算配置(共</w:t>
            </w:r>
            <w:r>
              <w:rPr>
                <w:rFonts w:hint="eastAsia" w:eastAsia="楷体_GB2312"/>
                <w:sz w:val="18"/>
                <w:szCs w:val="18"/>
              </w:rPr>
              <w:t>9</w:t>
            </w:r>
            <w:r>
              <w:rPr>
                <w:rFonts w:eastAsia="楷体_GB2312"/>
                <w:sz w:val="18"/>
                <w:szCs w:val="18"/>
              </w:rPr>
              <w:t>分)</w:t>
            </w: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在职人员</w:t>
            </w:r>
          </w:p>
          <w:p>
            <w:pPr>
              <w:spacing w:line="300" w:lineRule="exact"/>
              <w:jc w:val="center"/>
              <w:rPr>
                <w:rFonts w:eastAsia="楷体_GB2312"/>
                <w:sz w:val="18"/>
                <w:szCs w:val="18"/>
              </w:rPr>
            </w:pPr>
            <w:r>
              <w:rPr>
                <w:rFonts w:eastAsia="楷体_GB2312"/>
                <w:sz w:val="18"/>
                <w:szCs w:val="18"/>
              </w:rPr>
              <w:t>控制率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3</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在职人员控制率=[在职人员数/编制数]×100%</w:t>
            </w:r>
          </w:p>
          <w:p>
            <w:pPr>
              <w:spacing w:line="300" w:lineRule="exact"/>
              <w:jc w:val="left"/>
              <w:rPr>
                <w:rFonts w:eastAsia="楷体_GB2312"/>
                <w:sz w:val="18"/>
                <w:szCs w:val="18"/>
              </w:rPr>
            </w:pPr>
            <w:r>
              <w:rPr>
                <w:rFonts w:eastAsia="楷体_GB2312"/>
                <w:sz w:val="18"/>
                <w:szCs w:val="18"/>
              </w:rPr>
              <w:t>在职人员数：部门实际在职人数，以财政确定的部门决算编制口径为准，结合工资发放表上的年平均人数。</w:t>
            </w:r>
          </w:p>
          <w:p>
            <w:pPr>
              <w:spacing w:line="300" w:lineRule="exact"/>
              <w:jc w:val="left"/>
              <w:rPr>
                <w:rFonts w:eastAsia="楷体_GB2312"/>
                <w:sz w:val="18"/>
                <w:szCs w:val="18"/>
              </w:rPr>
            </w:pPr>
            <w:r>
              <w:rPr>
                <w:rFonts w:eastAsia="楷体_GB2312"/>
                <w:sz w:val="18"/>
                <w:szCs w:val="18"/>
              </w:rPr>
              <w:t>编制数：机构编制部门核定批复的部门的人员编制数(含临时人员)。</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结果≤100%，得3分；</w:t>
            </w:r>
          </w:p>
          <w:p>
            <w:pPr>
              <w:spacing w:line="300" w:lineRule="exact"/>
              <w:jc w:val="left"/>
              <w:rPr>
                <w:rFonts w:eastAsia="楷体_GB2312"/>
                <w:sz w:val="18"/>
                <w:szCs w:val="18"/>
              </w:rPr>
            </w:pPr>
            <w:r>
              <w:rPr>
                <w:rFonts w:eastAsia="楷体_GB2312"/>
                <w:sz w:val="18"/>
                <w:szCs w:val="18"/>
              </w:rPr>
              <w:t>结果＞100%，得0分。</w:t>
            </w:r>
          </w:p>
        </w:tc>
        <w:tc>
          <w:tcPr>
            <w:tcW w:w="1614" w:type="dxa"/>
            <w:noWrap w:val="0"/>
            <w:tcMar>
              <w:top w:w="0" w:type="dxa"/>
              <w:left w:w="105" w:type="dxa"/>
              <w:bottom w:w="0" w:type="dxa"/>
              <w:right w:w="105" w:type="dxa"/>
            </w:tcMar>
            <w:vAlign w:val="center"/>
          </w:tcPr>
          <w:p>
            <w:pPr>
              <w:ind w:left="1" w:leftChars="0"/>
              <w:jc w:val="center"/>
              <w:rPr>
                <w:rFonts w:hint="default" w:ascii="Times New Roman" w:hAnsi="Times New Roman" w:eastAsia="楷体_GB2312" w:cs="Times New Roman"/>
                <w:sz w:val="18"/>
                <w:szCs w:val="18"/>
                <w:lang w:val="en-US" w:eastAsia="zh-CN" w:bidi="ar-SA"/>
              </w:rPr>
            </w:pPr>
            <w:r>
              <w:rPr>
                <w:rFonts w:hint="eastAsia" w:eastAsia="楷体_GB2312"/>
                <w:sz w:val="18"/>
                <w:szCs w:val="18"/>
                <w:lang w:val="en-US" w:eastAsia="zh-CN"/>
              </w:rPr>
              <w:t>52/60*100%=86.67%</w:t>
            </w:r>
          </w:p>
        </w:tc>
        <w:tc>
          <w:tcPr>
            <w:tcW w:w="745" w:type="dxa"/>
            <w:noWrap w:val="0"/>
            <w:tcMar>
              <w:top w:w="0" w:type="dxa"/>
              <w:left w:w="105" w:type="dxa"/>
              <w:bottom w:w="0" w:type="dxa"/>
              <w:right w:w="105" w:type="dxa"/>
            </w:tcMar>
            <w:vAlign w:val="center"/>
          </w:tcPr>
          <w:p>
            <w:pPr>
              <w:ind w:left="1" w:leftChars="0"/>
              <w:jc w:val="center"/>
              <w:rPr>
                <w:rFonts w:hint="eastAsia" w:ascii="Times New Roman" w:hAnsi="Times New Roman" w:eastAsia="楷体_GB2312" w:cs="Times New Roman"/>
                <w:lang w:val="en-US" w:eastAsia="zh-CN" w:bidi="ar-SA"/>
              </w:rPr>
            </w:pPr>
            <w:r>
              <w:rPr>
                <w:rFonts w:hint="eastAsia" w:eastAsia="楷体_GB2312"/>
                <w:lang w:val="en-US" w:eastAsia="zh-CN"/>
              </w:rPr>
              <w:t>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01"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三公经费</w:t>
            </w:r>
          </w:p>
          <w:p>
            <w:pPr>
              <w:spacing w:line="300" w:lineRule="exact"/>
              <w:jc w:val="center"/>
              <w:rPr>
                <w:rFonts w:eastAsia="楷体_GB2312"/>
                <w:sz w:val="18"/>
                <w:szCs w:val="18"/>
              </w:rPr>
            </w:pPr>
            <w:r>
              <w:rPr>
                <w:rFonts w:eastAsia="楷体_GB2312"/>
                <w:sz w:val="18"/>
                <w:szCs w:val="18"/>
              </w:rPr>
              <w:t>变动率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3</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“三公经费”变动率=[本年度“三公经费”预算总额/上年度“三公经费”预算总额] ×100%</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结果≤100%，得3分；</w:t>
            </w:r>
          </w:p>
          <w:p>
            <w:pPr>
              <w:spacing w:line="300" w:lineRule="exact"/>
              <w:jc w:val="left"/>
              <w:rPr>
                <w:rFonts w:eastAsia="楷体_GB2312"/>
                <w:sz w:val="18"/>
                <w:szCs w:val="18"/>
              </w:rPr>
            </w:pPr>
            <w:r>
              <w:rPr>
                <w:rFonts w:eastAsia="楷体_GB2312"/>
                <w:sz w:val="18"/>
                <w:szCs w:val="18"/>
              </w:rPr>
              <w:t>结果＞100%，得0分。</w:t>
            </w:r>
          </w:p>
        </w:tc>
        <w:tc>
          <w:tcPr>
            <w:tcW w:w="1614" w:type="dxa"/>
            <w:noWrap w:val="0"/>
            <w:tcMar>
              <w:top w:w="0" w:type="dxa"/>
              <w:left w:w="105" w:type="dxa"/>
              <w:bottom w:w="0" w:type="dxa"/>
              <w:right w:w="105" w:type="dxa"/>
            </w:tcMar>
            <w:vAlign w:val="center"/>
          </w:tcPr>
          <w:p>
            <w:pPr>
              <w:ind w:left="1" w:leftChars="0"/>
              <w:jc w:val="center"/>
              <w:rPr>
                <w:rFonts w:hint="default" w:ascii="Times New Roman" w:hAnsi="Times New Roman" w:eastAsia="楷体_GB2312" w:cs="Times New Roman"/>
                <w:sz w:val="18"/>
                <w:szCs w:val="18"/>
                <w:lang w:val="en-US" w:eastAsia="zh-CN" w:bidi="ar-SA"/>
              </w:rPr>
            </w:pPr>
            <w:r>
              <w:rPr>
                <w:rFonts w:hint="eastAsia" w:eastAsia="楷体_GB2312"/>
                <w:sz w:val="18"/>
                <w:szCs w:val="18"/>
                <w:lang w:val="en-US" w:eastAsia="zh-CN"/>
              </w:rPr>
              <w:t>14.7/14.7*100%=100%</w:t>
            </w:r>
          </w:p>
        </w:tc>
        <w:tc>
          <w:tcPr>
            <w:tcW w:w="745" w:type="dxa"/>
            <w:noWrap w:val="0"/>
            <w:tcMar>
              <w:top w:w="0" w:type="dxa"/>
              <w:left w:w="105" w:type="dxa"/>
              <w:bottom w:w="0" w:type="dxa"/>
              <w:right w:w="105" w:type="dxa"/>
            </w:tcMar>
            <w:vAlign w:val="center"/>
          </w:tcPr>
          <w:p>
            <w:pPr>
              <w:ind w:left="1" w:leftChars="0"/>
              <w:jc w:val="center"/>
              <w:rPr>
                <w:rFonts w:hint="eastAsia" w:ascii="Times New Roman" w:hAnsi="Times New Roman" w:eastAsia="楷体_GB2312" w:cs="Times New Roman"/>
                <w:lang w:val="en-US" w:eastAsia="zh-CN" w:bidi="ar-SA"/>
              </w:rPr>
            </w:pPr>
            <w:r>
              <w:rPr>
                <w:rFonts w:hint="eastAsia" w:eastAsia="楷体_GB2312"/>
                <w:lang w:val="en-US" w:eastAsia="zh-CN"/>
              </w:rPr>
              <w:t>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728"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重点项目预算保障率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3</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重点项目预算保障率=（重点项目预算/项目总预算）×100%。</w:t>
            </w:r>
          </w:p>
          <w:p>
            <w:pPr>
              <w:spacing w:line="300" w:lineRule="exact"/>
              <w:jc w:val="left"/>
              <w:rPr>
                <w:rFonts w:eastAsia="楷体_GB2312"/>
                <w:sz w:val="18"/>
                <w:szCs w:val="18"/>
              </w:rPr>
            </w:pPr>
            <w:r>
              <w:rPr>
                <w:rFonts w:eastAsia="楷体_GB2312"/>
                <w:sz w:val="18"/>
                <w:szCs w:val="18"/>
              </w:rPr>
              <w:t>重点项目预算：部门年度预算安排的，与本部门履职和发展密切相关、具有明显社会和经济影响、党委政府关心或社会比较关注的，列入政府重点项目的预算总额。</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结果≥80%，得</w:t>
            </w:r>
            <w:r>
              <w:rPr>
                <w:rFonts w:hint="eastAsia" w:eastAsia="楷体_GB2312"/>
                <w:sz w:val="18"/>
                <w:szCs w:val="18"/>
              </w:rPr>
              <w:t>3</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80%＞结果≥60%，得2分；</w:t>
            </w:r>
          </w:p>
          <w:p>
            <w:pPr>
              <w:spacing w:line="300" w:lineRule="exact"/>
              <w:jc w:val="left"/>
              <w:rPr>
                <w:rFonts w:eastAsia="楷体_GB2312"/>
                <w:sz w:val="18"/>
                <w:szCs w:val="18"/>
              </w:rPr>
            </w:pPr>
            <w:r>
              <w:rPr>
                <w:rFonts w:eastAsia="楷体_GB2312"/>
                <w:sz w:val="18"/>
                <w:szCs w:val="18"/>
              </w:rPr>
              <w:t>结果＜60%，得0分。</w:t>
            </w:r>
          </w:p>
        </w:tc>
        <w:tc>
          <w:tcPr>
            <w:tcW w:w="1614" w:type="dxa"/>
            <w:noWrap w:val="0"/>
            <w:tcMar>
              <w:top w:w="0" w:type="dxa"/>
              <w:left w:w="105" w:type="dxa"/>
              <w:bottom w:w="0" w:type="dxa"/>
              <w:right w:w="105" w:type="dxa"/>
            </w:tcMar>
            <w:vAlign w:val="center"/>
          </w:tcPr>
          <w:p>
            <w:pPr>
              <w:ind w:left="0" w:leftChars="0" w:firstLine="0" w:firstLineChars="0"/>
              <w:jc w:val="center"/>
              <w:rPr>
                <w:rFonts w:hint="default" w:ascii="Times New Roman" w:hAnsi="Times New Roman" w:eastAsia="楷体_GB2312" w:cs="Times New Roman"/>
                <w:sz w:val="18"/>
                <w:szCs w:val="18"/>
                <w:lang w:val="en-US" w:eastAsia="zh-CN" w:bidi="ar-SA"/>
              </w:rPr>
            </w:pPr>
            <w:r>
              <w:rPr>
                <w:rFonts w:hint="eastAsia" w:eastAsia="楷体_GB2312"/>
                <w:sz w:val="18"/>
                <w:szCs w:val="18"/>
                <w:lang w:val="en-US" w:eastAsia="zh-CN"/>
              </w:rPr>
              <w:t>保障到位</w:t>
            </w:r>
          </w:p>
        </w:tc>
        <w:tc>
          <w:tcPr>
            <w:tcW w:w="745" w:type="dxa"/>
            <w:noWrap w:val="0"/>
            <w:tcMar>
              <w:top w:w="0" w:type="dxa"/>
              <w:left w:w="105" w:type="dxa"/>
              <w:bottom w:w="0" w:type="dxa"/>
              <w:right w:w="105" w:type="dxa"/>
            </w:tcMar>
            <w:vAlign w:val="center"/>
          </w:tcPr>
          <w:p>
            <w:pPr>
              <w:ind w:left="1" w:leftChars="0"/>
              <w:jc w:val="center"/>
              <w:rPr>
                <w:rFonts w:hint="eastAsia" w:ascii="Times New Roman" w:hAnsi="Times New Roman" w:eastAsia="楷体_GB2312" w:cs="Times New Roman"/>
                <w:lang w:val="en-US" w:eastAsia="zh-CN" w:bidi="ar-SA"/>
              </w:rPr>
            </w:pPr>
            <w:r>
              <w:rPr>
                <w:rFonts w:hint="eastAsia" w:eastAsia="楷体_GB2312"/>
                <w:lang w:val="en-US" w:eastAsia="zh-CN"/>
              </w:rPr>
              <w:t>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179" w:hRule="atLeast"/>
          <w:tblCellSpacing w:w="0" w:type="dxa"/>
          <w:jc w:val="center"/>
        </w:trPr>
        <w:tc>
          <w:tcPr>
            <w:tcW w:w="10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过程</w:t>
            </w:r>
          </w:p>
          <w:p>
            <w:pPr>
              <w:spacing w:before="100" w:beforeAutospacing="1" w:after="100" w:afterAutospacing="1"/>
              <w:jc w:val="center"/>
              <w:rPr>
                <w:rFonts w:eastAsia="楷体_GB2312"/>
                <w:sz w:val="18"/>
                <w:szCs w:val="18"/>
              </w:rPr>
            </w:pPr>
            <w:r>
              <w:rPr>
                <w:rFonts w:eastAsia="楷体_GB2312"/>
                <w:sz w:val="18"/>
                <w:szCs w:val="18"/>
              </w:rPr>
              <w:t>(共</w:t>
            </w:r>
            <w:r>
              <w:rPr>
                <w:rFonts w:hint="eastAsia" w:eastAsia="楷体_GB2312"/>
                <w:sz w:val="18"/>
                <w:szCs w:val="18"/>
              </w:rPr>
              <w:t>26</w:t>
            </w:r>
            <w:r>
              <w:rPr>
                <w:rFonts w:eastAsia="楷体_GB2312"/>
                <w:sz w:val="18"/>
                <w:szCs w:val="18"/>
              </w:rPr>
              <w:t>分)</w:t>
            </w:r>
          </w:p>
        </w:tc>
        <w:tc>
          <w:tcPr>
            <w:tcW w:w="11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预算执行（1</w:t>
            </w:r>
            <w:r>
              <w:rPr>
                <w:rFonts w:hint="eastAsia" w:eastAsia="楷体_GB2312"/>
                <w:sz w:val="18"/>
                <w:szCs w:val="18"/>
              </w:rPr>
              <w:t>2</w:t>
            </w:r>
            <w:r>
              <w:rPr>
                <w:rFonts w:eastAsia="楷体_GB2312"/>
                <w:sz w:val="18"/>
                <w:szCs w:val="18"/>
              </w:rPr>
              <w:t>分）</w:t>
            </w: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项目预算执行率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3</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项目预算执行率=[项目预算执行数/项目预算]×100%。</w:t>
            </w:r>
          </w:p>
          <w:p>
            <w:pPr>
              <w:spacing w:line="300" w:lineRule="exact"/>
              <w:jc w:val="left"/>
              <w:rPr>
                <w:rFonts w:eastAsia="楷体_GB2312"/>
                <w:sz w:val="18"/>
                <w:szCs w:val="18"/>
              </w:rPr>
            </w:pPr>
            <w:r>
              <w:rPr>
                <w:rFonts w:eastAsia="楷体_GB2312"/>
                <w:sz w:val="18"/>
                <w:szCs w:val="18"/>
              </w:rPr>
              <w:t>项目预算执行数：部门本年度实际执行的项目预算。</w:t>
            </w:r>
          </w:p>
          <w:p>
            <w:pPr>
              <w:spacing w:line="300" w:lineRule="exact"/>
              <w:jc w:val="left"/>
              <w:rPr>
                <w:rFonts w:eastAsia="楷体_GB2312"/>
                <w:sz w:val="18"/>
                <w:szCs w:val="18"/>
              </w:rPr>
            </w:pPr>
            <w:r>
              <w:rPr>
                <w:rFonts w:eastAsia="楷体_GB2312"/>
                <w:sz w:val="18"/>
                <w:szCs w:val="18"/>
              </w:rPr>
              <w:t>项目预算数：财政部门批复的本年度部门项目预算。</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95%≤结果≤100%，得</w:t>
            </w:r>
            <w:r>
              <w:rPr>
                <w:rFonts w:hint="eastAsia" w:eastAsia="楷体_GB2312"/>
                <w:sz w:val="18"/>
                <w:szCs w:val="18"/>
              </w:rPr>
              <w:t>3</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90%≤结果＜95%，得</w:t>
            </w:r>
            <w:r>
              <w:rPr>
                <w:rFonts w:hint="eastAsia" w:eastAsia="楷体_GB2312"/>
                <w:sz w:val="18"/>
                <w:szCs w:val="18"/>
              </w:rPr>
              <w:t>2</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80%≤结果＜90%，得1分；</w:t>
            </w:r>
          </w:p>
          <w:p>
            <w:pPr>
              <w:spacing w:line="300" w:lineRule="exact"/>
              <w:jc w:val="left"/>
              <w:rPr>
                <w:rFonts w:eastAsia="楷体_GB2312"/>
                <w:spacing w:val="-20"/>
                <w:sz w:val="18"/>
                <w:szCs w:val="18"/>
              </w:rPr>
            </w:pPr>
            <w:r>
              <w:rPr>
                <w:rFonts w:eastAsia="楷体_GB2312"/>
                <w:sz w:val="18"/>
                <w:szCs w:val="18"/>
              </w:rPr>
              <w:t>结果＜80%，得0分。</w:t>
            </w:r>
          </w:p>
        </w:tc>
        <w:tc>
          <w:tcPr>
            <w:tcW w:w="1614" w:type="dxa"/>
            <w:noWrap w:val="0"/>
            <w:tcMar>
              <w:top w:w="0" w:type="dxa"/>
              <w:left w:w="105" w:type="dxa"/>
              <w:bottom w:w="0" w:type="dxa"/>
              <w:right w:w="105" w:type="dxa"/>
            </w:tcMar>
            <w:vAlign w:val="center"/>
          </w:tcPr>
          <w:p>
            <w:pPr>
              <w:ind w:left="1" w:leftChars="0"/>
              <w:jc w:val="center"/>
              <w:rPr>
                <w:rFonts w:hint="default" w:ascii="Times New Roman" w:hAnsi="Times New Roman" w:eastAsia="楷体_GB2312" w:cs="Times New Roman"/>
                <w:sz w:val="18"/>
                <w:szCs w:val="18"/>
                <w:lang w:val="en-US" w:eastAsia="zh-CN" w:bidi="ar-SA"/>
              </w:rPr>
            </w:pPr>
            <w:r>
              <w:rPr>
                <w:rFonts w:hint="eastAsia" w:eastAsia="楷体_GB2312"/>
                <w:sz w:val="18"/>
                <w:szCs w:val="18"/>
                <w:lang w:val="en-US" w:eastAsia="zh-CN"/>
              </w:rPr>
              <w:t>100%</w:t>
            </w:r>
          </w:p>
        </w:tc>
        <w:tc>
          <w:tcPr>
            <w:tcW w:w="745" w:type="dxa"/>
            <w:noWrap w:val="0"/>
            <w:tcMar>
              <w:top w:w="0" w:type="dxa"/>
              <w:left w:w="105" w:type="dxa"/>
              <w:bottom w:w="0" w:type="dxa"/>
              <w:right w:w="105" w:type="dxa"/>
            </w:tcMar>
            <w:vAlign w:val="center"/>
          </w:tcPr>
          <w:p>
            <w:pPr>
              <w:ind w:left="1" w:leftChars="0"/>
              <w:jc w:val="center"/>
              <w:rPr>
                <w:rFonts w:hint="eastAsia" w:ascii="Times New Roman" w:hAnsi="Times New Roman" w:eastAsia="楷体_GB2312" w:cs="Times New Roman"/>
                <w:lang w:val="en-US" w:eastAsia="zh-CN" w:bidi="ar-SA"/>
              </w:rPr>
            </w:pPr>
            <w:r>
              <w:rPr>
                <w:rFonts w:hint="eastAsia" w:eastAsia="楷体_GB2312"/>
                <w:lang w:val="en-US" w:eastAsia="zh-CN"/>
              </w:rPr>
              <w:t>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190"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预算</w:t>
            </w:r>
          </w:p>
          <w:p>
            <w:pPr>
              <w:spacing w:line="300" w:lineRule="exact"/>
              <w:jc w:val="center"/>
              <w:rPr>
                <w:rFonts w:eastAsia="楷体_GB2312"/>
                <w:sz w:val="18"/>
                <w:szCs w:val="18"/>
              </w:rPr>
            </w:pPr>
            <w:r>
              <w:rPr>
                <w:rFonts w:eastAsia="楷体_GB2312"/>
                <w:sz w:val="18"/>
                <w:szCs w:val="18"/>
              </w:rPr>
              <w:t>调整率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2</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预算调整率=[预算调整数/预算数]×100%</w:t>
            </w:r>
          </w:p>
          <w:p>
            <w:pPr>
              <w:spacing w:line="300" w:lineRule="exact"/>
              <w:jc w:val="left"/>
              <w:rPr>
                <w:rFonts w:eastAsia="楷体_GB2312"/>
                <w:sz w:val="18"/>
                <w:szCs w:val="18"/>
              </w:rPr>
            </w:pPr>
            <w:r>
              <w:rPr>
                <w:rFonts w:eastAsia="楷体_GB2312"/>
                <w:sz w:val="18"/>
                <w:szCs w:val="18"/>
              </w:rPr>
              <w:t>预算调整数：部门在本年度内涉及预算的追加、追减或结构调整的资金总和（因落实国家政策、发生不可抗力、上级部门或党委政府临时交办而产生的调整除外）。</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结果≤5%，得</w:t>
            </w:r>
            <w:r>
              <w:rPr>
                <w:rFonts w:hint="eastAsia" w:eastAsia="楷体_GB2312"/>
                <w:sz w:val="18"/>
                <w:szCs w:val="18"/>
              </w:rPr>
              <w:t>2</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5%＜结果≤10%，得1分；</w:t>
            </w:r>
          </w:p>
          <w:p>
            <w:pPr>
              <w:spacing w:line="300" w:lineRule="exact"/>
              <w:jc w:val="left"/>
              <w:rPr>
                <w:rFonts w:eastAsia="楷体_GB2312"/>
                <w:sz w:val="18"/>
                <w:szCs w:val="18"/>
              </w:rPr>
            </w:pPr>
            <w:r>
              <w:rPr>
                <w:rFonts w:eastAsia="楷体_GB2312"/>
                <w:sz w:val="18"/>
                <w:szCs w:val="18"/>
              </w:rPr>
              <w:t>结果＞10%，得0分。</w:t>
            </w:r>
          </w:p>
        </w:tc>
        <w:tc>
          <w:tcPr>
            <w:tcW w:w="1614" w:type="dxa"/>
            <w:noWrap w:val="0"/>
            <w:tcMar>
              <w:top w:w="0" w:type="dxa"/>
              <w:left w:w="105" w:type="dxa"/>
              <w:bottom w:w="0" w:type="dxa"/>
              <w:right w:w="105" w:type="dxa"/>
            </w:tcMar>
            <w:vAlign w:val="center"/>
          </w:tcPr>
          <w:p>
            <w:pPr>
              <w:ind w:left="1" w:leftChars="0" w:right="238" w:rightChars="119"/>
              <w:jc w:val="center"/>
              <w:rPr>
                <w:rFonts w:ascii="Times New Roman" w:hAnsi="Times New Roman" w:eastAsia="楷体_GB2312" w:cs="Times New Roman"/>
                <w:sz w:val="18"/>
                <w:szCs w:val="18"/>
                <w:lang w:val="en-US" w:eastAsia="zh-CN" w:bidi="ar-SA"/>
              </w:rPr>
            </w:pPr>
            <w:r>
              <w:rPr>
                <w:rFonts w:eastAsia="楷体_GB2312"/>
                <w:sz w:val="18"/>
                <w:szCs w:val="18"/>
              </w:rPr>
              <w:t>≤5%</w:t>
            </w:r>
          </w:p>
        </w:tc>
        <w:tc>
          <w:tcPr>
            <w:tcW w:w="745" w:type="dxa"/>
            <w:noWrap w:val="0"/>
            <w:tcMar>
              <w:top w:w="0" w:type="dxa"/>
              <w:left w:w="105" w:type="dxa"/>
              <w:bottom w:w="0" w:type="dxa"/>
              <w:right w:w="105" w:type="dxa"/>
            </w:tcMar>
            <w:vAlign w:val="center"/>
          </w:tcPr>
          <w:p>
            <w:pPr>
              <w:ind w:left="1" w:leftChars="0"/>
              <w:jc w:val="center"/>
              <w:rPr>
                <w:rFonts w:hint="eastAsia" w:ascii="Times New Roman" w:hAnsi="Times New Roman" w:eastAsia="楷体_GB2312" w:cs="Times New Roman"/>
                <w:lang w:val="en-US" w:eastAsia="zh-CN" w:bidi="ar-SA"/>
              </w:rPr>
            </w:pPr>
            <w:r>
              <w:rPr>
                <w:rFonts w:hint="eastAsia" w:eastAsia="楷体_GB2312"/>
                <w:lang w:val="en-US" w:eastAsia="zh-CN"/>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42"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公用经费控制率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3</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公用经费控制率=[公用经费实际支出总额/公用经费预算安排总额]×100%</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结果≤100%，得</w:t>
            </w:r>
            <w:r>
              <w:rPr>
                <w:rFonts w:hint="eastAsia" w:eastAsia="楷体_GB2312"/>
                <w:sz w:val="18"/>
                <w:szCs w:val="18"/>
              </w:rPr>
              <w:t>3</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结果＞100%，得0分。</w:t>
            </w:r>
          </w:p>
        </w:tc>
        <w:tc>
          <w:tcPr>
            <w:tcW w:w="1614" w:type="dxa"/>
            <w:noWrap w:val="0"/>
            <w:tcMar>
              <w:top w:w="0" w:type="dxa"/>
              <w:left w:w="105" w:type="dxa"/>
              <w:bottom w:w="0" w:type="dxa"/>
              <w:right w:w="105" w:type="dxa"/>
            </w:tcMar>
            <w:vAlign w:val="center"/>
          </w:tcPr>
          <w:p>
            <w:pPr>
              <w:ind w:left="1" w:leftChars="0"/>
              <w:jc w:val="center"/>
              <w:rPr>
                <w:rFonts w:hint="default" w:ascii="Times New Roman" w:hAnsi="Times New Roman" w:eastAsia="楷体_GB2312" w:cs="Times New Roman"/>
                <w:sz w:val="18"/>
                <w:szCs w:val="18"/>
                <w:lang w:val="en-US" w:eastAsia="zh-CN" w:bidi="ar-SA"/>
              </w:rPr>
            </w:pPr>
            <w:r>
              <w:rPr>
                <w:rFonts w:hint="eastAsia" w:eastAsia="楷体_GB2312"/>
                <w:sz w:val="18"/>
                <w:szCs w:val="18"/>
                <w:lang w:val="en-US" w:eastAsia="zh-CN"/>
              </w:rPr>
              <w:t>85.12%</w:t>
            </w:r>
          </w:p>
        </w:tc>
        <w:tc>
          <w:tcPr>
            <w:tcW w:w="745" w:type="dxa"/>
            <w:noWrap w:val="0"/>
            <w:tcMar>
              <w:top w:w="0" w:type="dxa"/>
              <w:left w:w="105" w:type="dxa"/>
              <w:bottom w:w="0" w:type="dxa"/>
              <w:right w:w="105" w:type="dxa"/>
            </w:tcMar>
            <w:vAlign w:val="center"/>
          </w:tcPr>
          <w:p>
            <w:pPr>
              <w:ind w:left="1" w:leftChars="0"/>
              <w:jc w:val="center"/>
              <w:rPr>
                <w:rFonts w:hint="eastAsia" w:ascii="Times New Roman" w:hAnsi="Times New Roman" w:eastAsia="楷体_GB2312" w:cs="Times New Roman"/>
                <w:lang w:val="en-US" w:eastAsia="zh-CN" w:bidi="ar-SA"/>
              </w:rPr>
            </w:pPr>
            <w:r>
              <w:rPr>
                <w:rFonts w:hint="eastAsia" w:eastAsia="楷体_GB2312"/>
                <w:lang w:val="en-US" w:eastAsia="zh-CN"/>
              </w:rPr>
              <w:t>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672"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pacing w:val="-20"/>
                <w:sz w:val="18"/>
                <w:szCs w:val="18"/>
              </w:rPr>
            </w:pPr>
            <w:r>
              <w:rPr>
                <w:rFonts w:eastAsia="楷体_GB2312"/>
                <w:spacing w:val="-20"/>
                <w:sz w:val="18"/>
                <w:szCs w:val="18"/>
              </w:rPr>
              <w:t>“</w:t>
            </w:r>
            <w:r>
              <w:rPr>
                <w:rFonts w:eastAsia="楷体_GB2312"/>
                <w:sz w:val="18"/>
                <w:szCs w:val="18"/>
              </w:rPr>
              <w:t>三公经费”控制率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2</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“三公经费”控制率=[“三公经费”实际支出总额/“三公经费”预算安排总额]×100%</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结果≤100%，得</w:t>
            </w:r>
            <w:r>
              <w:rPr>
                <w:rFonts w:hint="eastAsia" w:eastAsia="楷体_GB2312"/>
                <w:sz w:val="18"/>
                <w:szCs w:val="18"/>
              </w:rPr>
              <w:t>2</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结果＞100%，得0分。</w:t>
            </w:r>
          </w:p>
        </w:tc>
        <w:tc>
          <w:tcPr>
            <w:tcW w:w="1614" w:type="dxa"/>
            <w:noWrap w:val="0"/>
            <w:tcMar>
              <w:top w:w="0" w:type="dxa"/>
              <w:left w:w="105" w:type="dxa"/>
              <w:bottom w:w="0" w:type="dxa"/>
              <w:right w:w="105" w:type="dxa"/>
            </w:tcMar>
            <w:vAlign w:val="center"/>
          </w:tcPr>
          <w:p>
            <w:pPr>
              <w:ind w:left="1" w:leftChars="0"/>
              <w:jc w:val="center"/>
              <w:rPr>
                <w:rFonts w:hint="default" w:ascii="Times New Roman" w:hAnsi="Times New Roman" w:eastAsia="楷体_GB2312" w:cs="Times New Roman"/>
                <w:sz w:val="18"/>
                <w:szCs w:val="18"/>
                <w:lang w:val="en-US" w:eastAsia="zh-CN" w:bidi="ar-SA"/>
              </w:rPr>
            </w:pPr>
            <w:r>
              <w:rPr>
                <w:rFonts w:hint="eastAsia" w:eastAsia="楷体_GB2312"/>
                <w:sz w:val="18"/>
                <w:szCs w:val="18"/>
                <w:lang w:val="en-US" w:eastAsia="zh-CN"/>
              </w:rPr>
              <w:t>79.59%</w:t>
            </w:r>
          </w:p>
        </w:tc>
        <w:tc>
          <w:tcPr>
            <w:tcW w:w="745" w:type="dxa"/>
            <w:noWrap w:val="0"/>
            <w:tcMar>
              <w:top w:w="0" w:type="dxa"/>
              <w:left w:w="105" w:type="dxa"/>
              <w:bottom w:w="0" w:type="dxa"/>
              <w:right w:w="105" w:type="dxa"/>
            </w:tcMar>
            <w:vAlign w:val="center"/>
          </w:tcPr>
          <w:p>
            <w:pPr>
              <w:ind w:left="1" w:leftChars="0"/>
              <w:jc w:val="center"/>
              <w:rPr>
                <w:rFonts w:hint="eastAsia" w:ascii="Times New Roman" w:hAnsi="Times New Roman" w:eastAsia="楷体_GB2312" w:cs="Times New Roman"/>
                <w:lang w:val="en-US" w:eastAsia="zh-CN" w:bidi="ar-SA"/>
              </w:rPr>
            </w:pPr>
            <w:r>
              <w:rPr>
                <w:rFonts w:hint="eastAsia" w:eastAsia="楷体_GB2312"/>
                <w:lang w:val="en-US" w:eastAsia="zh-CN"/>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632"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政府采购</w:t>
            </w:r>
          </w:p>
          <w:p>
            <w:pPr>
              <w:spacing w:line="300" w:lineRule="exact"/>
              <w:jc w:val="center"/>
              <w:rPr>
                <w:rFonts w:eastAsia="楷体_GB2312"/>
                <w:sz w:val="18"/>
                <w:szCs w:val="18"/>
              </w:rPr>
            </w:pPr>
            <w:r>
              <w:rPr>
                <w:rFonts w:eastAsia="楷体_GB2312"/>
                <w:sz w:val="18"/>
                <w:szCs w:val="18"/>
              </w:rPr>
              <w:t>完成率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2</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政府采购完成率=（政府采购完成项目数/政府采购预算项目数）×100%；</w:t>
            </w:r>
          </w:p>
          <w:p>
            <w:pPr>
              <w:spacing w:line="300" w:lineRule="exact"/>
              <w:jc w:val="left"/>
              <w:rPr>
                <w:rFonts w:eastAsia="楷体_GB2312"/>
                <w:sz w:val="18"/>
                <w:szCs w:val="18"/>
              </w:rPr>
            </w:pPr>
            <w:r>
              <w:rPr>
                <w:rFonts w:eastAsia="楷体_GB2312"/>
                <w:sz w:val="18"/>
                <w:szCs w:val="18"/>
              </w:rPr>
              <w:t>政府采购预算项目：采购机关根据事业发展计划和行政任务编制的、并经过规定程序批准的年度政府采购计划项目。</w:t>
            </w:r>
          </w:p>
        </w:tc>
        <w:tc>
          <w:tcPr>
            <w:tcW w:w="3123" w:type="dxa"/>
            <w:noWrap w:val="0"/>
            <w:tcMar>
              <w:top w:w="0" w:type="dxa"/>
              <w:left w:w="105" w:type="dxa"/>
              <w:bottom w:w="0" w:type="dxa"/>
              <w:right w:w="105" w:type="dxa"/>
            </w:tcMar>
            <w:vAlign w:val="center"/>
          </w:tcPr>
          <w:p>
            <w:pPr>
              <w:spacing w:line="300" w:lineRule="exact"/>
              <w:jc w:val="left"/>
              <w:rPr>
                <w:rFonts w:hint="eastAsia" w:eastAsia="楷体_GB2312"/>
                <w:sz w:val="18"/>
                <w:szCs w:val="18"/>
              </w:rPr>
            </w:pPr>
            <w:r>
              <w:rPr>
                <w:rFonts w:eastAsia="楷体_GB2312"/>
                <w:sz w:val="18"/>
                <w:szCs w:val="18"/>
              </w:rPr>
              <w:t>完成率</w:t>
            </w:r>
            <w:r>
              <w:rPr>
                <w:rFonts w:hint="eastAsia" w:ascii="宋体" w:hAnsi="宋体" w:cs="宋体"/>
                <w:sz w:val="18"/>
                <w:szCs w:val="18"/>
              </w:rPr>
              <w:t>≧</w:t>
            </w:r>
            <w:r>
              <w:rPr>
                <w:rFonts w:hint="eastAsia" w:eastAsia="楷体_GB2312"/>
                <w:sz w:val="18"/>
                <w:szCs w:val="18"/>
              </w:rPr>
              <w:t>8</w:t>
            </w:r>
            <w:r>
              <w:rPr>
                <w:rFonts w:eastAsia="楷体_GB2312"/>
                <w:sz w:val="18"/>
                <w:szCs w:val="18"/>
              </w:rPr>
              <w:t>0%，得</w:t>
            </w:r>
            <w:r>
              <w:rPr>
                <w:rFonts w:hint="eastAsia" w:eastAsia="楷体_GB2312"/>
                <w:sz w:val="18"/>
                <w:szCs w:val="18"/>
              </w:rPr>
              <w:t>2</w:t>
            </w:r>
            <w:r>
              <w:rPr>
                <w:rFonts w:eastAsia="楷体_GB2312"/>
                <w:sz w:val="18"/>
                <w:szCs w:val="18"/>
              </w:rPr>
              <w:t>分</w:t>
            </w:r>
            <w:r>
              <w:rPr>
                <w:rFonts w:hint="eastAsia" w:eastAsia="楷体_GB2312"/>
                <w:sz w:val="18"/>
                <w:szCs w:val="18"/>
              </w:rPr>
              <w:t>；</w:t>
            </w:r>
          </w:p>
          <w:p>
            <w:pPr>
              <w:spacing w:line="300" w:lineRule="exact"/>
              <w:jc w:val="left"/>
              <w:rPr>
                <w:rFonts w:eastAsia="楷体_GB2312"/>
                <w:sz w:val="18"/>
                <w:szCs w:val="18"/>
              </w:rPr>
            </w:pPr>
            <w:r>
              <w:rPr>
                <w:rFonts w:hint="eastAsia" w:eastAsia="楷体_GB2312"/>
                <w:sz w:val="18"/>
                <w:szCs w:val="18"/>
              </w:rPr>
              <w:t>80%</w:t>
            </w:r>
            <w:r>
              <w:rPr>
                <w:rFonts w:eastAsia="楷体_GB2312"/>
                <w:sz w:val="18"/>
                <w:szCs w:val="18"/>
              </w:rPr>
              <w:t>&gt;完成率</w:t>
            </w:r>
            <w:r>
              <w:rPr>
                <w:rFonts w:hint="eastAsia" w:eastAsia="楷体_GB2312"/>
                <w:sz w:val="18"/>
                <w:szCs w:val="18"/>
              </w:rPr>
              <w:t>≧60%，得1分；</w:t>
            </w:r>
          </w:p>
          <w:p>
            <w:pPr>
              <w:spacing w:line="300" w:lineRule="exact"/>
              <w:jc w:val="left"/>
              <w:rPr>
                <w:rFonts w:eastAsia="楷体_GB2312"/>
                <w:sz w:val="18"/>
                <w:szCs w:val="18"/>
              </w:rPr>
            </w:pPr>
            <w:r>
              <w:rPr>
                <w:rFonts w:eastAsia="楷体_GB2312"/>
                <w:sz w:val="18"/>
                <w:szCs w:val="18"/>
              </w:rPr>
              <w:t>完成率＜</w:t>
            </w:r>
            <w:r>
              <w:rPr>
                <w:rFonts w:hint="eastAsia" w:eastAsia="楷体_GB2312"/>
                <w:sz w:val="18"/>
                <w:szCs w:val="18"/>
              </w:rPr>
              <w:t>6</w:t>
            </w:r>
            <w:r>
              <w:rPr>
                <w:rFonts w:eastAsia="楷体_GB2312"/>
                <w:sz w:val="18"/>
                <w:szCs w:val="18"/>
              </w:rPr>
              <w:t>0%，得0分。</w:t>
            </w:r>
          </w:p>
        </w:tc>
        <w:tc>
          <w:tcPr>
            <w:tcW w:w="1614" w:type="dxa"/>
            <w:noWrap w:val="0"/>
            <w:tcMar>
              <w:top w:w="0" w:type="dxa"/>
              <w:left w:w="105" w:type="dxa"/>
              <w:bottom w:w="0" w:type="dxa"/>
              <w:right w:w="105" w:type="dxa"/>
            </w:tcMar>
            <w:vAlign w:val="center"/>
          </w:tcPr>
          <w:p>
            <w:pPr>
              <w:ind w:left="1" w:leftChars="0"/>
              <w:jc w:val="center"/>
              <w:rPr>
                <w:rFonts w:hint="eastAsia" w:ascii="Times New Roman" w:hAnsi="Times New Roman" w:eastAsia="楷体_GB2312" w:cs="Times New Roman"/>
                <w:sz w:val="18"/>
                <w:szCs w:val="18"/>
                <w:lang w:val="en-US" w:eastAsia="zh-CN" w:bidi="ar-SA"/>
              </w:rPr>
            </w:pPr>
            <w:r>
              <w:rPr>
                <w:rFonts w:hint="eastAsia" w:eastAsia="楷体_GB2312"/>
                <w:sz w:val="18"/>
                <w:szCs w:val="18"/>
                <w:lang w:val="en-US" w:eastAsia="zh-CN"/>
              </w:rPr>
              <w:t>无政府采购</w:t>
            </w:r>
          </w:p>
        </w:tc>
        <w:tc>
          <w:tcPr>
            <w:tcW w:w="745" w:type="dxa"/>
            <w:noWrap w:val="0"/>
            <w:tcMar>
              <w:top w:w="0" w:type="dxa"/>
              <w:left w:w="105" w:type="dxa"/>
              <w:bottom w:w="0" w:type="dxa"/>
              <w:right w:w="105" w:type="dxa"/>
            </w:tcMar>
            <w:vAlign w:val="center"/>
          </w:tcPr>
          <w:p>
            <w:pPr>
              <w:ind w:left="1" w:leftChars="0"/>
              <w:jc w:val="center"/>
              <w:rPr>
                <w:rFonts w:hint="eastAsia" w:ascii="Times New Roman" w:hAnsi="Times New Roman" w:eastAsia="楷体_GB2312" w:cs="Times New Roman"/>
                <w:lang w:val="en-US" w:eastAsia="zh-CN" w:bidi="ar-SA"/>
              </w:rPr>
            </w:pPr>
            <w:r>
              <w:rPr>
                <w:rFonts w:hint="eastAsia" w:eastAsia="楷体_GB2312"/>
                <w:lang w:val="en-US" w:eastAsia="zh-CN"/>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74"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预算</w:t>
            </w:r>
          </w:p>
          <w:p>
            <w:pPr>
              <w:spacing w:before="100" w:beforeAutospacing="1" w:after="100" w:afterAutospacing="1"/>
              <w:jc w:val="center"/>
              <w:rPr>
                <w:rFonts w:eastAsia="楷体_GB2312"/>
                <w:sz w:val="18"/>
                <w:szCs w:val="18"/>
              </w:rPr>
            </w:pPr>
            <w:r>
              <w:rPr>
                <w:rFonts w:eastAsia="楷体_GB2312"/>
                <w:sz w:val="18"/>
                <w:szCs w:val="18"/>
              </w:rPr>
              <w:t>管理（</w:t>
            </w:r>
            <w:r>
              <w:rPr>
                <w:rFonts w:hint="eastAsia" w:eastAsia="楷体_GB2312"/>
                <w:sz w:val="18"/>
                <w:szCs w:val="18"/>
              </w:rPr>
              <w:t>9</w:t>
            </w:r>
            <w:r>
              <w:rPr>
                <w:rFonts w:eastAsia="楷体_GB2312"/>
                <w:sz w:val="18"/>
                <w:szCs w:val="18"/>
              </w:rPr>
              <w:t>分）</w:t>
            </w:r>
          </w:p>
        </w:tc>
        <w:tc>
          <w:tcPr>
            <w:tcW w:w="1226" w:type="dxa"/>
            <w:noWrap w:val="0"/>
            <w:tcMar>
              <w:top w:w="0" w:type="dxa"/>
              <w:left w:w="105" w:type="dxa"/>
              <w:bottom w:w="0" w:type="dxa"/>
              <w:right w:w="105" w:type="dxa"/>
            </w:tcMar>
            <w:vAlign w:val="center"/>
          </w:tcPr>
          <w:p>
            <w:pPr>
              <w:spacing w:line="280" w:lineRule="exact"/>
              <w:jc w:val="center"/>
              <w:rPr>
                <w:rFonts w:eastAsia="楷体_GB2312"/>
                <w:sz w:val="18"/>
                <w:szCs w:val="18"/>
              </w:rPr>
            </w:pPr>
            <w:r>
              <w:rPr>
                <w:rFonts w:eastAsia="楷体_GB2312"/>
                <w:sz w:val="18"/>
                <w:szCs w:val="18"/>
              </w:rPr>
              <w:t>资金管理</w:t>
            </w:r>
          </w:p>
          <w:p>
            <w:pPr>
              <w:spacing w:line="280" w:lineRule="exact"/>
              <w:jc w:val="center"/>
              <w:rPr>
                <w:rFonts w:eastAsia="楷体_GB2312"/>
                <w:sz w:val="18"/>
                <w:szCs w:val="18"/>
              </w:rPr>
            </w:pPr>
            <w:r>
              <w:rPr>
                <w:rFonts w:eastAsia="楷体_GB2312"/>
                <w:sz w:val="18"/>
                <w:szCs w:val="18"/>
              </w:rPr>
              <w:t>制度健全性</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2</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制定预算资金管理办法、内部财务管理制度、内控制度、会计核算制度等是否完整，是否执行到位。</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每发现一项问题，扣1分，扣完为止。</w:t>
            </w:r>
          </w:p>
        </w:tc>
        <w:tc>
          <w:tcPr>
            <w:tcW w:w="1614" w:type="dxa"/>
            <w:noWrap w:val="0"/>
            <w:tcMar>
              <w:top w:w="0" w:type="dxa"/>
              <w:left w:w="105" w:type="dxa"/>
              <w:bottom w:w="0" w:type="dxa"/>
              <w:right w:w="105" w:type="dxa"/>
            </w:tcMar>
            <w:vAlign w:val="center"/>
          </w:tcPr>
          <w:p>
            <w:pPr>
              <w:ind w:left="1" w:leftChars="0"/>
              <w:jc w:val="center"/>
              <w:rPr>
                <w:rFonts w:hint="default" w:ascii="Times New Roman" w:hAnsi="Times New Roman" w:eastAsia="楷体_GB2312" w:cs="Times New Roman"/>
                <w:sz w:val="18"/>
                <w:szCs w:val="18"/>
                <w:lang w:val="en-US" w:eastAsia="zh-CN" w:bidi="ar-SA"/>
              </w:rPr>
            </w:pPr>
            <w:r>
              <w:rPr>
                <w:rFonts w:hint="eastAsia" w:eastAsia="楷体_GB2312"/>
                <w:sz w:val="18"/>
                <w:szCs w:val="18"/>
                <w:lang w:val="en-US" w:eastAsia="zh-CN"/>
              </w:rPr>
              <w:t>已</w:t>
            </w:r>
            <w:r>
              <w:rPr>
                <w:rFonts w:eastAsia="楷体_GB2312"/>
                <w:sz w:val="18"/>
                <w:szCs w:val="18"/>
              </w:rPr>
              <w:t>制定预算资金管理办法、内部财务管理制度、内控制度、会计核算制度</w:t>
            </w:r>
            <w:r>
              <w:rPr>
                <w:rFonts w:hint="eastAsia" w:eastAsia="楷体_GB2312"/>
                <w:sz w:val="18"/>
                <w:szCs w:val="18"/>
                <w:lang w:eastAsia="zh-CN"/>
              </w:rPr>
              <w:t>，</w:t>
            </w:r>
            <w:r>
              <w:rPr>
                <w:rFonts w:hint="eastAsia" w:eastAsia="楷体_GB2312"/>
                <w:sz w:val="18"/>
                <w:szCs w:val="18"/>
                <w:lang w:val="en-US" w:eastAsia="zh-CN"/>
              </w:rPr>
              <w:t>执行力度不够</w:t>
            </w:r>
          </w:p>
        </w:tc>
        <w:tc>
          <w:tcPr>
            <w:tcW w:w="745" w:type="dxa"/>
            <w:vMerge w:val="restart"/>
            <w:noWrap w:val="0"/>
            <w:tcMar>
              <w:top w:w="0" w:type="dxa"/>
              <w:left w:w="105" w:type="dxa"/>
              <w:bottom w:w="0" w:type="dxa"/>
              <w:right w:w="105" w:type="dxa"/>
            </w:tcMar>
            <w:vAlign w:val="center"/>
          </w:tcPr>
          <w:p>
            <w:pPr>
              <w:ind w:left="1" w:leftChars="0"/>
              <w:jc w:val="center"/>
              <w:rPr>
                <w:rFonts w:hint="eastAsia" w:ascii="Times New Roman" w:hAnsi="Times New Roman" w:eastAsia="楷体_GB2312" w:cs="Times New Roman"/>
                <w:lang w:val="en-US" w:eastAsia="zh-CN" w:bidi="ar-SA"/>
              </w:rPr>
            </w:pPr>
            <w:r>
              <w:rPr>
                <w:rFonts w:hint="eastAsia" w:eastAsia="楷体_GB2312"/>
                <w:lang w:val="en-US" w:eastAsia="zh-CN"/>
              </w:rPr>
              <w:t>4</w:t>
            </w:r>
          </w:p>
          <w:p>
            <w:pPr>
              <w:jc w:val="center"/>
              <w:rPr>
                <w:rFonts w:eastAsia="楷体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027"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资金使用</w:t>
            </w:r>
          </w:p>
          <w:p>
            <w:pPr>
              <w:spacing w:line="300" w:lineRule="exact"/>
              <w:jc w:val="center"/>
              <w:rPr>
                <w:rFonts w:eastAsia="楷体_GB2312"/>
                <w:sz w:val="18"/>
                <w:szCs w:val="18"/>
              </w:rPr>
            </w:pPr>
            <w:r>
              <w:rPr>
                <w:rFonts w:eastAsia="楷体_GB2312"/>
                <w:sz w:val="18"/>
                <w:szCs w:val="18"/>
              </w:rPr>
              <w:t>合规性</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3</w:t>
            </w:r>
          </w:p>
        </w:tc>
        <w:tc>
          <w:tcPr>
            <w:tcW w:w="4750" w:type="dxa"/>
            <w:noWrap w:val="0"/>
            <w:tcMar>
              <w:top w:w="0" w:type="dxa"/>
              <w:left w:w="105" w:type="dxa"/>
              <w:bottom w:w="0" w:type="dxa"/>
              <w:right w:w="105" w:type="dxa"/>
            </w:tcMar>
            <w:vAlign w:val="center"/>
          </w:tcPr>
          <w:p>
            <w:pPr>
              <w:spacing w:line="300" w:lineRule="exact"/>
              <w:jc w:val="left"/>
              <w:rPr>
                <w:rFonts w:eastAsia="楷体_GB2312"/>
                <w:spacing w:val="-20"/>
                <w:sz w:val="18"/>
                <w:szCs w:val="18"/>
              </w:rPr>
            </w:pPr>
            <w:r>
              <w:rPr>
                <w:rFonts w:eastAsia="楷体_GB2312"/>
                <w:sz w:val="18"/>
                <w:szCs w:val="18"/>
              </w:rPr>
              <w:t>部门预算资金使用是否符合相关的预算财务管理制度的规定。如①是否符合国家财经法规和财务管理制度规定，以及有关专项资金管理办法的规定；②资金的拨付是否有完整的审批程序和手续；③项目的重大开支是否经过评估论证；④是否存在截留、挤占、挪用、虚列支出等情况。</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合规率100%得</w:t>
            </w:r>
            <w:r>
              <w:rPr>
                <w:rFonts w:hint="eastAsia" w:eastAsia="楷体_GB2312"/>
                <w:sz w:val="18"/>
                <w:szCs w:val="18"/>
              </w:rPr>
              <w:t>3</w:t>
            </w:r>
            <w:r>
              <w:rPr>
                <w:rFonts w:eastAsia="楷体_GB2312"/>
                <w:sz w:val="18"/>
                <w:szCs w:val="18"/>
              </w:rPr>
              <w:t>分；合规率每下降1%，扣0.5分，扣完为止。</w:t>
            </w:r>
          </w:p>
        </w:tc>
        <w:tc>
          <w:tcPr>
            <w:tcW w:w="1614" w:type="dxa"/>
            <w:noWrap w:val="0"/>
            <w:tcMar>
              <w:top w:w="0" w:type="dxa"/>
              <w:left w:w="105" w:type="dxa"/>
              <w:bottom w:w="0" w:type="dxa"/>
              <w:right w:w="105" w:type="dxa"/>
            </w:tcMar>
            <w:vAlign w:val="center"/>
          </w:tcPr>
          <w:p>
            <w:pPr>
              <w:ind w:left="1" w:leftChars="0"/>
              <w:jc w:val="center"/>
              <w:rPr>
                <w:rFonts w:ascii="Times New Roman" w:hAnsi="Times New Roman" w:eastAsia="楷体_GB2312" w:cs="Times New Roman"/>
                <w:sz w:val="18"/>
                <w:szCs w:val="18"/>
                <w:lang w:val="en-US" w:eastAsia="zh-CN" w:bidi="ar-SA"/>
              </w:rPr>
            </w:pPr>
            <w:r>
              <w:rPr>
                <w:rFonts w:hint="eastAsia" w:eastAsia="楷体_GB2312"/>
                <w:sz w:val="18"/>
                <w:szCs w:val="18"/>
                <w:lang w:val="en-US" w:eastAsia="zh-CN"/>
              </w:rPr>
              <w:t>资金使用合规</w:t>
            </w:r>
          </w:p>
        </w:tc>
        <w:tc>
          <w:tcPr>
            <w:tcW w:w="745" w:type="dxa"/>
            <w:vMerge w:val="continue"/>
            <w:noWrap w:val="0"/>
            <w:vAlign w:val="center"/>
          </w:tcPr>
          <w:p>
            <w:pPr>
              <w:jc w:val="center"/>
              <w:rPr>
                <w:rFonts w:eastAsia="楷体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35"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资金使用</w:t>
            </w:r>
          </w:p>
          <w:p>
            <w:pPr>
              <w:spacing w:line="300" w:lineRule="exact"/>
              <w:jc w:val="center"/>
              <w:rPr>
                <w:rFonts w:eastAsia="楷体_GB2312"/>
                <w:sz w:val="18"/>
                <w:szCs w:val="18"/>
              </w:rPr>
            </w:pPr>
            <w:r>
              <w:rPr>
                <w:rFonts w:eastAsia="楷体_GB2312"/>
                <w:sz w:val="18"/>
                <w:szCs w:val="18"/>
              </w:rPr>
              <w:t>合理性</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2</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部门预算资金使用是否与批准的预算及其预算内容相符合。</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相符率100%得2分；相符率每下降1%，扣0.5分，扣完为止。</w:t>
            </w:r>
          </w:p>
        </w:tc>
        <w:tc>
          <w:tcPr>
            <w:tcW w:w="1614" w:type="dxa"/>
            <w:noWrap w:val="0"/>
            <w:tcMar>
              <w:top w:w="0" w:type="dxa"/>
              <w:left w:w="105" w:type="dxa"/>
              <w:bottom w:w="0" w:type="dxa"/>
              <w:right w:w="105" w:type="dxa"/>
            </w:tcMar>
            <w:vAlign w:val="center"/>
          </w:tcPr>
          <w:p>
            <w:pPr>
              <w:ind w:left="1" w:leftChars="0"/>
              <w:jc w:val="center"/>
              <w:rPr>
                <w:rFonts w:hint="default" w:ascii="Times New Roman" w:hAnsi="Times New Roman" w:eastAsia="楷体_GB2312" w:cs="Times New Roman"/>
                <w:sz w:val="18"/>
                <w:szCs w:val="18"/>
                <w:lang w:val="en-US" w:eastAsia="zh-CN" w:bidi="ar-SA"/>
              </w:rPr>
            </w:pPr>
            <w:r>
              <w:rPr>
                <w:rFonts w:hint="eastAsia" w:eastAsia="楷体_GB2312"/>
                <w:sz w:val="18"/>
                <w:szCs w:val="18"/>
                <w:lang w:val="en-US" w:eastAsia="zh-CN"/>
              </w:rPr>
              <w:t>资金使用合理</w:t>
            </w:r>
          </w:p>
        </w:tc>
        <w:tc>
          <w:tcPr>
            <w:tcW w:w="745" w:type="dxa"/>
            <w:noWrap w:val="0"/>
            <w:tcMar>
              <w:top w:w="0" w:type="dxa"/>
              <w:left w:w="105" w:type="dxa"/>
              <w:bottom w:w="0" w:type="dxa"/>
              <w:right w:w="105" w:type="dxa"/>
            </w:tcMar>
            <w:vAlign w:val="center"/>
          </w:tcPr>
          <w:p>
            <w:pPr>
              <w:ind w:left="1" w:leftChars="0"/>
              <w:jc w:val="center"/>
              <w:rPr>
                <w:rFonts w:hint="eastAsia" w:ascii="Times New Roman" w:hAnsi="Times New Roman" w:eastAsia="楷体_GB2312" w:cs="Times New Roman"/>
                <w:lang w:val="en-US" w:eastAsia="zh-CN" w:bidi="ar-SA"/>
              </w:rPr>
            </w:pPr>
            <w:r>
              <w:rPr>
                <w:rFonts w:hint="eastAsia" w:eastAsia="楷体_GB2312"/>
                <w:lang w:val="en-US" w:eastAsia="zh-CN"/>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399"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整改</w:t>
            </w:r>
          </w:p>
          <w:p>
            <w:pPr>
              <w:spacing w:line="300" w:lineRule="exact"/>
              <w:jc w:val="center"/>
              <w:rPr>
                <w:rFonts w:eastAsia="楷体_GB2312"/>
                <w:sz w:val="18"/>
                <w:szCs w:val="18"/>
              </w:rPr>
            </w:pPr>
            <w:r>
              <w:rPr>
                <w:rFonts w:eastAsia="楷体_GB2312"/>
                <w:sz w:val="18"/>
                <w:szCs w:val="18"/>
              </w:rPr>
              <w:t>落实</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2</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是否对近三年内审计、财政等部门各项检查中、绩效评价发现违法违规问题已经进行有效整改。</w:t>
            </w:r>
          </w:p>
        </w:tc>
        <w:tc>
          <w:tcPr>
            <w:tcW w:w="3123" w:type="dxa"/>
            <w:noWrap w:val="0"/>
            <w:tcMar>
              <w:top w:w="0" w:type="dxa"/>
              <w:left w:w="105" w:type="dxa"/>
              <w:bottom w:w="0" w:type="dxa"/>
              <w:right w:w="105" w:type="dxa"/>
            </w:tcMar>
            <w:vAlign w:val="center"/>
          </w:tcPr>
          <w:p>
            <w:pPr>
              <w:spacing w:line="300" w:lineRule="exact"/>
              <w:jc w:val="left"/>
              <w:rPr>
                <w:rFonts w:eastAsia="楷体_GB2312"/>
                <w:spacing w:val="-20"/>
                <w:sz w:val="18"/>
                <w:szCs w:val="18"/>
              </w:rPr>
            </w:pPr>
            <w:r>
              <w:rPr>
                <w:rFonts w:eastAsia="楷体_GB2312"/>
                <w:sz w:val="18"/>
                <w:szCs w:val="18"/>
              </w:rPr>
              <w:t>没发现违法违规问题或发现违法违纪行为并积极制定措施全部整改的，得</w:t>
            </w:r>
            <w:r>
              <w:rPr>
                <w:rFonts w:hint="eastAsia" w:eastAsia="楷体_GB2312"/>
                <w:sz w:val="18"/>
                <w:szCs w:val="18"/>
              </w:rPr>
              <w:t>2</w:t>
            </w:r>
            <w:r>
              <w:rPr>
                <w:rFonts w:eastAsia="楷体_GB2312"/>
                <w:sz w:val="18"/>
                <w:szCs w:val="18"/>
              </w:rPr>
              <w:t>分；部分整改的，视整改情况得</w:t>
            </w:r>
            <w:r>
              <w:rPr>
                <w:rFonts w:hint="eastAsia" w:eastAsia="楷体_GB2312"/>
                <w:sz w:val="18"/>
                <w:szCs w:val="18"/>
              </w:rPr>
              <w:t>0.5至1</w:t>
            </w:r>
            <w:r>
              <w:rPr>
                <w:rFonts w:eastAsia="楷体_GB2312"/>
                <w:sz w:val="18"/>
                <w:szCs w:val="18"/>
              </w:rPr>
              <w:t>分；未整改的，得0分。</w:t>
            </w:r>
          </w:p>
        </w:tc>
        <w:tc>
          <w:tcPr>
            <w:tcW w:w="1614" w:type="dxa"/>
            <w:noWrap w:val="0"/>
            <w:tcMar>
              <w:top w:w="0" w:type="dxa"/>
              <w:left w:w="105" w:type="dxa"/>
              <w:bottom w:w="0" w:type="dxa"/>
              <w:right w:w="105" w:type="dxa"/>
            </w:tcMar>
            <w:vAlign w:val="center"/>
          </w:tcPr>
          <w:p>
            <w:pPr>
              <w:ind w:left="1" w:leftChars="0"/>
              <w:jc w:val="center"/>
              <w:rPr>
                <w:rFonts w:hint="default" w:ascii="Times New Roman" w:hAnsi="Times New Roman" w:eastAsia="楷体_GB2312" w:cs="Times New Roman"/>
                <w:sz w:val="18"/>
                <w:szCs w:val="18"/>
                <w:lang w:val="en-US" w:eastAsia="zh-CN" w:bidi="ar-SA"/>
              </w:rPr>
            </w:pPr>
            <w:r>
              <w:rPr>
                <w:rFonts w:eastAsia="楷体_GB2312"/>
                <w:sz w:val="18"/>
                <w:szCs w:val="18"/>
              </w:rPr>
              <w:t>近三年内审计、财政等部门各项检查中</w:t>
            </w:r>
            <w:r>
              <w:rPr>
                <w:rFonts w:hint="eastAsia" w:eastAsia="楷体_GB2312"/>
                <w:sz w:val="18"/>
                <w:szCs w:val="18"/>
                <w:lang w:eastAsia="zh-CN"/>
              </w:rPr>
              <w:t>，</w:t>
            </w:r>
            <w:r>
              <w:rPr>
                <w:rFonts w:hint="eastAsia" w:eastAsia="楷体_GB2312"/>
                <w:sz w:val="18"/>
                <w:szCs w:val="18"/>
                <w:lang w:val="en-US" w:eastAsia="zh-CN"/>
              </w:rPr>
              <w:t>未发现违规问题</w:t>
            </w:r>
          </w:p>
        </w:tc>
        <w:tc>
          <w:tcPr>
            <w:tcW w:w="745" w:type="dxa"/>
            <w:noWrap w:val="0"/>
            <w:tcMar>
              <w:top w:w="0" w:type="dxa"/>
              <w:left w:w="105" w:type="dxa"/>
              <w:bottom w:w="0" w:type="dxa"/>
              <w:right w:w="105" w:type="dxa"/>
            </w:tcMar>
            <w:vAlign w:val="center"/>
          </w:tcPr>
          <w:p>
            <w:pPr>
              <w:ind w:left="1" w:leftChars="0"/>
              <w:jc w:val="center"/>
              <w:rPr>
                <w:rFonts w:hint="eastAsia" w:ascii="Times New Roman" w:hAnsi="Times New Roman" w:eastAsia="楷体_GB2312" w:cs="Times New Roman"/>
                <w:lang w:val="en-US" w:eastAsia="zh-CN" w:bidi="ar-SA"/>
              </w:rPr>
            </w:pPr>
            <w:r>
              <w:rPr>
                <w:rFonts w:hint="eastAsia" w:eastAsia="楷体_GB2312"/>
                <w:lang w:val="en-US" w:eastAsia="zh-CN"/>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32"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资产管理（5分）</w:t>
            </w: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资产管理制度健全性</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1</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部门为加强资产管理、规范资产管理行为而制定的管理制度是否健全完整，是否合法合规，是否执行到位。</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每发现一项问题，扣0.5分，扣完为止。</w:t>
            </w:r>
          </w:p>
        </w:tc>
        <w:tc>
          <w:tcPr>
            <w:tcW w:w="1614" w:type="dxa"/>
            <w:noWrap w:val="0"/>
            <w:tcMar>
              <w:top w:w="0" w:type="dxa"/>
              <w:left w:w="105" w:type="dxa"/>
              <w:bottom w:w="0" w:type="dxa"/>
              <w:right w:w="105" w:type="dxa"/>
            </w:tcMar>
            <w:vAlign w:val="center"/>
          </w:tcPr>
          <w:p>
            <w:pPr>
              <w:ind w:left="1" w:leftChars="0"/>
              <w:jc w:val="center"/>
              <w:rPr>
                <w:rFonts w:hint="default" w:ascii="Times New Roman" w:hAnsi="Times New Roman" w:eastAsia="楷体_GB2312" w:cs="Times New Roman"/>
                <w:sz w:val="18"/>
                <w:szCs w:val="18"/>
                <w:lang w:val="en-US" w:eastAsia="zh-CN" w:bidi="ar-SA"/>
              </w:rPr>
            </w:pPr>
            <w:r>
              <w:rPr>
                <w:rFonts w:hint="eastAsia" w:eastAsia="楷体_GB2312"/>
                <w:sz w:val="18"/>
                <w:szCs w:val="18"/>
                <w:lang w:val="en-US" w:eastAsia="zh-CN"/>
              </w:rPr>
              <w:t>制定了资产管理制度并执行到位</w:t>
            </w:r>
          </w:p>
        </w:tc>
        <w:tc>
          <w:tcPr>
            <w:tcW w:w="745" w:type="dxa"/>
            <w:noWrap w:val="0"/>
            <w:tcMar>
              <w:top w:w="0" w:type="dxa"/>
              <w:left w:w="105" w:type="dxa"/>
              <w:bottom w:w="0" w:type="dxa"/>
              <w:right w:w="105" w:type="dxa"/>
            </w:tcMar>
            <w:vAlign w:val="center"/>
          </w:tcPr>
          <w:p>
            <w:pPr>
              <w:ind w:left="1" w:leftChars="0"/>
              <w:jc w:val="center"/>
              <w:rPr>
                <w:rFonts w:hint="eastAsia" w:ascii="Times New Roman" w:hAnsi="Times New Roman" w:eastAsia="楷体_GB2312" w:cs="Times New Roman"/>
                <w:lang w:val="en-US" w:eastAsia="zh-CN" w:bidi="ar-SA"/>
              </w:rPr>
            </w:pPr>
            <w:r>
              <w:rPr>
                <w:rFonts w:hint="eastAsia" w:eastAsia="楷体_GB2312"/>
                <w:lang w:val="en-US" w:eastAsia="zh-CN"/>
              </w:rPr>
              <w:t>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6"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资产管理</w:t>
            </w:r>
          </w:p>
          <w:p>
            <w:pPr>
              <w:spacing w:line="300" w:lineRule="exact"/>
              <w:jc w:val="center"/>
              <w:rPr>
                <w:rFonts w:eastAsia="楷体_GB2312"/>
                <w:sz w:val="18"/>
                <w:szCs w:val="18"/>
              </w:rPr>
            </w:pPr>
            <w:r>
              <w:rPr>
                <w:rFonts w:eastAsia="楷体_GB2312"/>
                <w:sz w:val="18"/>
                <w:szCs w:val="18"/>
              </w:rPr>
              <w:t>安全性</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2</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部门的资产是否保存完整、使用合规、配置合理、处置规范、收入及时足额上缴。</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每发现一项问题，扣0.5分，扣完为止。</w:t>
            </w:r>
          </w:p>
        </w:tc>
        <w:tc>
          <w:tcPr>
            <w:tcW w:w="1614" w:type="dxa"/>
            <w:noWrap w:val="0"/>
            <w:tcMar>
              <w:top w:w="0" w:type="dxa"/>
              <w:left w:w="105" w:type="dxa"/>
              <w:bottom w:w="0" w:type="dxa"/>
              <w:right w:w="105" w:type="dxa"/>
            </w:tcMar>
            <w:vAlign w:val="center"/>
          </w:tcPr>
          <w:p>
            <w:pPr>
              <w:ind w:left="1" w:leftChars="0"/>
              <w:jc w:val="center"/>
              <w:rPr>
                <w:rFonts w:ascii="Times New Roman" w:hAnsi="Times New Roman" w:eastAsia="楷体_GB2312" w:cs="Times New Roman"/>
                <w:sz w:val="18"/>
                <w:szCs w:val="18"/>
                <w:lang w:val="en-US" w:eastAsia="zh-CN" w:bidi="ar-SA"/>
              </w:rPr>
            </w:pPr>
            <w:r>
              <w:rPr>
                <w:rFonts w:hint="eastAsia" w:eastAsia="楷体_GB2312"/>
                <w:sz w:val="18"/>
                <w:szCs w:val="18"/>
                <w:lang w:val="en-US" w:eastAsia="zh-CN"/>
              </w:rPr>
              <w:t>合规且</w:t>
            </w:r>
            <w:r>
              <w:rPr>
                <w:rFonts w:eastAsia="楷体_GB2312"/>
                <w:sz w:val="18"/>
                <w:szCs w:val="18"/>
              </w:rPr>
              <w:t>收入及时足额上缴</w:t>
            </w:r>
          </w:p>
        </w:tc>
        <w:tc>
          <w:tcPr>
            <w:tcW w:w="745" w:type="dxa"/>
            <w:noWrap w:val="0"/>
            <w:tcMar>
              <w:top w:w="0" w:type="dxa"/>
              <w:left w:w="105" w:type="dxa"/>
              <w:bottom w:w="0" w:type="dxa"/>
              <w:right w:w="105" w:type="dxa"/>
            </w:tcMar>
            <w:vAlign w:val="center"/>
          </w:tcPr>
          <w:p>
            <w:pPr>
              <w:ind w:left="1" w:leftChars="0"/>
              <w:jc w:val="center"/>
              <w:rPr>
                <w:rFonts w:hint="eastAsia" w:ascii="Times New Roman" w:hAnsi="Times New Roman" w:eastAsia="楷体_GB2312" w:cs="Times New Roman"/>
                <w:lang w:val="en-US" w:eastAsia="zh-CN" w:bidi="ar-SA"/>
              </w:rPr>
            </w:pPr>
            <w:r>
              <w:rPr>
                <w:rFonts w:hint="eastAsia" w:eastAsia="楷体_GB2312"/>
                <w:lang w:val="en-US" w:eastAsia="zh-CN"/>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73"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固定资产</w:t>
            </w:r>
          </w:p>
          <w:p>
            <w:pPr>
              <w:spacing w:line="300" w:lineRule="exact"/>
              <w:jc w:val="center"/>
              <w:rPr>
                <w:rFonts w:eastAsia="楷体_GB2312"/>
                <w:sz w:val="18"/>
                <w:szCs w:val="18"/>
              </w:rPr>
            </w:pPr>
            <w:r>
              <w:rPr>
                <w:rFonts w:eastAsia="楷体_GB2312"/>
                <w:sz w:val="18"/>
                <w:szCs w:val="18"/>
              </w:rPr>
              <w:t>利用率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2</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固定资产利用率=（实际在用固定资产总额/所有固定资产总额）×100%</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99%≤结果≤100%，得2分；</w:t>
            </w:r>
          </w:p>
          <w:p>
            <w:pPr>
              <w:spacing w:line="300" w:lineRule="exact"/>
              <w:jc w:val="left"/>
              <w:rPr>
                <w:rFonts w:eastAsia="楷体_GB2312"/>
                <w:sz w:val="18"/>
                <w:szCs w:val="18"/>
              </w:rPr>
            </w:pPr>
            <w:r>
              <w:rPr>
                <w:rFonts w:eastAsia="楷体_GB2312"/>
                <w:sz w:val="18"/>
                <w:szCs w:val="18"/>
              </w:rPr>
              <w:t>90%≤结果＜99%，得1分；</w:t>
            </w:r>
          </w:p>
          <w:p>
            <w:pPr>
              <w:spacing w:line="300" w:lineRule="exact"/>
              <w:jc w:val="left"/>
              <w:rPr>
                <w:rFonts w:eastAsia="楷体_GB2312"/>
                <w:spacing w:val="-20"/>
                <w:sz w:val="18"/>
                <w:szCs w:val="18"/>
              </w:rPr>
            </w:pPr>
            <w:r>
              <w:rPr>
                <w:rFonts w:eastAsia="楷体_GB2312"/>
                <w:sz w:val="18"/>
                <w:szCs w:val="18"/>
              </w:rPr>
              <w:t>结果＜90%，得0分。</w:t>
            </w:r>
          </w:p>
        </w:tc>
        <w:tc>
          <w:tcPr>
            <w:tcW w:w="1614" w:type="dxa"/>
            <w:noWrap w:val="0"/>
            <w:tcMar>
              <w:top w:w="0" w:type="dxa"/>
              <w:left w:w="105" w:type="dxa"/>
              <w:bottom w:w="0" w:type="dxa"/>
              <w:right w:w="105" w:type="dxa"/>
            </w:tcMar>
            <w:vAlign w:val="center"/>
          </w:tcPr>
          <w:p>
            <w:pPr>
              <w:ind w:left="1" w:leftChars="0"/>
              <w:jc w:val="center"/>
              <w:rPr>
                <w:rFonts w:hint="default" w:ascii="Times New Roman" w:hAnsi="Times New Roman" w:eastAsia="楷体_GB2312" w:cs="Times New Roman"/>
                <w:sz w:val="18"/>
                <w:szCs w:val="18"/>
                <w:lang w:val="en-US" w:eastAsia="zh-CN" w:bidi="ar-SA"/>
              </w:rPr>
            </w:pPr>
            <w:r>
              <w:rPr>
                <w:rFonts w:hint="eastAsia" w:eastAsia="楷体_GB2312"/>
                <w:sz w:val="18"/>
                <w:szCs w:val="18"/>
                <w:lang w:val="en-US" w:eastAsia="zh-CN"/>
              </w:rPr>
              <w:t>95%</w:t>
            </w:r>
          </w:p>
        </w:tc>
        <w:tc>
          <w:tcPr>
            <w:tcW w:w="745" w:type="dxa"/>
            <w:noWrap w:val="0"/>
            <w:tcMar>
              <w:top w:w="0" w:type="dxa"/>
              <w:left w:w="105" w:type="dxa"/>
              <w:bottom w:w="0" w:type="dxa"/>
              <w:right w:w="105" w:type="dxa"/>
            </w:tcMar>
            <w:vAlign w:val="center"/>
          </w:tcPr>
          <w:p>
            <w:pPr>
              <w:ind w:left="1" w:leftChars="0"/>
              <w:jc w:val="center"/>
              <w:rPr>
                <w:rFonts w:hint="eastAsia" w:ascii="Times New Roman" w:hAnsi="Times New Roman" w:eastAsia="楷体_GB2312" w:cs="Times New Roman"/>
                <w:lang w:val="en-US" w:eastAsia="zh-CN" w:bidi="ar-SA"/>
              </w:rPr>
            </w:pPr>
            <w:r>
              <w:rPr>
                <w:rFonts w:hint="eastAsia" w:eastAsia="楷体_GB2312"/>
                <w:lang w:val="en-US" w:eastAsia="zh-CN"/>
              </w:rPr>
              <w:t>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094" w:hRule="atLeast"/>
          <w:tblCellSpacing w:w="0" w:type="dxa"/>
          <w:jc w:val="center"/>
        </w:trPr>
        <w:tc>
          <w:tcPr>
            <w:tcW w:w="10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产出与效果(共</w:t>
            </w:r>
            <w:r>
              <w:rPr>
                <w:rFonts w:hint="eastAsia" w:eastAsia="楷体_GB2312"/>
                <w:sz w:val="18"/>
                <w:szCs w:val="18"/>
              </w:rPr>
              <w:t>6</w:t>
            </w:r>
            <w:r>
              <w:rPr>
                <w:rFonts w:eastAsia="楷体_GB2312"/>
                <w:sz w:val="18"/>
                <w:szCs w:val="18"/>
              </w:rPr>
              <w:t>0分)</w:t>
            </w:r>
          </w:p>
        </w:tc>
        <w:tc>
          <w:tcPr>
            <w:tcW w:w="11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p>
          <w:p>
            <w:pPr>
              <w:spacing w:before="100" w:beforeAutospacing="1" w:after="100" w:afterAutospacing="1"/>
              <w:jc w:val="center"/>
              <w:rPr>
                <w:rFonts w:eastAsia="楷体_GB2312"/>
                <w:sz w:val="18"/>
                <w:szCs w:val="18"/>
              </w:rPr>
            </w:pPr>
            <w:r>
              <w:rPr>
                <w:rFonts w:eastAsia="楷体_GB2312"/>
                <w:sz w:val="18"/>
                <w:szCs w:val="18"/>
              </w:rPr>
              <w:t>产出指标（30分）</w:t>
            </w: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数量</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10</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对照整体绩效目标评价。未设置整体绩效目标，或整体绩效目标设置不完善的，根据部门年度履行职责主要工作和重点工作计划任务数与实际完成任务数的比率评价得分。</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对照绩效目标，按实际产出数量率计算得分</w:t>
            </w:r>
          </w:p>
        </w:tc>
        <w:tc>
          <w:tcPr>
            <w:tcW w:w="1614" w:type="dxa"/>
            <w:noWrap w:val="0"/>
            <w:tcMar>
              <w:top w:w="0" w:type="dxa"/>
              <w:left w:w="105" w:type="dxa"/>
              <w:bottom w:w="0" w:type="dxa"/>
              <w:right w:w="105" w:type="dxa"/>
            </w:tcMar>
            <w:vAlign w:val="center"/>
          </w:tcPr>
          <w:p>
            <w:pPr>
              <w:ind w:left="1" w:leftChars="0"/>
              <w:jc w:val="center"/>
              <w:rPr>
                <w:rFonts w:ascii="Times New Roman" w:hAnsi="Times New Roman" w:eastAsia="楷体_GB2312" w:cs="Times New Roman"/>
                <w:sz w:val="18"/>
                <w:szCs w:val="18"/>
                <w:lang w:val="en-US" w:eastAsia="zh-CN" w:bidi="ar-SA"/>
              </w:rPr>
            </w:pPr>
            <w:r>
              <w:rPr>
                <w:rFonts w:hint="eastAsia" w:eastAsia="楷体_GB2312"/>
                <w:sz w:val="18"/>
                <w:szCs w:val="18"/>
                <w:lang w:val="en-US" w:eastAsia="zh-CN"/>
              </w:rPr>
              <w:t>已</w:t>
            </w:r>
            <w:r>
              <w:rPr>
                <w:rFonts w:eastAsia="楷体_GB2312"/>
                <w:sz w:val="18"/>
                <w:szCs w:val="18"/>
              </w:rPr>
              <w:t>设置整体</w:t>
            </w:r>
            <w:r>
              <w:rPr>
                <w:rFonts w:hint="eastAsia" w:eastAsia="楷体_GB2312"/>
                <w:sz w:val="18"/>
                <w:szCs w:val="18"/>
                <w:lang w:eastAsia="zh-CN"/>
              </w:rPr>
              <w:t>绩效</w:t>
            </w:r>
            <w:r>
              <w:rPr>
                <w:rFonts w:hint="eastAsia" w:eastAsia="楷体_GB2312"/>
                <w:sz w:val="18"/>
                <w:szCs w:val="18"/>
                <w:lang w:val="en-US" w:eastAsia="zh-CN"/>
              </w:rPr>
              <w:t>且</w:t>
            </w:r>
            <w:r>
              <w:rPr>
                <w:rFonts w:eastAsia="楷体_GB2312"/>
                <w:sz w:val="18"/>
                <w:szCs w:val="18"/>
              </w:rPr>
              <w:t>整体绩效目标设置完善</w:t>
            </w:r>
          </w:p>
        </w:tc>
        <w:tc>
          <w:tcPr>
            <w:tcW w:w="745" w:type="dxa"/>
            <w:noWrap w:val="0"/>
            <w:tcMar>
              <w:top w:w="0" w:type="dxa"/>
              <w:left w:w="105" w:type="dxa"/>
              <w:bottom w:w="0" w:type="dxa"/>
              <w:right w:w="105" w:type="dxa"/>
            </w:tcMar>
            <w:vAlign w:val="center"/>
          </w:tcPr>
          <w:p>
            <w:pPr>
              <w:ind w:left="1" w:leftChars="0"/>
              <w:jc w:val="center"/>
              <w:rPr>
                <w:rFonts w:hint="default" w:ascii="Times New Roman" w:hAnsi="Times New Roman" w:eastAsia="楷体_GB2312" w:cs="Times New Roman"/>
                <w:lang w:val="en-US" w:eastAsia="zh-CN" w:bidi="ar-SA"/>
              </w:rPr>
            </w:pPr>
            <w:r>
              <w:rPr>
                <w:rFonts w:hint="eastAsia" w:eastAsia="楷体_GB2312"/>
                <w:lang w:val="en-US" w:eastAsia="zh-CN"/>
              </w:rPr>
              <w:t>9</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59"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质量</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10</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对照整体绩效目标评价。未设置整体绩效目标，或整体绩效目标设置不完善的，根据部门年度履行职责主要工作和重点工作，标识具体明确的产出质量。</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对照绩效目标，按实际产出质量计算得分</w:t>
            </w:r>
          </w:p>
        </w:tc>
        <w:tc>
          <w:tcPr>
            <w:tcW w:w="1614" w:type="dxa"/>
            <w:noWrap w:val="0"/>
            <w:tcMar>
              <w:top w:w="0" w:type="dxa"/>
              <w:left w:w="105" w:type="dxa"/>
              <w:bottom w:w="0" w:type="dxa"/>
              <w:right w:w="105" w:type="dxa"/>
            </w:tcMar>
            <w:vAlign w:val="center"/>
          </w:tcPr>
          <w:p>
            <w:pPr>
              <w:ind w:left="1" w:leftChars="0"/>
              <w:jc w:val="center"/>
              <w:rPr>
                <w:rFonts w:hint="eastAsia" w:ascii="Times New Roman" w:hAnsi="Times New Roman" w:eastAsia="楷体_GB2312" w:cs="Times New Roman"/>
                <w:sz w:val="18"/>
                <w:szCs w:val="18"/>
                <w:lang w:val="en-US" w:eastAsia="zh-CN" w:bidi="ar-SA"/>
              </w:rPr>
            </w:pPr>
            <w:r>
              <w:rPr>
                <w:rFonts w:hint="eastAsia" w:eastAsia="楷体_GB2312"/>
                <w:sz w:val="18"/>
                <w:szCs w:val="18"/>
                <w:lang w:val="en-US" w:eastAsia="zh-CN"/>
              </w:rPr>
              <w:t>质量较好</w:t>
            </w:r>
          </w:p>
        </w:tc>
        <w:tc>
          <w:tcPr>
            <w:tcW w:w="745" w:type="dxa"/>
            <w:noWrap w:val="0"/>
            <w:tcMar>
              <w:top w:w="0" w:type="dxa"/>
              <w:left w:w="105" w:type="dxa"/>
              <w:bottom w:w="0" w:type="dxa"/>
              <w:right w:w="105" w:type="dxa"/>
            </w:tcMar>
            <w:vAlign w:val="center"/>
          </w:tcPr>
          <w:p>
            <w:pPr>
              <w:ind w:left="1" w:leftChars="0"/>
              <w:jc w:val="center"/>
              <w:rPr>
                <w:rFonts w:hint="eastAsia" w:ascii="Times New Roman" w:hAnsi="Times New Roman" w:eastAsia="楷体_GB2312" w:cs="Times New Roman"/>
                <w:lang w:val="en-US" w:eastAsia="zh-CN" w:bidi="ar-SA"/>
              </w:rPr>
            </w:pPr>
            <w:r>
              <w:rPr>
                <w:rFonts w:hint="eastAsia" w:eastAsia="楷体_GB2312"/>
                <w:lang w:val="en-US" w:eastAsia="zh-CN"/>
              </w:rPr>
              <w:t>9</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54"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时效</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10</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对照整体绩效目标评价。未设置整体绩效目标，或整体绩效目标设置不完善的，根据部门年度履行职责主要工作和重点工作，标识具体明确的产出时效。</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对照绩效目标，按实际产出时效计算得分</w:t>
            </w:r>
          </w:p>
        </w:tc>
        <w:tc>
          <w:tcPr>
            <w:tcW w:w="1614" w:type="dxa"/>
            <w:noWrap w:val="0"/>
            <w:tcMar>
              <w:top w:w="0" w:type="dxa"/>
              <w:left w:w="105" w:type="dxa"/>
              <w:bottom w:w="0" w:type="dxa"/>
              <w:right w:w="105" w:type="dxa"/>
            </w:tcMar>
            <w:vAlign w:val="center"/>
          </w:tcPr>
          <w:p>
            <w:pPr>
              <w:ind w:left="1" w:leftChars="0"/>
              <w:jc w:val="center"/>
              <w:rPr>
                <w:rFonts w:hint="eastAsia" w:ascii="Times New Roman" w:hAnsi="Times New Roman" w:eastAsia="楷体_GB2312" w:cs="Times New Roman"/>
                <w:sz w:val="18"/>
                <w:szCs w:val="18"/>
                <w:lang w:val="en-US" w:eastAsia="zh-CN" w:bidi="ar-SA"/>
              </w:rPr>
            </w:pPr>
            <w:r>
              <w:rPr>
                <w:rFonts w:hint="eastAsia" w:eastAsia="楷体_GB2312"/>
                <w:sz w:val="18"/>
                <w:szCs w:val="18"/>
                <w:lang w:val="en-US" w:eastAsia="zh-CN"/>
              </w:rPr>
              <w:t>及时完成</w:t>
            </w:r>
          </w:p>
        </w:tc>
        <w:tc>
          <w:tcPr>
            <w:tcW w:w="745" w:type="dxa"/>
            <w:noWrap w:val="0"/>
            <w:tcMar>
              <w:top w:w="0" w:type="dxa"/>
              <w:left w:w="105" w:type="dxa"/>
              <w:bottom w:w="0" w:type="dxa"/>
              <w:right w:w="105" w:type="dxa"/>
            </w:tcMar>
            <w:vAlign w:val="center"/>
          </w:tcPr>
          <w:p>
            <w:pPr>
              <w:ind w:left="1" w:leftChars="0"/>
              <w:jc w:val="center"/>
              <w:rPr>
                <w:rFonts w:hint="default" w:ascii="Times New Roman" w:hAnsi="Times New Roman" w:eastAsia="楷体_GB2312" w:cs="Times New Roman"/>
                <w:lang w:val="en-US" w:eastAsia="zh-CN" w:bidi="ar-SA"/>
              </w:rPr>
            </w:pPr>
            <w:r>
              <w:rPr>
                <w:rFonts w:hint="eastAsia" w:eastAsia="楷体_GB2312"/>
                <w:lang w:val="en-US" w:eastAsia="zh-CN"/>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73"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效益指标（</w:t>
            </w:r>
            <w:r>
              <w:rPr>
                <w:rFonts w:hint="eastAsia" w:eastAsia="楷体_GB2312"/>
                <w:sz w:val="18"/>
                <w:szCs w:val="18"/>
              </w:rPr>
              <w:t>3</w:t>
            </w:r>
            <w:r>
              <w:rPr>
                <w:rFonts w:eastAsia="楷体_GB2312"/>
                <w:sz w:val="18"/>
                <w:szCs w:val="18"/>
              </w:rPr>
              <w:t>0分）</w:t>
            </w: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经济</w:t>
            </w:r>
          </w:p>
          <w:p>
            <w:pPr>
              <w:spacing w:line="300" w:lineRule="exact"/>
              <w:jc w:val="center"/>
              <w:rPr>
                <w:rFonts w:hint="eastAsia" w:eastAsia="楷体_GB2312"/>
                <w:sz w:val="18"/>
                <w:szCs w:val="18"/>
              </w:rPr>
            </w:pPr>
            <w:r>
              <w:rPr>
                <w:rFonts w:eastAsia="楷体_GB2312"/>
                <w:sz w:val="18"/>
                <w:szCs w:val="18"/>
              </w:rPr>
              <w:t>效益</w:t>
            </w:r>
          </w:p>
        </w:tc>
        <w:tc>
          <w:tcPr>
            <w:tcW w:w="701" w:type="dxa"/>
            <w:vMerge w:val="restart"/>
            <w:tcBorders>
              <w:top w:val="single" w:color="auto" w:sz="4" w:space="0"/>
            </w:tcBorders>
            <w:noWrap w:val="0"/>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rPr>
              <w:t>20</w:t>
            </w:r>
          </w:p>
        </w:tc>
        <w:tc>
          <w:tcPr>
            <w:tcW w:w="4750" w:type="dxa"/>
            <w:tcBorders>
              <w:top w:val="single" w:color="auto" w:sz="4" w:space="0"/>
            </w:tcBorders>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对照整体绩效目标评价。未设置整体绩效目标，或整体绩效目标设置不完善的，根据部门年度履行职责主要工作和重点工作，标识所产生的直接或间接的经济效益</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对照绩效目标，按经济效益实现程度计算得分</w:t>
            </w:r>
          </w:p>
        </w:tc>
        <w:tc>
          <w:tcPr>
            <w:tcW w:w="1614" w:type="dxa"/>
            <w:noWrap w:val="0"/>
            <w:tcMar>
              <w:top w:w="0" w:type="dxa"/>
              <w:left w:w="105" w:type="dxa"/>
              <w:bottom w:w="0" w:type="dxa"/>
              <w:right w:w="105" w:type="dxa"/>
            </w:tcMar>
            <w:vAlign w:val="center"/>
          </w:tcPr>
          <w:p>
            <w:pPr>
              <w:ind w:left="1" w:leftChars="0"/>
              <w:jc w:val="center"/>
              <w:rPr>
                <w:rFonts w:hint="eastAsia" w:ascii="Times New Roman" w:hAnsi="Times New Roman" w:eastAsia="楷体_GB2312" w:cs="Times New Roman"/>
                <w:sz w:val="18"/>
                <w:szCs w:val="18"/>
                <w:lang w:val="en-US" w:eastAsia="zh-CN" w:bidi="ar-SA"/>
              </w:rPr>
            </w:pPr>
            <w:r>
              <w:rPr>
                <w:rFonts w:hint="eastAsia" w:eastAsia="楷体_GB2312"/>
                <w:sz w:val="18"/>
                <w:szCs w:val="18"/>
                <w:lang w:val="en-US" w:eastAsia="zh-CN"/>
              </w:rPr>
              <w:t>较好</w:t>
            </w:r>
          </w:p>
        </w:tc>
        <w:tc>
          <w:tcPr>
            <w:tcW w:w="745" w:type="dxa"/>
            <w:noWrap w:val="0"/>
            <w:tcMar>
              <w:top w:w="0" w:type="dxa"/>
              <w:left w:w="105" w:type="dxa"/>
              <w:bottom w:w="0" w:type="dxa"/>
              <w:right w:w="105" w:type="dxa"/>
            </w:tcMar>
            <w:vAlign w:val="center"/>
          </w:tcPr>
          <w:p>
            <w:pPr>
              <w:ind w:left="1" w:leftChars="0"/>
              <w:jc w:val="center"/>
              <w:rPr>
                <w:rFonts w:hint="eastAsia" w:ascii="Times New Roman" w:hAnsi="Times New Roman" w:eastAsia="楷体_GB2312" w:cs="Times New Roman"/>
                <w:lang w:val="en-US" w:eastAsia="zh-CN" w:bidi="ar-SA"/>
              </w:rPr>
            </w:pPr>
            <w:r>
              <w:rPr>
                <w:rFonts w:hint="eastAsia" w:eastAsia="楷体_GB2312"/>
                <w:lang w:val="en-US" w:eastAsia="zh-CN"/>
              </w:rPr>
              <w:t>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0"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tcBorders>
              <w:right w:val="single" w:color="auto" w:sz="4" w:space="0"/>
            </w:tcBorders>
            <w:noWrap w:val="0"/>
            <w:vAlign w:val="center"/>
          </w:tcPr>
          <w:p>
            <w:pPr>
              <w:spacing w:line="300" w:lineRule="exact"/>
              <w:jc w:val="center"/>
              <w:rPr>
                <w:rFonts w:eastAsia="楷体_GB2312"/>
                <w:sz w:val="18"/>
                <w:szCs w:val="18"/>
              </w:rPr>
            </w:pPr>
            <w:r>
              <w:rPr>
                <w:rFonts w:eastAsia="楷体_GB2312"/>
                <w:sz w:val="18"/>
                <w:szCs w:val="18"/>
              </w:rPr>
              <w:t>社会</w:t>
            </w:r>
          </w:p>
          <w:p>
            <w:pPr>
              <w:spacing w:line="300" w:lineRule="exact"/>
              <w:jc w:val="center"/>
              <w:rPr>
                <w:rFonts w:eastAsia="楷体_GB2312"/>
                <w:sz w:val="18"/>
                <w:szCs w:val="18"/>
              </w:rPr>
            </w:pPr>
            <w:r>
              <w:rPr>
                <w:rFonts w:eastAsia="楷体_GB2312"/>
                <w:sz w:val="18"/>
                <w:szCs w:val="18"/>
              </w:rPr>
              <w:t>效益</w:t>
            </w:r>
          </w:p>
        </w:tc>
        <w:tc>
          <w:tcPr>
            <w:tcW w:w="701" w:type="dxa"/>
            <w:vMerge w:val="continue"/>
            <w:noWrap w:val="0"/>
            <w:vAlign w:val="center"/>
          </w:tcPr>
          <w:p>
            <w:pPr>
              <w:jc w:val="center"/>
              <w:rPr>
                <w:rFonts w:hint="eastAsia" w:eastAsia="楷体_GB2312"/>
                <w:sz w:val="18"/>
                <w:szCs w:val="18"/>
              </w:rPr>
            </w:pPr>
          </w:p>
        </w:tc>
        <w:tc>
          <w:tcPr>
            <w:tcW w:w="4750" w:type="dxa"/>
            <w:tcBorders>
              <w:top w:val="single" w:color="auto" w:sz="4" w:space="0"/>
            </w:tcBorders>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对照整体绩效目标评价。未设置整体绩效目标，或整体绩效目标设置不完善的，根据部门年度履行职责主要工作和重点工作，标识所产生的社会效益</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对照绩效目标，按社会效益实现程度计算得分</w:t>
            </w:r>
          </w:p>
        </w:tc>
        <w:tc>
          <w:tcPr>
            <w:tcW w:w="1614" w:type="dxa"/>
            <w:noWrap w:val="0"/>
            <w:tcMar>
              <w:top w:w="0" w:type="dxa"/>
              <w:left w:w="105" w:type="dxa"/>
              <w:bottom w:w="0" w:type="dxa"/>
              <w:right w:w="105" w:type="dxa"/>
            </w:tcMar>
            <w:vAlign w:val="center"/>
          </w:tcPr>
          <w:p>
            <w:pPr>
              <w:ind w:left="1" w:leftChars="0"/>
              <w:jc w:val="center"/>
              <w:rPr>
                <w:rFonts w:hint="eastAsia" w:ascii="Times New Roman" w:hAnsi="Times New Roman" w:eastAsia="楷体_GB2312" w:cs="Times New Roman"/>
                <w:sz w:val="18"/>
                <w:szCs w:val="18"/>
                <w:lang w:val="en-US" w:eastAsia="zh-CN" w:bidi="ar-SA"/>
              </w:rPr>
            </w:pPr>
            <w:r>
              <w:rPr>
                <w:rFonts w:hint="eastAsia" w:eastAsia="楷体_GB2312"/>
                <w:sz w:val="18"/>
                <w:szCs w:val="18"/>
                <w:lang w:val="en-US" w:eastAsia="zh-CN"/>
              </w:rPr>
              <w:t>较好</w:t>
            </w:r>
          </w:p>
        </w:tc>
        <w:tc>
          <w:tcPr>
            <w:tcW w:w="745" w:type="dxa"/>
            <w:noWrap w:val="0"/>
            <w:tcMar>
              <w:top w:w="0" w:type="dxa"/>
              <w:left w:w="105" w:type="dxa"/>
              <w:bottom w:w="0" w:type="dxa"/>
              <w:right w:w="105" w:type="dxa"/>
            </w:tcMar>
            <w:vAlign w:val="center"/>
          </w:tcPr>
          <w:p>
            <w:pPr>
              <w:ind w:left="1" w:leftChars="0"/>
              <w:jc w:val="center"/>
              <w:rPr>
                <w:rFonts w:hint="eastAsia" w:ascii="Times New Roman" w:hAnsi="Times New Roman" w:eastAsia="楷体_GB2312" w:cs="Times New Roman"/>
                <w:lang w:val="en-US" w:eastAsia="zh-CN" w:bidi="ar-SA"/>
              </w:rPr>
            </w:pPr>
            <w:r>
              <w:rPr>
                <w:rFonts w:hint="eastAsia" w:eastAsia="楷体_GB2312"/>
                <w:lang w:val="en-US" w:eastAsia="zh-CN"/>
              </w:rPr>
              <w:t>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230"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vAlign w:val="center"/>
          </w:tcPr>
          <w:p>
            <w:pPr>
              <w:spacing w:line="300" w:lineRule="exact"/>
              <w:jc w:val="center"/>
              <w:rPr>
                <w:rFonts w:eastAsia="楷体_GB2312"/>
                <w:sz w:val="18"/>
                <w:szCs w:val="18"/>
              </w:rPr>
            </w:pPr>
            <w:r>
              <w:rPr>
                <w:rFonts w:eastAsia="楷体_GB2312"/>
                <w:sz w:val="18"/>
                <w:szCs w:val="18"/>
              </w:rPr>
              <w:t>环境</w:t>
            </w:r>
          </w:p>
          <w:p>
            <w:pPr>
              <w:spacing w:line="300" w:lineRule="exact"/>
              <w:jc w:val="center"/>
              <w:rPr>
                <w:rFonts w:eastAsia="楷体_GB2312"/>
                <w:sz w:val="18"/>
                <w:szCs w:val="18"/>
              </w:rPr>
            </w:pPr>
            <w:r>
              <w:rPr>
                <w:rFonts w:eastAsia="楷体_GB2312"/>
                <w:sz w:val="18"/>
                <w:szCs w:val="18"/>
              </w:rPr>
              <w:t>效益</w:t>
            </w:r>
          </w:p>
        </w:tc>
        <w:tc>
          <w:tcPr>
            <w:tcW w:w="701" w:type="dxa"/>
            <w:vMerge w:val="continue"/>
            <w:noWrap w:val="0"/>
            <w:vAlign w:val="center"/>
          </w:tcPr>
          <w:p>
            <w:pPr>
              <w:jc w:val="center"/>
              <w:rPr>
                <w:rFonts w:hint="eastAsia" w:eastAsia="楷体_GB2312"/>
                <w:sz w:val="18"/>
                <w:szCs w:val="18"/>
              </w:rPr>
            </w:pPr>
          </w:p>
        </w:tc>
        <w:tc>
          <w:tcPr>
            <w:tcW w:w="4750" w:type="dxa"/>
            <w:tcBorders>
              <w:right w:val="nil"/>
            </w:tcBorders>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w:t>
            </w:r>
          </w:p>
          <w:p>
            <w:pPr>
              <w:spacing w:line="300" w:lineRule="exact"/>
              <w:jc w:val="left"/>
              <w:rPr>
                <w:rFonts w:eastAsia="楷体_GB2312"/>
                <w:sz w:val="18"/>
                <w:szCs w:val="18"/>
              </w:rPr>
            </w:pPr>
            <w:r>
              <w:rPr>
                <w:rFonts w:eastAsia="楷体_GB2312"/>
                <w:sz w:val="18"/>
                <w:szCs w:val="18"/>
              </w:rPr>
              <w:t>置整体绩效目标，或整体绩效目标设置不完善的，根据部门年度履行职责主要工作和重点工作，标识对环境所产生的积极或消极影响</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对照绩效目标，按对环境所产生的实际影响程度计算得分</w:t>
            </w:r>
          </w:p>
        </w:tc>
        <w:tc>
          <w:tcPr>
            <w:tcW w:w="1614" w:type="dxa"/>
            <w:noWrap w:val="0"/>
            <w:tcMar>
              <w:top w:w="0" w:type="dxa"/>
              <w:left w:w="105" w:type="dxa"/>
              <w:bottom w:w="0" w:type="dxa"/>
              <w:right w:w="105" w:type="dxa"/>
            </w:tcMar>
            <w:vAlign w:val="center"/>
          </w:tcPr>
          <w:p>
            <w:pPr>
              <w:ind w:left="1" w:leftChars="0"/>
              <w:jc w:val="center"/>
              <w:rPr>
                <w:rFonts w:hint="default" w:ascii="Times New Roman" w:hAnsi="Times New Roman" w:eastAsia="楷体_GB2312" w:cs="Times New Roman"/>
                <w:sz w:val="18"/>
                <w:szCs w:val="18"/>
                <w:lang w:val="en-US" w:eastAsia="zh-CN" w:bidi="ar-SA"/>
              </w:rPr>
            </w:pPr>
            <w:r>
              <w:rPr>
                <w:rFonts w:hint="eastAsia" w:eastAsia="楷体_GB2312"/>
                <w:sz w:val="18"/>
                <w:szCs w:val="18"/>
                <w:lang w:val="en-US" w:eastAsia="zh-CN"/>
              </w:rPr>
              <w:t>积极影响</w:t>
            </w:r>
          </w:p>
        </w:tc>
        <w:tc>
          <w:tcPr>
            <w:tcW w:w="745" w:type="dxa"/>
            <w:noWrap w:val="0"/>
            <w:tcMar>
              <w:top w:w="0" w:type="dxa"/>
              <w:left w:w="105" w:type="dxa"/>
              <w:bottom w:w="0" w:type="dxa"/>
              <w:right w:w="105" w:type="dxa"/>
            </w:tcMar>
            <w:vAlign w:val="center"/>
          </w:tcPr>
          <w:p>
            <w:pPr>
              <w:ind w:left="1" w:leftChars="0"/>
              <w:jc w:val="center"/>
              <w:rPr>
                <w:rFonts w:hint="eastAsia" w:ascii="Times New Roman" w:hAnsi="Times New Roman" w:eastAsia="楷体_GB2312" w:cs="Times New Roman"/>
                <w:lang w:val="en-US" w:eastAsia="zh-CN" w:bidi="ar-SA"/>
              </w:rPr>
            </w:pPr>
            <w:r>
              <w:rPr>
                <w:rFonts w:hint="eastAsia" w:eastAsia="楷体_GB2312"/>
                <w:lang w:val="en-US" w:eastAsia="zh-CN"/>
              </w:rPr>
              <w:t>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63"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vAlign w:val="center"/>
          </w:tcPr>
          <w:p>
            <w:pPr>
              <w:spacing w:line="300" w:lineRule="exact"/>
              <w:jc w:val="center"/>
              <w:rPr>
                <w:rFonts w:eastAsia="楷体_GB2312"/>
                <w:sz w:val="18"/>
                <w:szCs w:val="18"/>
              </w:rPr>
            </w:pPr>
            <w:r>
              <w:rPr>
                <w:rFonts w:eastAsia="楷体_GB2312"/>
                <w:sz w:val="18"/>
                <w:szCs w:val="18"/>
              </w:rPr>
              <w:t>可持续性</w:t>
            </w:r>
          </w:p>
        </w:tc>
        <w:tc>
          <w:tcPr>
            <w:tcW w:w="701" w:type="dxa"/>
            <w:vMerge w:val="continue"/>
            <w:noWrap w:val="0"/>
            <w:vAlign w:val="center"/>
          </w:tcPr>
          <w:p>
            <w:pPr>
              <w:jc w:val="center"/>
              <w:rPr>
                <w:rFonts w:hint="eastAsia" w:eastAsia="楷体_GB2312"/>
                <w:sz w:val="18"/>
                <w:szCs w:val="18"/>
              </w:rPr>
            </w:pP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对照整体绩效目标评价。未设置整体绩效目标，或整体绩效目标设置不完善的，根据部门年度履行职责主要工作和重点工作，标识可持续性</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对照绩效目标，按实际情况计算得分</w:t>
            </w:r>
          </w:p>
        </w:tc>
        <w:tc>
          <w:tcPr>
            <w:tcW w:w="1614" w:type="dxa"/>
            <w:noWrap w:val="0"/>
            <w:tcMar>
              <w:top w:w="0" w:type="dxa"/>
              <w:left w:w="105" w:type="dxa"/>
              <w:bottom w:w="0" w:type="dxa"/>
              <w:right w:w="105" w:type="dxa"/>
            </w:tcMar>
            <w:vAlign w:val="center"/>
          </w:tcPr>
          <w:p>
            <w:pPr>
              <w:ind w:left="1" w:leftChars="0"/>
              <w:jc w:val="center"/>
              <w:rPr>
                <w:rFonts w:hint="eastAsia" w:ascii="Times New Roman" w:hAnsi="Times New Roman" w:eastAsia="楷体_GB2312" w:cs="Times New Roman"/>
                <w:sz w:val="18"/>
                <w:szCs w:val="18"/>
                <w:lang w:val="en-US" w:eastAsia="zh-CN" w:bidi="ar-SA"/>
              </w:rPr>
            </w:pPr>
            <w:r>
              <w:rPr>
                <w:rFonts w:hint="eastAsia" w:eastAsia="楷体_GB2312"/>
                <w:sz w:val="18"/>
                <w:szCs w:val="18"/>
                <w:lang w:val="en-US" w:eastAsia="zh-CN"/>
              </w:rPr>
              <w:t>长期可持续</w:t>
            </w:r>
          </w:p>
        </w:tc>
        <w:tc>
          <w:tcPr>
            <w:tcW w:w="745" w:type="dxa"/>
            <w:noWrap w:val="0"/>
            <w:tcMar>
              <w:top w:w="0" w:type="dxa"/>
              <w:left w:w="105" w:type="dxa"/>
              <w:bottom w:w="0" w:type="dxa"/>
              <w:right w:w="105" w:type="dxa"/>
            </w:tcMar>
            <w:vAlign w:val="center"/>
          </w:tcPr>
          <w:p>
            <w:pPr>
              <w:ind w:left="1" w:leftChars="0"/>
              <w:jc w:val="center"/>
              <w:rPr>
                <w:rFonts w:hint="eastAsia" w:ascii="Times New Roman" w:hAnsi="Times New Roman" w:eastAsia="楷体_GB2312" w:cs="Times New Roman"/>
                <w:lang w:val="en-US" w:eastAsia="zh-CN" w:bidi="ar-SA"/>
              </w:rPr>
            </w:pPr>
            <w:r>
              <w:rPr>
                <w:rFonts w:hint="eastAsia" w:eastAsia="楷体_GB2312"/>
                <w:lang w:val="en-US" w:eastAsia="zh-CN"/>
              </w:rPr>
              <w:t>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51"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260" w:lineRule="exact"/>
              <w:jc w:val="center"/>
              <w:rPr>
                <w:rFonts w:eastAsia="楷体_GB2312"/>
                <w:sz w:val="18"/>
                <w:szCs w:val="18"/>
              </w:rPr>
            </w:pPr>
            <w:r>
              <w:rPr>
                <w:rFonts w:eastAsia="楷体_GB2312"/>
                <w:sz w:val="18"/>
                <w:szCs w:val="18"/>
              </w:rPr>
              <w:t>社会公众与服务对象满意度</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10</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社会公众、服务对象对部门主要工作实施的满意程度</w:t>
            </w:r>
          </w:p>
        </w:tc>
        <w:tc>
          <w:tcPr>
            <w:tcW w:w="3123" w:type="dxa"/>
            <w:noWrap w:val="0"/>
            <w:tcMar>
              <w:top w:w="0" w:type="dxa"/>
              <w:left w:w="105" w:type="dxa"/>
              <w:bottom w:w="0" w:type="dxa"/>
              <w:right w:w="105" w:type="dxa"/>
            </w:tcMar>
            <w:vAlign w:val="center"/>
          </w:tcPr>
          <w:p>
            <w:pPr>
              <w:spacing w:line="300" w:lineRule="exact"/>
              <w:jc w:val="left"/>
              <w:rPr>
                <w:rFonts w:hint="eastAsia" w:eastAsia="楷体_GB2312"/>
                <w:sz w:val="18"/>
                <w:szCs w:val="18"/>
              </w:rPr>
            </w:pPr>
            <w:r>
              <w:rPr>
                <w:rFonts w:hint="eastAsia" w:eastAsia="楷体_GB2312"/>
                <w:sz w:val="18"/>
                <w:szCs w:val="18"/>
              </w:rPr>
              <w:t>90%≤满意度≤100%记10分，</w:t>
            </w:r>
          </w:p>
          <w:p>
            <w:pPr>
              <w:spacing w:line="300" w:lineRule="exact"/>
              <w:jc w:val="left"/>
              <w:rPr>
                <w:rFonts w:hint="eastAsia" w:eastAsia="楷体_GB2312"/>
                <w:sz w:val="18"/>
                <w:szCs w:val="18"/>
              </w:rPr>
            </w:pPr>
            <w:r>
              <w:rPr>
                <w:rFonts w:hint="eastAsia" w:eastAsia="楷体_GB2312"/>
                <w:sz w:val="18"/>
                <w:szCs w:val="18"/>
              </w:rPr>
              <w:t>80%≤满意度&lt;90%记8分，</w:t>
            </w:r>
          </w:p>
          <w:p>
            <w:pPr>
              <w:spacing w:line="300" w:lineRule="exact"/>
              <w:jc w:val="left"/>
              <w:rPr>
                <w:rFonts w:hint="eastAsia" w:eastAsia="楷体_GB2312"/>
                <w:sz w:val="18"/>
                <w:szCs w:val="18"/>
              </w:rPr>
            </w:pPr>
            <w:r>
              <w:rPr>
                <w:rFonts w:hint="eastAsia" w:eastAsia="楷体_GB2312"/>
                <w:sz w:val="18"/>
                <w:szCs w:val="18"/>
              </w:rPr>
              <w:t>70%≤满意度&lt;80%  记6分，</w:t>
            </w:r>
          </w:p>
          <w:p>
            <w:pPr>
              <w:spacing w:line="300" w:lineRule="exact"/>
              <w:jc w:val="left"/>
              <w:rPr>
                <w:rFonts w:hint="eastAsia" w:eastAsia="楷体_GB2312"/>
                <w:sz w:val="18"/>
                <w:szCs w:val="18"/>
              </w:rPr>
            </w:pPr>
            <w:r>
              <w:rPr>
                <w:rFonts w:hint="eastAsia" w:eastAsia="楷体_GB2312"/>
                <w:sz w:val="18"/>
                <w:szCs w:val="18"/>
              </w:rPr>
              <w:t>60%≤满意度&lt;70%记4分，</w:t>
            </w:r>
          </w:p>
          <w:p>
            <w:pPr>
              <w:spacing w:line="300" w:lineRule="exact"/>
              <w:jc w:val="left"/>
              <w:rPr>
                <w:rFonts w:eastAsia="楷体_GB2312"/>
                <w:sz w:val="18"/>
                <w:szCs w:val="18"/>
              </w:rPr>
            </w:pPr>
            <w:r>
              <w:rPr>
                <w:rFonts w:hint="eastAsia" w:eastAsia="楷体_GB2312"/>
                <w:sz w:val="18"/>
                <w:szCs w:val="18"/>
              </w:rPr>
              <w:t>满意度&lt;60%记0分。</w:t>
            </w:r>
          </w:p>
        </w:tc>
        <w:tc>
          <w:tcPr>
            <w:tcW w:w="1614" w:type="dxa"/>
            <w:noWrap w:val="0"/>
            <w:tcMar>
              <w:top w:w="0" w:type="dxa"/>
              <w:left w:w="105" w:type="dxa"/>
              <w:bottom w:w="0" w:type="dxa"/>
              <w:right w:w="105" w:type="dxa"/>
            </w:tcMar>
            <w:vAlign w:val="center"/>
          </w:tcPr>
          <w:p>
            <w:pPr>
              <w:ind w:left="1" w:leftChars="0"/>
              <w:jc w:val="center"/>
              <w:rPr>
                <w:rFonts w:hint="default" w:ascii="Times New Roman" w:hAnsi="Times New Roman" w:eastAsia="楷体_GB2312" w:cs="Times New Roman"/>
                <w:sz w:val="18"/>
                <w:szCs w:val="18"/>
                <w:lang w:val="en-US" w:eastAsia="zh-CN" w:bidi="ar-SA"/>
              </w:rPr>
            </w:pPr>
            <w:r>
              <w:rPr>
                <w:rFonts w:hint="eastAsia" w:eastAsia="楷体_GB2312"/>
                <w:sz w:val="18"/>
                <w:szCs w:val="18"/>
                <w:lang w:val="en-US" w:eastAsia="zh-CN"/>
              </w:rPr>
              <w:t>96%</w:t>
            </w:r>
          </w:p>
        </w:tc>
        <w:tc>
          <w:tcPr>
            <w:tcW w:w="745" w:type="dxa"/>
            <w:noWrap w:val="0"/>
            <w:tcMar>
              <w:top w:w="0" w:type="dxa"/>
              <w:left w:w="105" w:type="dxa"/>
              <w:bottom w:w="0" w:type="dxa"/>
              <w:right w:w="105" w:type="dxa"/>
            </w:tcMar>
            <w:vAlign w:val="center"/>
          </w:tcPr>
          <w:p>
            <w:pPr>
              <w:ind w:left="1" w:leftChars="0"/>
              <w:jc w:val="center"/>
              <w:rPr>
                <w:rFonts w:hint="default" w:ascii="Times New Roman" w:hAnsi="Times New Roman" w:eastAsia="楷体_GB2312" w:cs="Times New Roman"/>
                <w:lang w:val="en-US" w:eastAsia="zh-CN" w:bidi="ar-SA"/>
              </w:rPr>
            </w:pPr>
            <w:r>
              <w:rPr>
                <w:rFonts w:hint="eastAsia" w:eastAsia="楷体_GB2312"/>
                <w:lang w:val="en-US" w:eastAsia="zh-CN"/>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86" w:hRule="atLeast"/>
          <w:tblCellSpacing w:w="0" w:type="dxa"/>
          <w:jc w:val="center"/>
        </w:trPr>
        <w:tc>
          <w:tcPr>
            <w:tcW w:w="1079"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22"/>
                <w:szCs w:val="22"/>
              </w:rPr>
            </w:pPr>
            <w:r>
              <w:rPr>
                <w:rFonts w:eastAsia="楷体_GB2312"/>
                <w:sz w:val="22"/>
                <w:szCs w:val="22"/>
              </w:rPr>
              <w:t>合计</w:t>
            </w:r>
          </w:p>
        </w:tc>
        <w:tc>
          <w:tcPr>
            <w:tcW w:w="1179" w:type="dxa"/>
            <w:noWrap w:val="0"/>
            <w:tcMar>
              <w:top w:w="0" w:type="dxa"/>
              <w:left w:w="105" w:type="dxa"/>
              <w:bottom w:w="0" w:type="dxa"/>
              <w:right w:w="105" w:type="dxa"/>
            </w:tcMar>
            <w:vAlign w:val="center"/>
          </w:tcPr>
          <w:p>
            <w:pPr>
              <w:spacing w:before="100" w:beforeAutospacing="1" w:after="100" w:afterAutospacing="1"/>
              <w:rPr>
                <w:rFonts w:eastAsia="楷体_GB2312"/>
                <w:sz w:val="22"/>
                <w:szCs w:val="22"/>
              </w:rPr>
            </w:pPr>
            <w:r>
              <w:rPr>
                <w:rFonts w:eastAsia="楷体_GB2312"/>
                <w:sz w:val="22"/>
                <w:szCs w:val="22"/>
              </w:rPr>
              <w:t>—</w:t>
            </w:r>
          </w:p>
        </w:tc>
        <w:tc>
          <w:tcPr>
            <w:tcW w:w="1226" w:type="dxa"/>
            <w:noWrap w:val="0"/>
            <w:tcMar>
              <w:top w:w="0" w:type="dxa"/>
              <w:left w:w="105" w:type="dxa"/>
              <w:bottom w:w="0" w:type="dxa"/>
              <w:right w:w="105" w:type="dxa"/>
            </w:tcMar>
            <w:vAlign w:val="center"/>
          </w:tcPr>
          <w:p>
            <w:pPr>
              <w:spacing w:before="100" w:beforeAutospacing="1" w:after="100" w:afterAutospacing="1"/>
              <w:rPr>
                <w:rFonts w:eastAsia="楷体_GB2312"/>
                <w:sz w:val="22"/>
                <w:szCs w:val="22"/>
              </w:rPr>
            </w:pPr>
            <w:r>
              <w:rPr>
                <w:rFonts w:eastAsia="楷体_GB2312"/>
                <w:sz w:val="22"/>
                <w:szCs w:val="22"/>
              </w:rPr>
              <w:t>——</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pacing w:val="-20"/>
                <w:sz w:val="22"/>
                <w:szCs w:val="22"/>
              </w:rPr>
            </w:pPr>
            <w:r>
              <w:rPr>
                <w:rFonts w:eastAsia="楷体_GB2312"/>
                <w:spacing w:val="-20"/>
                <w:sz w:val="22"/>
                <w:szCs w:val="22"/>
              </w:rPr>
              <w:t>100</w:t>
            </w:r>
          </w:p>
        </w:tc>
        <w:tc>
          <w:tcPr>
            <w:tcW w:w="4750" w:type="dxa"/>
            <w:noWrap w:val="0"/>
            <w:tcMar>
              <w:top w:w="0" w:type="dxa"/>
              <w:left w:w="105" w:type="dxa"/>
              <w:bottom w:w="0" w:type="dxa"/>
              <w:right w:w="105" w:type="dxa"/>
            </w:tcMar>
            <w:vAlign w:val="center"/>
          </w:tcPr>
          <w:p>
            <w:pPr>
              <w:spacing w:line="300" w:lineRule="exact"/>
              <w:jc w:val="center"/>
              <w:rPr>
                <w:rFonts w:eastAsia="楷体_GB2312"/>
              </w:rPr>
            </w:pPr>
            <w:r>
              <w:rPr>
                <w:rFonts w:eastAsia="楷体_GB2312"/>
              </w:rPr>
              <w:t>——</w:t>
            </w:r>
          </w:p>
        </w:tc>
        <w:tc>
          <w:tcPr>
            <w:tcW w:w="3123" w:type="dxa"/>
            <w:noWrap w:val="0"/>
            <w:tcMar>
              <w:top w:w="0" w:type="dxa"/>
              <w:left w:w="105" w:type="dxa"/>
              <w:bottom w:w="0" w:type="dxa"/>
              <w:right w:w="105" w:type="dxa"/>
            </w:tcMar>
            <w:vAlign w:val="center"/>
          </w:tcPr>
          <w:p>
            <w:pPr>
              <w:spacing w:line="300" w:lineRule="exact"/>
              <w:jc w:val="center"/>
              <w:rPr>
                <w:rFonts w:eastAsia="楷体_GB2312"/>
              </w:rPr>
            </w:pPr>
            <w:r>
              <w:rPr>
                <w:rFonts w:eastAsia="楷体_GB2312"/>
              </w:rPr>
              <w:t>——</w:t>
            </w:r>
          </w:p>
        </w:tc>
        <w:tc>
          <w:tcPr>
            <w:tcW w:w="1614" w:type="dxa"/>
            <w:noWrap w:val="0"/>
            <w:tcMar>
              <w:top w:w="0" w:type="dxa"/>
              <w:left w:w="105" w:type="dxa"/>
              <w:bottom w:w="0" w:type="dxa"/>
              <w:right w:w="105" w:type="dxa"/>
            </w:tcMar>
            <w:vAlign w:val="center"/>
          </w:tcPr>
          <w:p>
            <w:pPr>
              <w:spacing w:before="100" w:beforeAutospacing="1" w:after="100" w:afterAutospacing="1"/>
              <w:ind w:left="1" w:leftChars="0"/>
              <w:jc w:val="center"/>
              <w:rPr>
                <w:rFonts w:ascii="Times New Roman" w:hAnsi="Times New Roman" w:eastAsia="楷体_GB2312" w:cs="Times New Roman"/>
                <w:lang w:val="en-US" w:eastAsia="zh-CN" w:bidi="ar-SA"/>
              </w:rPr>
            </w:pPr>
            <w:r>
              <w:rPr>
                <w:rFonts w:eastAsia="楷体_GB2312"/>
              </w:rPr>
              <w:t>——</w:t>
            </w:r>
          </w:p>
        </w:tc>
        <w:tc>
          <w:tcPr>
            <w:tcW w:w="745" w:type="dxa"/>
            <w:noWrap w:val="0"/>
            <w:tcMar>
              <w:top w:w="0" w:type="dxa"/>
              <w:left w:w="105" w:type="dxa"/>
              <w:bottom w:w="0" w:type="dxa"/>
              <w:right w:w="105" w:type="dxa"/>
            </w:tcMar>
            <w:vAlign w:val="center"/>
          </w:tcPr>
          <w:p>
            <w:pPr>
              <w:ind w:left="1" w:leftChars="0"/>
              <w:jc w:val="center"/>
              <w:rPr>
                <w:rFonts w:hint="default" w:ascii="Times New Roman" w:hAnsi="Times New Roman" w:eastAsia="楷体_GB2312" w:cs="Times New Roman"/>
                <w:lang w:val="en-US" w:eastAsia="zh-CN" w:bidi="ar-SA"/>
              </w:rPr>
            </w:pPr>
            <w:r>
              <w:rPr>
                <w:rFonts w:hint="eastAsia" w:eastAsia="楷体_GB2312"/>
                <w:lang w:val="en-US" w:eastAsia="zh-CN"/>
              </w:rPr>
              <w:t>93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130" w:hRule="atLeast"/>
          <w:tblCellSpacing w:w="0" w:type="dxa"/>
          <w:jc w:val="center"/>
        </w:trPr>
        <w:tc>
          <w:tcPr>
            <w:tcW w:w="1079" w:type="dxa"/>
            <w:noWrap w:val="0"/>
            <w:tcMar>
              <w:top w:w="0" w:type="dxa"/>
              <w:left w:w="105" w:type="dxa"/>
              <w:bottom w:w="0" w:type="dxa"/>
              <w:right w:w="105" w:type="dxa"/>
            </w:tcMar>
            <w:vAlign w:val="center"/>
          </w:tcPr>
          <w:p>
            <w:pPr>
              <w:spacing w:before="100" w:beforeAutospacing="1" w:after="100" w:afterAutospacing="1"/>
              <w:jc w:val="center"/>
              <w:rPr>
                <w:rFonts w:hint="eastAsia" w:ascii="楷体_GB2312" w:hAnsi="楷体_GB2312" w:eastAsia="楷体_GB2312" w:cs="楷体_GB2312"/>
                <w:sz w:val="21"/>
                <w:szCs w:val="16"/>
              </w:rPr>
            </w:pPr>
            <w:r>
              <w:rPr>
                <w:rFonts w:hint="eastAsia" w:ascii="楷体_GB2312" w:hAnsi="楷体_GB2312" w:eastAsia="楷体_GB2312" w:cs="楷体_GB2312"/>
                <w:sz w:val="21"/>
                <w:szCs w:val="16"/>
              </w:rPr>
              <w:t>评价</w:t>
            </w:r>
          </w:p>
          <w:p>
            <w:pPr>
              <w:spacing w:before="100" w:beforeAutospacing="1" w:after="100" w:afterAutospacing="1"/>
              <w:jc w:val="center"/>
              <w:rPr>
                <w:rFonts w:hint="eastAsia" w:ascii="楷体_GB2312" w:hAnsi="楷体_GB2312" w:eastAsia="楷体_GB2312" w:cs="楷体_GB2312"/>
                <w:sz w:val="21"/>
                <w:szCs w:val="16"/>
              </w:rPr>
            </w:pPr>
            <w:r>
              <w:rPr>
                <w:rFonts w:hint="eastAsia" w:ascii="楷体_GB2312" w:hAnsi="楷体_GB2312" w:eastAsia="楷体_GB2312" w:cs="楷体_GB2312"/>
                <w:sz w:val="21"/>
                <w:szCs w:val="16"/>
              </w:rPr>
              <w:t>等级</w:t>
            </w:r>
          </w:p>
        </w:tc>
        <w:tc>
          <w:tcPr>
            <w:tcW w:w="13338" w:type="dxa"/>
            <w:gridSpan w:val="7"/>
            <w:noWrap w:val="0"/>
            <w:tcMar>
              <w:top w:w="0" w:type="dxa"/>
              <w:left w:w="105" w:type="dxa"/>
              <w:bottom w:w="0" w:type="dxa"/>
              <w:right w:w="105" w:type="dxa"/>
            </w:tcMar>
            <w:vAlign w:val="center"/>
          </w:tcPr>
          <w:p>
            <w:pPr>
              <w:spacing w:line="400" w:lineRule="exact"/>
              <w:ind w:firstLine="210" w:firstLineChars="100"/>
              <w:rPr>
                <w:rFonts w:hint="eastAsia" w:ascii="楷体_GB2312" w:hAnsi="楷体_GB2312" w:eastAsia="楷体_GB2312" w:cs="楷体_GB2312"/>
                <w:sz w:val="21"/>
                <w:szCs w:val="16"/>
              </w:rPr>
            </w:pPr>
            <w:r>
              <w:rPr>
                <w:rFonts w:hint="eastAsia" w:ascii="楷体_GB2312" w:hAnsi="楷体_GB2312" w:eastAsia="楷体_GB2312" w:cs="楷体_GB2312"/>
                <w:sz w:val="21"/>
                <w:szCs w:val="16"/>
                <w:lang w:eastAsia="zh-CN"/>
              </w:rPr>
              <w:t>☑</w:t>
            </w:r>
            <w:r>
              <w:rPr>
                <w:rFonts w:hint="eastAsia" w:ascii="楷体_GB2312" w:hAnsi="楷体_GB2312" w:eastAsia="楷体_GB2312" w:cs="楷体_GB2312"/>
                <w:sz w:val="21"/>
                <w:szCs w:val="16"/>
              </w:rPr>
              <w:t xml:space="preserve">优秀  90分≤得分≤100分；   □良好  </w:t>
            </w:r>
            <w:r>
              <w:rPr>
                <w:rFonts w:ascii="楷体_GB2312" w:hAnsi="楷体_GB2312" w:eastAsia="楷体_GB2312" w:cs="楷体_GB2312"/>
                <w:sz w:val="21"/>
                <w:szCs w:val="16"/>
              </w:rPr>
              <w:t>80</w:t>
            </w:r>
            <w:r>
              <w:rPr>
                <w:rFonts w:hint="eastAsia" w:ascii="楷体_GB2312" w:hAnsi="楷体_GB2312" w:eastAsia="楷体_GB2312" w:cs="楷体_GB2312"/>
                <w:sz w:val="21"/>
                <w:szCs w:val="16"/>
              </w:rPr>
              <w:t>分≤得分＜90分；   □较差  60分≤得分＜</w:t>
            </w:r>
            <w:r>
              <w:rPr>
                <w:rFonts w:ascii="楷体_GB2312" w:hAnsi="楷体_GB2312" w:eastAsia="楷体_GB2312" w:cs="楷体_GB2312"/>
                <w:sz w:val="21"/>
                <w:szCs w:val="16"/>
              </w:rPr>
              <w:t>80</w:t>
            </w:r>
            <w:r>
              <w:rPr>
                <w:rFonts w:hint="eastAsia" w:ascii="楷体_GB2312" w:hAnsi="楷体_GB2312" w:eastAsia="楷体_GB2312" w:cs="楷体_GB2312"/>
                <w:sz w:val="21"/>
                <w:szCs w:val="16"/>
              </w:rPr>
              <w:t>分；   □差  得分＜60分</w:t>
            </w:r>
          </w:p>
        </w:tc>
      </w:tr>
    </w:tbl>
    <w:p>
      <w:pPr>
        <w:spacing w:line="320" w:lineRule="exact"/>
        <w:ind w:firstLine="6490" w:firstLineChars="2950"/>
        <w:jc w:val="center"/>
        <w:rPr>
          <w:rFonts w:ascii="STZhongsong" w:hAnsi="STZhongsong" w:eastAsia="STZhongsong"/>
          <w:sz w:val="22"/>
          <w:szCs w:val="24"/>
        </w:rPr>
      </w:pPr>
    </w:p>
    <w:p>
      <w:pPr>
        <w:spacing w:line="320" w:lineRule="exact"/>
        <w:ind w:firstLine="6490" w:firstLineChars="2950"/>
        <w:jc w:val="center"/>
        <w:rPr>
          <w:rFonts w:hint="eastAsia" w:ascii="楷体" w:hAnsi="楷体" w:eastAsia="楷体" w:cs="楷体"/>
          <w:sz w:val="22"/>
          <w:szCs w:val="24"/>
        </w:rPr>
      </w:pPr>
      <w:r>
        <w:rPr>
          <w:rFonts w:hint="eastAsia" w:ascii="楷体" w:hAnsi="楷体" w:eastAsia="楷体" w:cs="楷体"/>
          <w:sz w:val="22"/>
          <w:szCs w:val="24"/>
        </w:rPr>
        <w:t>单位负责人（签字）：</w:t>
      </w:r>
    </w:p>
    <w:p>
      <w:pPr>
        <w:spacing w:line="320" w:lineRule="exact"/>
        <w:ind w:firstLine="8800" w:firstLineChars="4000"/>
        <w:jc w:val="both"/>
      </w:pPr>
      <w:r>
        <w:rPr>
          <w:rFonts w:hint="eastAsia" w:ascii="楷体" w:hAnsi="楷体" w:eastAsia="楷体" w:cs="楷体"/>
          <w:sz w:val="22"/>
          <w:szCs w:val="24"/>
        </w:rPr>
        <w:t>填表日期：  </w:t>
      </w:r>
      <w:r>
        <w:rPr>
          <w:rFonts w:hint="eastAsia" w:ascii="楷体" w:hAnsi="楷体" w:eastAsia="楷体" w:cs="楷体"/>
          <w:sz w:val="22"/>
          <w:szCs w:val="24"/>
          <w:lang w:val="en-US" w:eastAsia="zh-CN"/>
        </w:rPr>
        <w:t>2022</w:t>
      </w:r>
      <w:r>
        <w:rPr>
          <w:rFonts w:hint="eastAsia" w:ascii="楷体" w:hAnsi="楷体" w:eastAsia="楷体" w:cs="楷体"/>
          <w:sz w:val="22"/>
          <w:szCs w:val="24"/>
        </w:rPr>
        <w:t>年</w:t>
      </w:r>
      <w:r>
        <w:rPr>
          <w:rFonts w:hint="eastAsia" w:ascii="楷体" w:hAnsi="楷体" w:eastAsia="楷体" w:cs="楷体"/>
          <w:sz w:val="22"/>
          <w:szCs w:val="24"/>
          <w:lang w:val="en-US" w:eastAsia="zh-CN"/>
        </w:rPr>
        <w:t>5</w:t>
      </w:r>
      <w:r>
        <w:rPr>
          <w:rFonts w:hint="eastAsia" w:ascii="楷体" w:hAnsi="楷体" w:eastAsia="楷体" w:cs="楷体"/>
          <w:sz w:val="22"/>
          <w:szCs w:val="24"/>
        </w:rPr>
        <w:t>   月</w:t>
      </w:r>
      <w:r>
        <w:rPr>
          <w:rFonts w:hint="eastAsia" w:ascii="楷体" w:hAnsi="楷体" w:eastAsia="楷体" w:cs="楷体"/>
          <w:sz w:val="22"/>
          <w:szCs w:val="24"/>
          <w:lang w:val="en-US" w:eastAsia="zh-CN"/>
        </w:rPr>
        <w:t>27</w:t>
      </w:r>
      <w:r>
        <w:rPr>
          <w:rFonts w:hint="eastAsia" w:ascii="楷体" w:hAnsi="楷体" w:eastAsia="楷体" w:cs="楷体"/>
          <w:sz w:val="22"/>
          <w:szCs w:val="24"/>
        </w:rPr>
        <w:t>  </w:t>
      </w:r>
      <w:r>
        <w:rPr>
          <w:rFonts w:hint="eastAsia" w:ascii="楷体" w:hAnsi="楷体" w:eastAsia="楷体" w:cs="楷体"/>
          <w:sz w:val="22"/>
          <w:szCs w:val="24"/>
          <w:lang w:eastAsia="zh-CN"/>
        </w:rPr>
        <w:t>日</w:t>
      </w:r>
      <w:r>
        <w:rPr>
          <w:rFonts w:hint="eastAsia" w:ascii="楷体" w:hAnsi="楷体" w:eastAsia="楷体" w:cs="楷体"/>
          <w:sz w:val="22"/>
          <w:szCs w:val="24"/>
        </w:rPr>
        <w:t xml:space="preserve"> </w:t>
      </w:r>
    </w:p>
    <w:sectPr>
      <w:headerReference r:id="rId5" w:type="default"/>
      <w:footerReference r:id="rId6" w:type="default"/>
      <w:pgSz w:w="16838" w:h="11906" w:orient="landscape"/>
      <w:pgMar w:top="1800" w:right="1440" w:bottom="180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粗宋简体">
    <w:altName w:val="宋体"/>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STZhongsong">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p>
    <w:pPr>
      <w:pStyle w:val="3"/>
    </w:pPr>
  </w:p>
  <w:p>
    <w:pPr>
      <w:pStyle w:val="3"/>
    </w:pPr>
  </w:p>
  <w:p>
    <w:pPr>
      <w:pStyle w:val="3"/>
    </w:pPr>
    <w:bookmarkStart w:id="0" w:name="_GoBack"/>
    <w:bookmarkEnd w:id="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JjZTI5YTRkZTBmMzUwOWMwZDZjYmQ0ZTMxMjRlNWEifQ=="/>
  </w:docVars>
  <w:rsids>
    <w:rsidRoot w:val="00000000"/>
    <w:rsid w:val="34055D23"/>
    <w:rsid w:val="46B51A57"/>
    <w:rsid w:val="7C8810B1"/>
    <w:rsid w:val="7E0F32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eastAsia="宋体" w:cs="宋体"/>
      <w:b/>
      <w:kern w:val="44"/>
      <w:sz w:val="48"/>
      <w:szCs w:val="48"/>
      <w:lang w:val="en-US" w:eastAsia="zh-CN"/>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2801</Words>
  <Characters>3090</Characters>
  <Lines>0</Lines>
  <Paragraphs>0</Paragraphs>
  <TotalTime>16</TotalTime>
  <ScaleCrop>false</ScaleCrop>
  <LinksUpToDate>false</LinksUpToDate>
  <CharactersWithSpaces>3118</CharactersWithSpaces>
  <Application>WPS Office_11.1.0.11797_F1E327BC-269C-435d-A152-05C5408002CA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答案</cp:lastModifiedBy>
  <cp:lastPrinted>2022-06-02T01:01:17Z</cp:lastPrinted>
  <dcterms:modified xsi:type="dcterms:W3CDTF">2022-06-02T01:17:09Z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2052-11.1.0.11797</vt:lpwstr>
  </property>
  <property fmtid="{D5CDD505-2E9C-101B-9397-08002B2CF9AE}" pid="3" name="ICV">
    <vt:lpwstr>4A6182D54A944149BB1726AB703EB064</vt:lpwstr>
  </property>
</Properties>
</file>