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附件1-2</w:t>
      </w:r>
    </w:p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</w:pPr>
      <w:r>
        <w:rPr>
          <w:rStyle w:val="6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202</w:t>
      </w:r>
      <w:r>
        <w:rPr>
          <w:rStyle w:val="6"/>
          <w:rFonts w:hint="eastAsia"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1</w:t>
      </w:r>
      <w:r>
        <w:rPr>
          <w:rStyle w:val="6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年度</w:t>
      </w:r>
      <w:r>
        <w:rPr>
          <w:rStyle w:val="6"/>
          <w:rFonts w:hint="eastAsia"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新晃县</w:t>
      </w:r>
      <w:r>
        <w:rPr>
          <w:rStyle w:val="6"/>
          <w:rFonts w:hint="eastAsia" w:ascii="Times New Roman" w:hAnsi="Times New Roman" w:eastAsia="方正粗宋简体" w:cs="Times New Roman"/>
          <w:b w:val="0"/>
          <w:bCs w:val="0"/>
          <w:spacing w:val="-23"/>
          <w:sz w:val="36"/>
          <w:szCs w:val="36"/>
          <w:lang w:eastAsia="zh-CN"/>
        </w:rPr>
        <w:t>司法局</w:t>
      </w:r>
      <w:r>
        <w:rPr>
          <w:rStyle w:val="6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部门（单位）整体支出绩效自评报告</w:t>
      </w:r>
    </w:p>
    <w:p>
      <w:pPr>
        <w:pStyle w:val="3"/>
        <w:widowControl w:val="0"/>
        <w:spacing w:before="0" w:beforeAutospacing="0" w:after="0" w:afterAutospacing="0" w:line="800" w:lineRule="exact"/>
        <w:jc w:val="center"/>
        <w:rPr>
          <w:rFonts w:ascii="Times New Roman" w:hAnsi="Times New Roman" w:eastAsia="方正粗宋简体" w:cs="Times New Roman"/>
          <w:sz w:val="40"/>
          <w:szCs w:val="40"/>
        </w:rPr>
      </w:pPr>
    </w:p>
    <w:p>
      <w:pPr>
        <w:spacing w:before="240" w:line="560" w:lineRule="exact"/>
        <w:ind w:firstLine="400" w:firstLineChars="200"/>
        <w:jc w:val="left"/>
      </w:pPr>
      <w:r>
        <w:t xml:space="preserve">   </w:t>
      </w:r>
      <w:r>
        <w:rPr>
          <w:rFonts w:eastAsia="仿宋_GB2312"/>
          <w:sz w:val="32"/>
          <w:szCs w:val="32"/>
        </w:rPr>
        <w:t>一、部门（单位）基本概况</w:t>
      </w:r>
    </w:p>
    <w:p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（一）职能职责 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贯彻执行司法行政工作的法律、法规、方针、政策和司法行政地方性法规、规章；拟订全县司法行政工作发展规划及年度计划并组织监督实施。制定全县普及法律常识规划和法治宣传教育计划并组织实施，指导县级各行业、县属各部门及乡镇（街道）的法治宣传等工作。</w:t>
      </w:r>
    </w:p>
    <w:p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（二）机构设置 </w:t>
      </w:r>
    </w:p>
    <w:p>
      <w:pPr>
        <w:widowControl/>
        <w:wordWrap w:val="0"/>
        <w:snapToGrid w:val="0"/>
        <w:spacing w:line="560" w:lineRule="atLeast"/>
        <w:ind w:firstLine="64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bidi="ar"/>
        </w:rPr>
        <w:t>新晃县司法局下辖局机关、法律援助中心、公证处和11个司法所。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人员情况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新晃县司法局共有编制数60名，其中行政编制48名，事业编制12名，实有在编在岗人数51人，其中行政编制42人，事业编制9人。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财政收支及年末固定资产情况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2021年财政收入934.32万元，支出934.32万元。2021年末固定资产原值5220653.08元，累计折旧3672152.05元，净值1548501.03元。</w:t>
      </w:r>
    </w:p>
    <w:p>
      <w:pPr>
        <w:numPr>
          <w:ilvl w:val="0"/>
          <w:numId w:val="0"/>
        </w:numPr>
        <w:spacing w:line="560" w:lineRule="exact"/>
        <w:ind w:leftChars="200"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2021年支出934.32万元，其中行政运行623.84万元、基层司法业务10万元、普法宣传8.07万元、社区矫正5万元、公共法律服务23万元、机关事业单位基本养老保险缴费支出100.07万元、机关事业单位职业年金缴费支出13.29万元、住房公积金112.78万元、行政单位医疗38.27万元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二、部门（单位）整体支出绩效状况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一是切实提高公共法律服务水平，安排专职律师和法律工作者轮流值班，及时为需要的群众提供法律援助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，全年办理法援案件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210件</w:t>
      </w:r>
      <w:r>
        <w:rPr>
          <w:rFonts w:hint="eastAsia" w:eastAsia="仿宋_GB2312"/>
          <w:kern w:val="0"/>
          <w:sz w:val="32"/>
          <w:szCs w:val="32"/>
        </w:rPr>
        <w:t>；二努力营造全县法</w:t>
      </w:r>
      <w:r>
        <w:rPr>
          <w:rFonts w:hint="eastAsia" w:eastAsia="仿宋_GB2312"/>
          <w:kern w:val="0"/>
          <w:sz w:val="32"/>
          <w:szCs w:val="32"/>
          <w:lang w:eastAsia="zh-CN"/>
        </w:rPr>
        <w:t>治</w:t>
      </w:r>
      <w:bookmarkStart w:id="0" w:name="_GoBack"/>
      <w:bookmarkEnd w:id="0"/>
      <w:r>
        <w:rPr>
          <w:rFonts w:hint="eastAsia" w:eastAsia="仿宋_GB2312"/>
          <w:kern w:val="0"/>
          <w:sz w:val="32"/>
          <w:szCs w:val="32"/>
        </w:rPr>
        <w:t>宣传氛围，深入开展</w:t>
      </w:r>
      <w:r>
        <w:rPr>
          <w:rFonts w:hint="eastAsia" w:eastAsia="仿宋_GB2312"/>
          <w:kern w:val="0"/>
          <w:sz w:val="32"/>
          <w:szCs w:val="32"/>
          <w:lang w:eastAsia="zh-CN"/>
        </w:rPr>
        <w:t>普法</w:t>
      </w:r>
      <w:r>
        <w:rPr>
          <w:rFonts w:hint="eastAsia" w:eastAsia="仿宋_GB2312"/>
          <w:kern w:val="0"/>
          <w:sz w:val="32"/>
          <w:szCs w:val="32"/>
        </w:rPr>
        <w:t>工作；三是努力推进社会矛盾纠纷化解工作，加强培训、强化村级调解员作用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，全年办理人民调解案件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340余起</w:t>
      </w:r>
      <w:r>
        <w:rPr>
          <w:rFonts w:hint="eastAsia" w:eastAsia="仿宋_GB2312"/>
          <w:kern w:val="0"/>
          <w:sz w:val="32"/>
          <w:szCs w:val="32"/>
        </w:rPr>
        <w:t>；四是努力提升特殊人群社会治理能力，进一步规范社区矫正工作，安置帮教工作扎实有效</w:t>
      </w:r>
      <w:r>
        <w:rPr>
          <w:rFonts w:hint="eastAsia" w:eastAsia="仿宋_GB2312"/>
          <w:kern w:val="0"/>
          <w:sz w:val="32"/>
          <w:szCs w:val="32"/>
          <w:lang w:eastAsia="zh-CN"/>
        </w:rPr>
        <w:t>，目前全县有社区矫正人员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98人</w:t>
      </w:r>
      <w:r>
        <w:rPr>
          <w:rFonts w:hint="eastAsia" w:eastAsia="仿宋_GB2312"/>
          <w:kern w:val="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三、存在的问题及原因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一是财政拨款不及时，导致资金使用不及时、资金使用率低。二是财务工作越来越规范，对财务工作人员的工作水平也要求越来越高。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四、提高财政资金绩效的措施与建议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一是加强财务人员培训，提升财务人员业务水平。二是加强财务管理工作，提升预算执行水平。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</w:t>
      </w:r>
      <w:r>
        <w:rPr>
          <w:rFonts w:hint="eastAsia" w:eastAsia="仿宋_GB2312"/>
          <w:sz w:val="32"/>
          <w:szCs w:val="32"/>
        </w:rPr>
        <w:t xml:space="preserve">               </w:t>
      </w:r>
      <w:r>
        <w:rPr>
          <w:rFonts w:eastAsia="仿宋_GB2312"/>
          <w:sz w:val="32"/>
          <w:szCs w:val="32"/>
        </w:rPr>
        <w:t>部门（签章）</w:t>
      </w:r>
    </w:p>
    <w:p>
      <w:pPr>
        <w:spacing w:before="100" w:beforeAutospacing="1" w:after="100" w:afterAutospacing="1" w:line="240" w:lineRule="exact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   </w:t>
      </w:r>
      <w:r>
        <w:rPr>
          <w:rFonts w:hint="eastAsia" w:eastAsia="仿宋_GB2312"/>
          <w:sz w:val="32"/>
          <w:szCs w:val="32"/>
        </w:rPr>
        <w:t>2022年5  </w:t>
      </w:r>
      <w:r>
        <w:rPr>
          <w:rFonts w:hint="eastAsia" w:eastAsia="仿宋_GB2312"/>
          <w:sz w:val="32"/>
          <w:szCs w:val="32"/>
          <w:lang w:eastAsia="zh-CN"/>
        </w:rPr>
        <w:t>月</w:t>
      </w:r>
      <w:r>
        <w:rPr>
          <w:rFonts w:hint="eastAsia" w:eastAsia="仿宋_GB2312"/>
          <w:sz w:val="32"/>
          <w:szCs w:val="32"/>
        </w:rPr>
        <w:t>27  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E0B4D2"/>
    <w:multiLevelType w:val="singleLevel"/>
    <w:tmpl w:val="F6E0B4D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24104073"/>
    <w:rsid w:val="4A2D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763</Words>
  <Characters>862</Characters>
  <Lines>0</Lines>
  <Paragraphs>0</Paragraphs>
  <TotalTime>0</TotalTime>
  <ScaleCrop>false</ScaleCrop>
  <LinksUpToDate>false</LinksUpToDate>
  <CharactersWithSpaces>942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2022-06-02T00:55:47Z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5AAC60D410B040F897C2C55FE82ADE47</vt:lpwstr>
  </property>
</Properties>
</file>