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rFonts w:ascii="仿宋_GB2312" w:hAnsi="仿宋_GB2312" w:eastAsia="仿宋_GB2312" w:cs="仿宋_GB2312"/>
          <w:sz w:val="24"/>
        </w:rPr>
      </w:pPr>
      <w:r>
        <w:rPr>
          <w:rFonts w:hint="eastAsia" w:ascii="仿宋_GB2312" w:hAnsi="仿宋_GB2312" w:eastAsia="仿宋_GB2312" w:cs="仿宋_GB2312"/>
          <w:b/>
          <w:sz w:val="28"/>
          <w:szCs w:val="28"/>
        </w:rPr>
        <w:t>附件2-2</w:t>
      </w:r>
    </w:p>
    <w:p>
      <w:pPr>
        <w:spacing w:line="600" w:lineRule="exact"/>
        <w:ind w:left="0"/>
        <w:jc w:val="center"/>
        <w:rPr>
          <w:rFonts w:hint="eastAsia" w:ascii="宋体" w:hAnsi="宋体"/>
          <w:b/>
          <w:w w:val="85"/>
          <w:sz w:val="36"/>
          <w:szCs w:val="36"/>
          <w:u w:val="none"/>
          <w:lang w:val="en-US" w:eastAsia="zh-CN"/>
        </w:rPr>
      </w:pPr>
      <w:r>
        <w:rPr>
          <w:rFonts w:hint="eastAsia" w:ascii="宋体" w:hAnsi="宋体"/>
          <w:b/>
          <w:w w:val="85"/>
          <w:sz w:val="36"/>
          <w:szCs w:val="36"/>
        </w:rPr>
        <w:t>2024</w:t>
      </w:r>
      <w:r>
        <w:rPr>
          <w:rFonts w:ascii="宋体" w:hAnsi="宋体"/>
          <w:b/>
          <w:w w:val="85"/>
          <w:sz w:val="36"/>
          <w:szCs w:val="36"/>
        </w:rPr>
        <w:t>年度</w:t>
      </w:r>
      <w:r>
        <w:rPr>
          <w:rFonts w:hint="eastAsia" w:ascii="宋体" w:hAnsi="宋体"/>
          <w:b/>
          <w:w w:val="85"/>
          <w:sz w:val="36"/>
          <w:szCs w:val="36"/>
          <w:u w:val="none"/>
          <w:lang w:val="en-US" w:eastAsia="zh-CN"/>
        </w:rPr>
        <w:t>新晃侗族自治县市场监督管理局</w:t>
      </w:r>
    </w:p>
    <w:p>
      <w:pPr>
        <w:spacing w:line="600" w:lineRule="exact"/>
        <w:ind w:left="0"/>
        <w:jc w:val="center"/>
        <w:rPr>
          <w:rFonts w:ascii="宋体" w:hAnsi="宋体"/>
          <w:b/>
          <w:w w:val="85"/>
          <w:sz w:val="36"/>
          <w:szCs w:val="36"/>
        </w:rPr>
      </w:pPr>
      <w:r>
        <w:rPr>
          <w:rFonts w:hint="eastAsia" w:ascii="宋体" w:hAnsi="宋体"/>
          <w:b/>
          <w:w w:val="85"/>
          <w:sz w:val="36"/>
          <w:szCs w:val="36"/>
          <w:u w:val="none"/>
          <w:lang w:val="en-US" w:eastAsia="zh-CN"/>
        </w:rPr>
        <w:t>离退休人员生活补贴</w:t>
      </w:r>
      <w:r>
        <w:rPr>
          <w:rFonts w:ascii="宋体" w:hAnsi="宋体"/>
          <w:b/>
          <w:w w:val="85"/>
          <w:sz w:val="36"/>
          <w:szCs w:val="36"/>
        </w:rPr>
        <w:t>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pPr>
        <w:spacing w:beforeLines="50" w:line="240" w:lineRule="exact"/>
        <w:ind w:firstLine="482"/>
        <w:jc w:val="center"/>
        <w:rPr>
          <w:rFonts w:eastAsia="仿宋_GB2312"/>
          <w:szCs w:val="21"/>
        </w:rPr>
      </w:pPr>
      <w:r>
        <w:rPr>
          <w:rFonts w:hint="eastAsia" w:eastAsia="仿宋_GB2312"/>
          <w:szCs w:val="21"/>
          <w:lang w:val="en-US" w:eastAsia="zh-CN"/>
        </w:rPr>
        <w:t xml:space="preserve">                                                                 </w:t>
      </w:r>
      <w:r>
        <w:rPr>
          <w:rFonts w:eastAsia="仿宋_GB2312"/>
          <w:szCs w:val="21"/>
        </w:rPr>
        <w:t>金额单位：万元</w:t>
      </w:r>
    </w:p>
    <w:tbl>
      <w:tblPr>
        <w:tblStyle w:val="7"/>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blCellSpacing w:w="0" w:type="dxa"/>
        </w:trPr>
        <w:tc>
          <w:tcPr>
            <w:tcW w:w="131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县市场监督管理局</w:t>
            </w:r>
          </w:p>
        </w:tc>
        <w:tc>
          <w:tcPr>
            <w:tcW w:w="1628"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离退休人员生活补贴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c>
          <w:tcPr>
            <w:tcW w:w="1628"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吴刚</w:t>
            </w:r>
          </w:p>
        </w:tc>
        <w:tc>
          <w:tcPr>
            <w:tcW w:w="1206"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13874514757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ign w:val="center"/>
          </w:tcPr>
          <w:p>
            <w:pPr>
              <w:spacing w:line="320" w:lineRule="exact"/>
              <w:jc w:val="center"/>
              <w:rPr>
                <w:rFonts w:ascii="仿宋_GB2312" w:hAnsi="仿宋_GB2312" w:eastAsia="仿宋_GB2312" w:cs="仿宋_GB2312"/>
                <w:szCs w:val="21"/>
              </w:rPr>
            </w:pPr>
          </w:p>
        </w:tc>
        <w:tc>
          <w:tcPr>
            <w:tcW w:w="1143"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55.38</w:t>
            </w:r>
          </w:p>
        </w:tc>
        <w:tc>
          <w:tcPr>
            <w:tcW w:w="1628" w:type="dxa"/>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55.38</w:t>
            </w:r>
          </w:p>
        </w:tc>
        <w:tc>
          <w:tcPr>
            <w:tcW w:w="2303" w:type="dxa"/>
            <w:gridSpan w:val="2"/>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55.38</w:t>
            </w:r>
          </w:p>
        </w:tc>
        <w:tc>
          <w:tcPr>
            <w:tcW w:w="1702" w:type="dxa"/>
            <w:gridSpan w:val="2"/>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该项目预算执行率为。根据实际情况评分</w:t>
            </w:r>
          </w:p>
        </w:tc>
        <w:tc>
          <w:tcPr>
            <w:tcW w:w="832" w:type="dxa"/>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本项目建立了专项项目管理制度，并严格按相关制度执行。</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产出目标：保障退休人员福利待遇计10分。</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1143"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产出数量：确保离退休人员生活补助逐月发放，计5分。</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1143"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产出时效：确保生活补助按时发放到位，计10分。</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1143"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成本控制：退休人员生活补贴发放12.48万元，按照控制数执行，计5分。</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项目效益：长期稳步提升退休人员生活补贴水平计20分</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服务对象满意度：采取电话访问，离退人员满意度95%以上。</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4"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noWrap/>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00" w:lineRule="exact"/>
        <w:ind w:left="0"/>
        <w:rPr>
          <w:rFonts w:ascii="仿宋_GB2312" w:hAnsi="仿宋_GB2312" w:eastAsia="仿宋_GB2312" w:cs="仿宋_GB2312"/>
        </w:rPr>
      </w:pPr>
      <w:r>
        <w:rPr>
          <w:rFonts w:ascii="仿宋_GB2312" w:hAnsi="仿宋_GB2312" w:eastAsia="仿宋_GB2312" w:cs="仿宋_GB2312"/>
        </w:rPr>
        <w:t>单位负责人（签字）：</w:t>
      </w:r>
      <w:r>
        <w:rPr>
          <w:rFonts w:hint="eastAsia" w:ascii="仿宋_GB2312" w:hAnsi="仿宋_GB2312" w:eastAsia="仿宋_GB2312" w:cs="仿宋_GB2312"/>
          <w:lang w:val="en-US" w:eastAsia="zh-CN"/>
        </w:rPr>
        <w:t>袁艳君</w:t>
      </w:r>
      <w:r>
        <w:rPr>
          <w:rFonts w:ascii="仿宋_GB2312" w:hAnsi="仿宋_GB2312" w:eastAsia="仿宋_GB2312" w:cs="仿宋_GB2312"/>
        </w:rPr>
        <w:t xml:space="preserve"> 项目负责人（签字）</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填表日期：</w:t>
      </w:r>
      <w:r>
        <w:rPr>
          <w:rFonts w:hint="eastAsia" w:ascii="仿宋_GB2312" w:hAnsi="仿宋_GB2312" w:eastAsia="仿宋_GB2312" w:cs="仿宋_GB2312"/>
        </w:rPr>
        <w:t>2025</w:t>
      </w:r>
      <w:r>
        <w:rPr>
          <w:rFonts w:ascii="仿宋_GB2312" w:hAnsi="仿宋_GB2312" w:eastAsia="仿宋_GB2312" w:cs="仿宋_GB2312"/>
        </w:rPr>
        <w:t>年</w:t>
      </w:r>
      <w:r>
        <w:rPr>
          <w:rFonts w:hint="eastAsia" w:ascii="仿宋_GB2312" w:hAnsi="仿宋_GB2312" w:eastAsia="仿宋_GB2312" w:cs="仿宋_GB2312"/>
        </w:rPr>
        <w:t>3</w:t>
      </w:r>
      <w:r>
        <w:rPr>
          <w:rFonts w:ascii="仿宋_GB2312" w:hAnsi="仿宋_GB2312" w:eastAsia="仿宋_GB2312" w:cs="仿宋_GB2312"/>
        </w:rPr>
        <w:t>月</w:t>
      </w:r>
      <w:r>
        <w:rPr>
          <w:rFonts w:hint="eastAsia" w:ascii="仿宋_GB2312" w:hAnsi="仿宋_GB2312" w:eastAsia="仿宋_GB2312" w:cs="仿宋_GB2312"/>
          <w:lang w:val="en-US" w:eastAsia="zh-CN"/>
        </w:rPr>
        <w:t>18</w:t>
      </w:r>
      <w:r>
        <w:rPr>
          <w:rFonts w:ascii="仿宋_GB2312" w:hAnsi="仿宋_GB2312" w:eastAsia="仿宋_GB2312" w:cs="仿宋_GB2312"/>
        </w:rPr>
        <w:t>日</w:t>
      </w:r>
    </w:p>
    <w:p>
      <w:pPr>
        <w:spacing w:before="240" w:line="340" w:lineRule="exact"/>
        <w:jc w:val="left"/>
        <w:rPr>
          <w:b/>
          <w:sz w:val="28"/>
          <w:szCs w:val="28"/>
        </w:rPr>
      </w:pPr>
      <w:r>
        <w:rPr>
          <w:rFonts w:hint="eastAsia" w:ascii="仿宋_GB2312" w:hAnsi="仿宋_GB2312" w:eastAsia="仿宋_GB2312" w:cs="仿宋_GB2312"/>
          <w:b/>
          <w:sz w:val="28"/>
          <w:szCs w:val="28"/>
        </w:rPr>
        <w:t>附件2-3</w:t>
      </w:r>
    </w:p>
    <w:p>
      <w:pPr>
        <w:spacing w:line="600" w:lineRule="exact"/>
        <w:jc w:val="center"/>
        <w:rPr>
          <w:rFonts w:hint="eastAsia" w:ascii="宋体" w:hAnsi="宋体"/>
          <w:b/>
          <w:w w:val="85"/>
          <w:sz w:val="36"/>
          <w:szCs w:val="36"/>
          <w:lang w:val="en-US" w:eastAsia="zh-CN"/>
        </w:rPr>
      </w:pPr>
      <w:r>
        <w:rPr>
          <w:rFonts w:hint="eastAsia" w:ascii="宋体" w:hAnsi="宋体" w:eastAsia="方正粗宋简体"/>
          <w:b/>
          <w:w w:val="85"/>
          <w:sz w:val="36"/>
          <w:szCs w:val="36"/>
        </w:rPr>
        <w:t>2024</w:t>
      </w:r>
      <w:r>
        <w:rPr>
          <w:rFonts w:ascii="宋体" w:hAnsi="宋体"/>
          <w:b/>
          <w:w w:val="85"/>
          <w:sz w:val="36"/>
          <w:szCs w:val="36"/>
        </w:rPr>
        <w:t>年度</w:t>
      </w:r>
      <w:r>
        <w:rPr>
          <w:rFonts w:hint="eastAsia" w:ascii="宋体" w:hAnsi="宋体"/>
          <w:b/>
          <w:w w:val="85"/>
          <w:sz w:val="36"/>
          <w:szCs w:val="36"/>
          <w:lang w:val="en-US" w:eastAsia="zh-CN"/>
        </w:rPr>
        <w:t>新晃侗族自治县市场监督管理局</w:t>
      </w:r>
    </w:p>
    <w:p>
      <w:pPr>
        <w:spacing w:line="600" w:lineRule="exact"/>
        <w:jc w:val="center"/>
        <w:rPr>
          <w:rFonts w:ascii="宋体" w:hAnsi="宋体"/>
          <w:b/>
          <w:w w:val="85"/>
          <w:sz w:val="36"/>
          <w:szCs w:val="36"/>
        </w:rPr>
      </w:pPr>
      <w:r>
        <w:rPr>
          <w:rFonts w:hint="eastAsia" w:ascii="宋体" w:hAnsi="宋体"/>
          <w:b/>
          <w:w w:val="85"/>
          <w:sz w:val="36"/>
          <w:szCs w:val="36"/>
          <w:lang w:val="en-US" w:eastAsia="zh-CN"/>
        </w:rPr>
        <w:t>离退休人员生活补贴</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pPr>
        <w:spacing w:line="560" w:lineRule="exact"/>
        <w:ind w:firstLine="643" w:firstLineChars="200"/>
        <w:jc w:val="left"/>
        <w:rPr>
          <w:rFonts w:ascii="仿宋_GB2312" w:hAnsi="仿宋_GB2312" w:eastAsia="仿宋_GB2312" w:cs="仿宋_GB2312"/>
          <w:bCs/>
          <w:sz w:val="32"/>
          <w:szCs w:val="32"/>
        </w:rPr>
      </w:pPr>
      <w:r>
        <w:rPr>
          <w:rFonts w:hint="eastAsia" w:ascii="宋体" w:hAnsi="宋体" w:cs="宋体"/>
          <w:b/>
          <w:sz w:val="32"/>
          <w:szCs w:val="32"/>
        </w:rPr>
        <w:t>一、基本情况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年初</w:t>
      </w:r>
      <w:r>
        <w:rPr>
          <w:rFonts w:hint="eastAsia" w:ascii="仿宋" w:hAnsi="仿宋" w:eastAsia="仿宋"/>
          <w:sz w:val="32"/>
          <w:szCs w:val="32"/>
        </w:rPr>
        <w:t>通过预算转指标（2024）0006号离退休人员生活补贴</w:t>
      </w:r>
      <w:r>
        <w:rPr>
          <w:rFonts w:hint="eastAsia" w:ascii="仿宋" w:hAnsi="仿宋" w:eastAsia="仿宋"/>
          <w:sz w:val="32"/>
          <w:szCs w:val="32"/>
          <w:lang w:val="en-US" w:eastAsia="zh-CN"/>
        </w:rPr>
        <w:t>预算为55.38万元，</w:t>
      </w:r>
      <w:r>
        <w:rPr>
          <w:rFonts w:hint="eastAsia" w:ascii="仿宋" w:hAnsi="仿宋" w:eastAsia="仿宋"/>
          <w:sz w:val="32"/>
          <w:szCs w:val="32"/>
        </w:rPr>
        <w:t>共计</w:t>
      </w:r>
      <w:r>
        <w:rPr>
          <w:rFonts w:hint="eastAsia" w:ascii="仿宋" w:hAnsi="仿宋" w:eastAsia="仿宋"/>
          <w:sz w:val="32"/>
          <w:szCs w:val="32"/>
          <w:lang w:val="en-US" w:eastAsia="zh-CN"/>
        </w:rPr>
        <w:t>55.38</w:t>
      </w:r>
      <w:r>
        <w:rPr>
          <w:rFonts w:hint="eastAsia" w:ascii="仿宋" w:hAnsi="仿宋" w:eastAsia="仿宋"/>
          <w:sz w:val="32"/>
          <w:szCs w:val="32"/>
        </w:rPr>
        <w:t>万元全部拨付到位。</w:t>
      </w:r>
    </w:p>
    <w:p>
      <w:pPr>
        <w:pStyle w:val="6"/>
        <w:spacing w:after="0" w:line="60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2、资金投入和使用情况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截止2024年</w:t>
      </w:r>
      <w:r>
        <w:rPr>
          <w:rFonts w:hint="eastAsia" w:ascii="仿宋" w:hAnsi="仿宋" w:eastAsia="仿宋"/>
          <w:sz w:val="32"/>
          <w:szCs w:val="32"/>
          <w:lang w:val="en-US" w:eastAsia="zh-CN"/>
        </w:rPr>
        <w:t>12</w:t>
      </w:r>
      <w:r>
        <w:rPr>
          <w:rFonts w:hint="eastAsia" w:ascii="仿宋" w:hAnsi="仿宋" w:eastAsia="仿宋"/>
          <w:sz w:val="32"/>
          <w:szCs w:val="32"/>
        </w:rPr>
        <w:t>月，我</w:t>
      </w:r>
      <w:r>
        <w:rPr>
          <w:rFonts w:hint="eastAsia" w:ascii="仿宋" w:hAnsi="仿宋" w:eastAsia="仿宋"/>
          <w:sz w:val="32"/>
          <w:szCs w:val="32"/>
          <w:lang w:val="en-US" w:eastAsia="zh-CN"/>
        </w:rPr>
        <w:t>局</w:t>
      </w:r>
      <w:r>
        <w:rPr>
          <w:rFonts w:hint="eastAsia" w:ascii="仿宋" w:hAnsi="仿宋" w:eastAsia="仿宋"/>
          <w:sz w:val="32"/>
          <w:szCs w:val="32"/>
        </w:rPr>
        <w:t>离退休人员生活补贴拨付</w:t>
      </w:r>
      <w:r>
        <w:rPr>
          <w:rFonts w:hint="eastAsia" w:ascii="仿宋" w:hAnsi="仿宋" w:eastAsia="仿宋"/>
          <w:sz w:val="32"/>
          <w:szCs w:val="32"/>
          <w:lang w:val="en-US" w:eastAsia="zh-CN"/>
        </w:rPr>
        <w:t>55.38</w:t>
      </w:r>
      <w:r>
        <w:rPr>
          <w:rFonts w:hint="eastAsia" w:ascii="仿宋" w:hAnsi="仿宋" w:eastAsia="仿宋"/>
          <w:sz w:val="32"/>
          <w:szCs w:val="32"/>
        </w:rPr>
        <w:t>万元，到位率均为100%。</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项目资金执行情况</w:t>
      </w:r>
    </w:p>
    <w:p>
      <w:pPr>
        <w:pStyle w:val="6"/>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截止2024年12月，本年度支付退休人员生活补贴55.38万元。</w:t>
      </w:r>
    </w:p>
    <w:p>
      <w:pPr>
        <w:pStyle w:val="6"/>
        <w:spacing w:after="0" w:line="600" w:lineRule="exact"/>
        <w:ind w:left="0" w:firstLine="0" w:firstLineChars="0"/>
        <w:jc w:val="left"/>
        <w:rPr>
          <w:rFonts w:ascii="仿宋" w:hAnsi="仿宋" w:eastAsia="仿宋"/>
          <w:sz w:val="28"/>
          <w:szCs w:val="28"/>
        </w:rPr>
      </w:pPr>
      <w:r>
        <w:rPr>
          <w:rFonts w:hint="eastAsia" w:ascii="仿宋" w:hAnsi="仿宋" w:eastAsia="仿宋"/>
          <w:sz w:val="28"/>
          <w:szCs w:val="28"/>
        </w:rPr>
        <w:t xml:space="preserve">    </w:t>
      </w:r>
      <w:r>
        <w:rPr>
          <w:rFonts w:hint="eastAsia" w:ascii="仿宋" w:hAnsi="仿宋" w:eastAsia="仿宋" w:cs="Times New Roman"/>
          <w:sz w:val="32"/>
          <w:szCs w:val="32"/>
          <w:lang w:val="en-US" w:eastAsia="zh-CN" w:bidi="ar-SA"/>
        </w:rPr>
        <w:t>项目实施情况：本年度增加退休人员实际数据调整预算，年初预算时把退休人员年终一次性生活补贴列入了其他人员经费。</w:t>
      </w:r>
    </w:p>
    <w:p>
      <w:pPr>
        <w:pStyle w:val="10"/>
        <w:numPr>
          <w:ilvl w:val="0"/>
          <w:numId w:val="0"/>
        </w:numPr>
        <w:spacing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3、项目绩效目标：保障离退休人员生活补贴及时足额发放到位。</w:t>
      </w:r>
    </w:p>
    <w:p>
      <w:pPr>
        <w:spacing w:line="560" w:lineRule="exact"/>
        <w:ind w:firstLine="643" w:firstLineChars="200"/>
        <w:jc w:val="left"/>
        <w:rPr>
          <w:rFonts w:ascii="宋体" w:hAnsi="宋体" w:cs="宋体"/>
          <w:b/>
          <w:sz w:val="32"/>
          <w:szCs w:val="32"/>
        </w:rPr>
      </w:pPr>
      <w:r>
        <w:rPr>
          <w:rFonts w:hint="eastAsia" w:ascii="宋体" w:hAnsi="宋体" w:cs="宋体"/>
          <w:b/>
          <w:sz w:val="32"/>
          <w:szCs w:val="32"/>
        </w:rPr>
        <w:t>二、绩效评价工作开展情况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绩效评价目的：为进一步规范专项资金管理，强化绩效</w:t>
      </w:r>
    </w:p>
    <w:p>
      <w:pPr>
        <w:spacing w:line="600" w:lineRule="exact"/>
        <w:rPr>
          <w:rFonts w:ascii="仿宋" w:hAnsi="仿宋" w:eastAsia="仿宋"/>
          <w:sz w:val="32"/>
          <w:szCs w:val="32"/>
        </w:rPr>
      </w:pPr>
      <w:r>
        <w:rPr>
          <w:rFonts w:hint="eastAsia" w:ascii="仿宋" w:hAnsi="仿宋" w:eastAsia="仿宋"/>
          <w:sz w:val="32"/>
          <w:szCs w:val="32"/>
        </w:rPr>
        <w:t>和责任意识，切实提高专项资金使用效益。</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评价对象：离退休人员生活补贴专项经费资金项目。</w:t>
      </w:r>
    </w:p>
    <w:p>
      <w:pPr>
        <w:spacing w:line="60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评价范围：包括2024年度离退休人员生活补贴专项经费资金项目。</w:t>
      </w:r>
    </w:p>
    <w:p>
      <w:pPr>
        <w:numPr>
          <w:ilvl w:val="0"/>
          <w:numId w:val="1"/>
        </w:numPr>
        <w:spacing w:line="560" w:lineRule="exact"/>
        <w:ind w:left="-40"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spacing w:line="60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pPr>
        <w:spacing w:line="220" w:lineRule="atLeast"/>
        <w:ind w:firstLine="643" w:firstLineChars="200"/>
        <w:rPr>
          <w:rFonts w:ascii="仿宋_GB2312" w:hAnsi="仿宋_GB2312" w:eastAsia="仿宋_GB2312" w:cs="仿宋_GB2312"/>
          <w:bCs/>
          <w:sz w:val="32"/>
          <w:szCs w:val="32"/>
        </w:rPr>
      </w:pPr>
      <w:r>
        <w:rPr>
          <w:rFonts w:hint="eastAsia" w:ascii="宋体" w:hAnsi="宋体" w:cs="宋体"/>
          <w:b/>
          <w:sz w:val="32"/>
          <w:szCs w:val="32"/>
        </w:rPr>
        <w:t>三、综合评价情况及评价结论</w:t>
      </w:r>
      <w:r>
        <w:rPr>
          <w:rFonts w:hint="eastAsia" w:ascii="仿宋_GB2312" w:hAnsi="仿宋_GB2312" w:eastAsia="仿宋_GB2312" w:cs="仿宋_GB2312"/>
          <w:bCs/>
          <w:sz w:val="32"/>
          <w:szCs w:val="32"/>
        </w:rPr>
        <w:t>（附相关评分表）</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2024年度部门预算支出绩效自评工作的通知》（晃财绩〔2025〕1号）等文件要求，我单位成立了绩效自评工作小组，对离退休人员生活补贴资金项目支出开展了绩效自评工作。组织人员收集项目资料，检查会计凭证，在规定的时间内，对项目的实施过程进行了全面、科学、细致的评价。</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100</w:t>
      </w:r>
      <w:r>
        <w:rPr>
          <w:rFonts w:hint="eastAsia" w:ascii="仿宋" w:hAnsi="仿宋" w:eastAsia="仿宋"/>
          <w:sz w:val="32"/>
          <w:szCs w:val="32"/>
        </w:rPr>
        <w:t>分，绩效评价等级为“优”。</w:t>
      </w:r>
    </w:p>
    <w:p>
      <w:pPr>
        <w:spacing w:line="560" w:lineRule="exact"/>
        <w:ind w:firstLine="643" w:firstLineChars="20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pPr>
        <w:spacing w:line="600" w:lineRule="exact"/>
        <w:ind w:firstLine="640" w:firstLineChars="200"/>
        <w:rPr>
          <w:rFonts w:hint="eastAsia" w:ascii="仿宋" w:hAnsi="仿宋" w:eastAsia="仿宋"/>
          <w:sz w:val="32"/>
          <w:szCs w:val="32"/>
        </w:rPr>
      </w:pPr>
      <w:r>
        <w:rPr>
          <w:rFonts w:hint="eastAsia" w:ascii="仿宋_GB2312" w:hAnsi="仿宋_GB2312" w:eastAsia="仿宋_GB2312" w:cs="仿宋_GB2312"/>
          <w:sz w:val="32"/>
          <w:szCs w:val="32"/>
        </w:rPr>
        <w:t>（一）项目决策情况：</w:t>
      </w:r>
      <w:r>
        <w:rPr>
          <w:rFonts w:hint="eastAsia" w:ascii="仿宋" w:hAnsi="仿宋" w:eastAsia="仿宋"/>
          <w:sz w:val="32"/>
          <w:szCs w:val="32"/>
          <w:lang w:val="en-US" w:eastAsia="zh-CN"/>
        </w:rPr>
        <w:t>年初</w:t>
      </w:r>
      <w:r>
        <w:rPr>
          <w:rFonts w:hint="eastAsia" w:ascii="仿宋" w:hAnsi="仿宋" w:eastAsia="仿宋"/>
          <w:sz w:val="32"/>
          <w:szCs w:val="32"/>
        </w:rPr>
        <w:t>通过预算转指标（2024）0006号离退休人员生活补贴</w:t>
      </w:r>
      <w:bookmarkStart w:id="0" w:name="_GoBack"/>
      <w:bookmarkEnd w:id="0"/>
      <w:r>
        <w:rPr>
          <w:rFonts w:hint="eastAsia" w:ascii="仿宋" w:hAnsi="仿宋" w:eastAsia="仿宋"/>
          <w:sz w:val="32"/>
          <w:szCs w:val="32"/>
          <w:lang w:val="en-US" w:eastAsia="zh-CN"/>
        </w:rPr>
        <w:t>预算为55.38万元，</w:t>
      </w:r>
      <w:r>
        <w:rPr>
          <w:rFonts w:hint="eastAsia" w:ascii="仿宋" w:hAnsi="仿宋" w:eastAsia="仿宋"/>
          <w:sz w:val="32"/>
          <w:szCs w:val="32"/>
        </w:rPr>
        <w:t>共计</w:t>
      </w:r>
      <w:r>
        <w:rPr>
          <w:rFonts w:hint="eastAsia" w:ascii="仿宋" w:hAnsi="仿宋" w:eastAsia="仿宋"/>
          <w:sz w:val="32"/>
          <w:szCs w:val="32"/>
          <w:lang w:val="en-US" w:eastAsia="zh-CN"/>
        </w:rPr>
        <w:t>55.38</w:t>
      </w:r>
      <w:r>
        <w:rPr>
          <w:rFonts w:hint="eastAsia" w:ascii="仿宋" w:hAnsi="仿宋" w:eastAsia="仿宋"/>
          <w:sz w:val="32"/>
          <w:szCs w:val="32"/>
        </w:rPr>
        <w:t>万元全部拨付到位。在年初对该项专项经费认真列好支出预算，严格按照专项资金管理制度保证资金及时足额发放到位。</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r>
        <w:rPr>
          <w:rFonts w:hint="eastAsia" w:ascii="仿宋" w:hAnsi="仿宋" w:eastAsia="仿宋"/>
          <w:sz w:val="32"/>
          <w:szCs w:val="32"/>
          <w:lang w:val="en-US" w:eastAsia="zh-CN"/>
        </w:rPr>
        <w:t>此项项目资金严格按照专项资金管理办法，按规定控制资金使用范围。确保离退休人员生活补贴及时发放到位。</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pPr>
        <w:spacing w:line="560" w:lineRule="exact"/>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1、产出指标：数量指标是生活补助发放人数，年度指标值71人，截止2024年12月止实际完成值76人，因新增退休人员；质量指标是生活补助发放准确率，年度指标值100%，截止2024年12月止实际完成值100%；时效指标是生活补助发放及时率，年度指标值100%，截止2024年12月止实际完成值100%。</w:t>
      </w:r>
    </w:p>
    <w:p>
      <w:pPr>
        <w:spacing w:line="560" w:lineRule="exact"/>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2、效益指标：社会效益指标是提升退休人员生活水平，年度指标值提升，截止2024年12月止实际完成值提升；可持续指标是改善生活质量，年度指标值长期，截止2024年12月止实际完成值长期。</w:t>
      </w:r>
    </w:p>
    <w:p>
      <w:pPr>
        <w:spacing w:line="560" w:lineRule="exact"/>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3、满意度指标：服务对象满意度指标是离退休人员满意度年度指标值95%，截止2024年12月止实际完成值95%。</w:t>
      </w:r>
    </w:p>
    <w:p>
      <w:pPr>
        <w:spacing w:line="560" w:lineRule="exact"/>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4、成本指标：经济成本指标离退休人员生活补助标准，年度指标值600元每人，截止2024年12月止实际完成值600元每人。</w:t>
      </w:r>
    </w:p>
    <w:p>
      <w:pPr>
        <w:spacing w:line="560" w:lineRule="exact"/>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（四）项目效益情况：确保退休人员生活补贴水平稳步提高。</w:t>
      </w:r>
    </w:p>
    <w:p>
      <w:pPr>
        <w:spacing w:line="560" w:lineRule="exact"/>
        <w:ind w:firstLine="643" w:firstLineChars="200"/>
        <w:jc w:val="left"/>
        <w:rPr>
          <w:rFonts w:ascii="宋体" w:hAnsi="宋体" w:cs="宋体"/>
          <w:b/>
          <w:sz w:val="32"/>
          <w:szCs w:val="32"/>
        </w:rPr>
      </w:pPr>
      <w:r>
        <w:rPr>
          <w:rFonts w:hint="eastAsia" w:ascii="宋体" w:hAnsi="宋体" w:cs="宋体"/>
          <w:b/>
          <w:sz w:val="32"/>
          <w:szCs w:val="32"/>
        </w:rPr>
        <w:t>五、主要经验及做法、存在的问题及原因分析</w:t>
      </w:r>
    </w:p>
    <w:p>
      <w:pPr>
        <w:spacing w:line="560" w:lineRule="exact"/>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经验及做法：专款专用，保障退休人员生活补贴及时足额发放到位。</w:t>
      </w:r>
    </w:p>
    <w:p>
      <w:pPr>
        <w:spacing w:line="560" w:lineRule="exact"/>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存在的问题；退休人员变动太大，导致年初预算不够准确，中途调整预算较多。</w:t>
      </w:r>
    </w:p>
    <w:p>
      <w:pPr>
        <w:numPr>
          <w:ilvl w:val="0"/>
          <w:numId w:val="2"/>
        </w:numPr>
        <w:spacing w:line="560" w:lineRule="exact"/>
        <w:ind w:firstLine="643" w:firstLineChars="200"/>
        <w:jc w:val="left"/>
        <w:rPr>
          <w:rFonts w:ascii="宋体" w:hAnsi="宋体" w:cs="宋体"/>
          <w:b/>
          <w:sz w:val="32"/>
          <w:szCs w:val="32"/>
        </w:rPr>
      </w:pPr>
      <w:r>
        <w:rPr>
          <w:rFonts w:hint="eastAsia" w:ascii="宋体" w:hAnsi="宋体" w:cs="宋体"/>
          <w:b/>
          <w:sz w:val="32"/>
          <w:szCs w:val="32"/>
        </w:rPr>
        <w:t>有关建议</w:t>
      </w:r>
    </w:p>
    <w:p>
      <w:pPr>
        <w:spacing w:line="560" w:lineRule="exact"/>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并入人员经费不要单独做项目预算</w:t>
      </w:r>
    </w:p>
    <w:p>
      <w:pPr>
        <w:spacing w:line="560" w:lineRule="exact"/>
        <w:ind w:firstLine="643" w:firstLineChars="200"/>
        <w:jc w:val="left"/>
        <w:rPr>
          <w:rFonts w:ascii="宋体" w:hAnsi="宋体" w:cs="宋体"/>
          <w:b/>
          <w:sz w:val="32"/>
          <w:szCs w:val="32"/>
        </w:rPr>
      </w:pPr>
      <w:r>
        <w:rPr>
          <w:rFonts w:hint="eastAsia" w:ascii="宋体" w:hAnsi="宋体" w:cs="宋体"/>
          <w:b/>
          <w:sz w:val="32"/>
          <w:szCs w:val="32"/>
        </w:rPr>
        <w:t>七、其他需要说明的问题</w:t>
      </w:r>
    </w:p>
    <w:p>
      <w:pPr>
        <w:pStyle w:val="5"/>
        <w:widowControl w:val="0"/>
        <w:spacing w:before="0" w:beforeAutospacing="0" w:after="0" w:afterAutospacing="0" w:line="52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ind w:left="0" w:leftChars="0" w:firstLine="0" w:firstLineChars="0"/>
        <w:rPr>
          <w:rFonts w:hint="eastAsia" w:ascii="仿宋_GB2312" w:hAnsi="仿宋_GB2312" w:eastAsia="仿宋_GB2312" w:cs="仿宋_GB2312"/>
          <w:sz w:val="32"/>
          <w:szCs w:val="32"/>
          <w:lang w:val="en-US" w:eastAsia="zh-CN"/>
        </w:rPr>
      </w:pPr>
    </w:p>
    <w:p>
      <w:pPr>
        <w:ind w:firstLine="3520" w:firstLineChars="11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新晃侗族自治县市场监督管理局</w:t>
      </w:r>
    </w:p>
    <w:p>
      <w:pPr>
        <w:ind w:left="0" w:leftChars="0" w:firstLine="4480" w:firstLineChars="1400"/>
        <w:rPr>
          <w:rFonts w:eastAsia="仿宋_GB2312"/>
          <w:sz w:val="24"/>
        </w:rPr>
      </w:pPr>
      <w:r>
        <w:rPr>
          <w:rFonts w:hint="eastAsia" w:ascii="仿宋_GB2312" w:hAnsi="仿宋_GB2312" w:eastAsia="仿宋_GB2312" w:cs="仿宋_GB2312"/>
          <w:sz w:val="32"/>
          <w:szCs w:val="32"/>
        </w:rPr>
        <w:t>2025年3月</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日</w:t>
      </w:r>
    </w:p>
    <w:p>
      <w:pPr>
        <w:ind w:firstLine="6080" w:firstLineChars="1900"/>
        <w:rPr>
          <w:rFonts w:ascii="仿宋_GB2312" w:hAnsi="仿宋_GB2312" w:eastAsia="仿宋_GB2312" w:cs="仿宋_GB2312"/>
          <w:sz w:val="32"/>
          <w:szCs w:val="32"/>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8"/>
          <w:szCs w:val="28"/>
        </w:rPr>
      </w:pPr>
    </w:p>
    <w:p>
      <w:pPr>
        <w:spacing w:line="320" w:lineRule="exact"/>
        <w:ind w:left="0"/>
        <w:jc w:val="left"/>
        <w:rPr>
          <w:rFonts w:ascii="仿宋_GB2312" w:hAnsi="仿宋_GB2312" w:eastAsia="仿宋_GB2312" w:cs="仿宋_GB2312"/>
          <w:b/>
          <w:sz w:val="24"/>
        </w:rPr>
      </w:pPr>
      <w:r>
        <w:rPr>
          <w:rFonts w:hint="eastAsia" w:ascii="仿宋_GB2312" w:hAnsi="仿宋_GB2312" w:eastAsia="仿宋_GB2312" w:cs="仿宋_GB2312"/>
          <w:b/>
          <w:sz w:val="28"/>
          <w:szCs w:val="28"/>
        </w:rPr>
        <w:t>附件2-1</w:t>
      </w:r>
    </w:p>
    <w:p>
      <w:pPr>
        <w:spacing w:line="800" w:lineRule="exact"/>
        <w:jc w:val="center"/>
        <w:rPr>
          <w:rFonts w:ascii="宋体" w:hAnsi="宋体"/>
          <w:b/>
          <w:w w:val="90"/>
          <w:sz w:val="36"/>
          <w:szCs w:val="36"/>
        </w:rPr>
      </w:pPr>
      <w:r>
        <w:rPr>
          <w:rFonts w:hint="eastAsia" w:ascii="宋体" w:hAnsi="宋体"/>
          <w:b/>
          <w:w w:val="90"/>
          <w:sz w:val="36"/>
          <w:szCs w:val="36"/>
        </w:rPr>
        <w:t>2024年度新晃县项目绩效自评计分标准</w:t>
      </w:r>
    </w:p>
    <w:tbl>
      <w:tblPr>
        <w:tblStyle w:val="7"/>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ign w:val="center"/>
          </w:tcPr>
          <w:p>
            <w:pPr>
              <w:spacing w:line="340" w:lineRule="exact"/>
              <w:jc w:val="center"/>
              <w:rPr>
                <w:rFonts w:eastAsia="仿宋_GB2312"/>
                <w:sz w:val="24"/>
              </w:rPr>
            </w:pPr>
            <w:r>
              <w:rPr>
                <w:rFonts w:eastAsia="仿宋_GB2312"/>
                <w:sz w:val="24"/>
              </w:rPr>
              <w:t>评价内容</w:t>
            </w:r>
          </w:p>
        </w:tc>
        <w:tc>
          <w:tcPr>
            <w:tcW w:w="727" w:type="dxa"/>
            <w:noWrap/>
            <w:vAlign w:val="center"/>
          </w:tcPr>
          <w:p>
            <w:pPr>
              <w:spacing w:line="340" w:lineRule="exact"/>
              <w:jc w:val="center"/>
              <w:rPr>
                <w:rFonts w:eastAsia="仿宋_GB2312"/>
                <w:sz w:val="24"/>
              </w:rPr>
            </w:pPr>
            <w:r>
              <w:rPr>
                <w:rFonts w:eastAsia="仿宋_GB2312"/>
                <w:sz w:val="24"/>
              </w:rPr>
              <w:t>分值</w:t>
            </w:r>
          </w:p>
        </w:tc>
        <w:tc>
          <w:tcPr>
            <w:tcW w:w="6770" w:type="dxa"/>
            <w:noWrap/>
            <w:vAlign w:val="center"/>
          </w:tcPr>
          <w:p>
            <w:pPr>
              <w:spacing w:line="340" w:lineRule="exact"/>
              <w:jc w:val="center"/>
              <w:rPr>
                <w:rFonts w:eastAsia="仿宋_GB2312"/>
                <w:sz w:val="24"/>
              </w:rPr>
            </w:pPr>
            <w:r>
              <w:rPr>
                <w:rFonts w:eastAsia="仿宋_GB2312"/>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ign w:val="center"/>
          </w:tcPr>
          <w:p>
            <w:pPr>
              <w:spacing w:line="340" w:lineRule="exact"/>
              <w:jc w:val="center"/>
              <w:rPr>
                <w:rFonts w:eastAsia="仿宋_GB2312"/>
                <w:sz w:val="24"/>
              </w:rPr>
            </w:pPr>
            <w:r>
              <w:rPr>
                <w:rFonts w:eastAsia="仿宋_GB2312"/>
                <w:sz w:val="24"/>
              </w:rPr>
              <w:t>项目预算及预期绩效目标编制水平</w:t>
            </w:r>
          </w:p>
        </w:tc>
        <w:tc>
          <w:tcPr>
            <w:tcW w:w="727" w:type="dxa"/>
            <w:noWrap/>
            <w:vAlign w:val="center"/>
          </w:tcPr>
          <w:p>
            <w:pPr>
              <w:spacing w:line="340" w:lineRule="exact"/>
              <w:jc w:val="center"/>
              <w:rPr>
                <w:rFonts w:eastAsia="仿宋_GB2312"/>
                <w:sz w:val="24"/>
              </w:rPr>
            </w:pPr>
            <w:r>
              <w:rPr>
                <w:rFonts w:eastAsia="仿宋_GB2312"/>
                <w:sz w:val="24"/>
              </w:rPr>
              <w:t>10</w:t>
            </w:r>
          </w:p>
        </w:tc>
        <w:tc>
          <w:tcPr>
            <w:tcW w:w="6770" w:type="dxa"/>
            <w:noWrap/>
          </w:tcPr>
          <w:p>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ign w:val="center"/>
          </w:tcPr>
          <w:p>
            <w:pPr>
              <w:spacing w:line="300" w:lineRule="exact"/>
              <w:jc w:val="center"/>
              <w:rPr>
                <w:rFonts w:eastAsia="仿宋_GB2312"/>
                <w:sz w:val="24"/>
              </w:rPr>
            </w:pPr>
            <w:r>
              <w:rPr>
                <w:rFonts w:eastAsia="仿宋_GB2312"/>
                <w:sz w:val="24"/>
              </w:rPr>
              <w:t>预算执行率</w:t>
            </w:r>
          </w:p>
        </w:tc>
        <w:tc>
          <w:tcPr>
            <w:tcW w:w="727" w:type="dxa"/>
            <w:noWrap/>
            <w:vAlign w:val="center"/>
          </w:tcPr>
          <w:p>
            <w:pPr>
              <w:spacing w:line="340" w:lineRule="exact"/>
              <w:jc w:val="center"/>
              <w:rPr>
                <w:rFonts w:eastAsia="仿宋_GB2312"/>
                <w:sz w:val="24"/>
              </w:rPr>
            </w:pPr>
            <w:r>
              <w:rPr>
                <w:rFonts w:eastAsia="仿宋_GB2312"/>
                <w:sz w:val="24"/>
              </w:rPr>
              <w:t>10</w:t>
            </w:r>
          </w:p>
        </w:tc>
        <w:tc>
          <w:tcPr>
            <w:tcW w:w="6770" w:type="dxa"/>
            <w:noWrap/>
            <w:vAlign w:val="center"/>
          </w:tcPr>
          <w:p>
            <w:pPr>
              <w:spacing w:line="440" w:lineRule="exact"/>
              <w:rPr>
                <w:rFonts w:eastAsia="仿宋_GB2312"/>
                <w:sz w:val="24"/>
              </w:rPr>
            </w:pPr>
            <w:r>
              <w:rPr>
                <w:rFonts w:eastAsia="仿宋_GB2312"/>
                <w:sz w:val="24"/>
              </w:rPr>
              <w:t>预算执行率S≥95%，得满分；每下降1%，扣0.25分，扣完为止。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ign w:val="center"/>
          </w:tcPr>
          <w:p>
            <w:pPr>
              <w:spacing w:line="340" w:lineRule="exact"/>
              <w:jc w:val="center"/>
              <w:rPr>
                <w:rFonts w:eastAsia="仿宋_GB2312"/>
                <w:sz w:val="24"/>
              </w:rPr>
            </w:pPr>
            <w:r>
              <w:rPr>
                <w:rFonts w:eastAsia="仿宋_GB2312"/>
                <w:sz w:val="24"/>
              </w:rPr>
              <w:t>项目组织</w:t>
            </w:r>
          </w:p>
          <w:p>
            <w:pPr>
              <w:spacing w:line="340" w:lineRule="exact"/>
              <w:jc w:val="center"/>
              <w:rPr>
                <w:rFonts w:eastAsia="仿宋_GB2312"/>
                <w:sz w:val="24"/>
              </w:rPr>
            </w:pPr>
            <w:r>
              <w:rPr>
                <w:rFonts w:eastAsia="仿宋_GB2312"/>
                <w:sz w:val="24"/>
              </w:rPr>
              <w:t>管理水平</w:t>
            </w:r>
          </w:p>
        </w:tc>
        <w:tc>
          <w:tcPr>
            <w:tcW w:w="727" w:type="dxa"/>
            <w:noWrap/>
            <w:vAlign w:val="center"/>
          </w:tcPr>
          <w:p>
            <w:pPr>
              <w:spacing w:line="340" w:lineRule="exact"/>
              <w:jc w:val="center"/>
              <w:rPr>
                <w:rFonts w:eastAsia="仿宋_GB2312"/>
                <w:sz w:val="24"/>
              </w:rPr>
            </w:pPr>
            <w:r>
              <w:rPr>
                <w:rFonts w:eastAsia="仿宋_GB2312"/>
                <w:sz w:val="24"/>
              </w:rPr>
              <w:t>1</w:t>
            </w:r>
            <w:r>
              <w:rPr>
                <w:rFonts w:hint="eastAsia" w:eastAsia="仿宋_GB2312"/>
                <w:sz w:val="24"/>
              </w:rPr>
              <w:t>0</w:t>
            </w:r>
          </w:p>
        </w:tc>
        <w:tc>
          <w:tcPr>
            <w:tcW w:w="6770" w:type="dxa"/>
            <w:noWrap/>
          </w:tcPr>
          <w:p>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ign w:val="center"/>
          </w:tcPr>
          <w:p>
            <w:pPr>
              <w:spacing w:line="340" w:lineRule="exact"/>
              <w:jc w:val="center"/>
              <w:rPr>
                <w:rFonts w:eastAsia="仿宋_GB2312"/>
                <w:sz w:val="24"/>
              </w:rPr>
            </w:pPr>
            <w:r>
              <w:rPr>
                <w:rFonts w:eastAsia="仿宋_GB2312"/>
                <w:sz w:val="24"/>
              </w:rPr>
              <w:t>资金支出</w:t>
            </w:r>
          </w:p>
          <w:p>
            <w:pPr>
              <w:spacing w:line="340" w:lineRule="exact"/>
              <w:jc w:val="center"/>
              <w:rPr>
                <w:rFonts w:eastAsia="仿宋_GB2312"/>
                <w:sz w:val="24"/>
              </w:rPr>
            </w:pPr>
            <w:r>
              <w:rPr>
                <w:rFonts w:eastAsia="仿宋_GB2312"/>
                <w:sz w:val="24"/>
              </w:rPr>
              <w:t>合理合规</w:t>
            </w:r>
          </w:p>
        </w:tc>
        <w:tc>
          <w:tcPr>
            <w:tcW w:w="727" w:type="dxa"/>
            <w:noWrap/>
            <w:vAlign w:val="center"/>
          </w:tcPr>
          <w:p>
            <w:pPr>
              <w:spacing w:line="340" w:lineRule="exact"/>
              <w:jc w:val="center"/>
              <w:rPr>
                <w:rFonts w:eastAsia="仿宋_GB2312"/>
                <w:sz w:val="24"/>
              </w:rPr>
            </w:pPr>
            <w:r>
              <w:rPr>
                <w:rFonts w:eastAsia="仿宋_GB2312"/>
                <w:sz w:val="24"/>
              </w:rPr>
              <w:t>1</w:t>
            </w:r>
            <w:r>
              <w:rPr>
                <w:rFonts w:hint="eastAsia" w:eastAsia="仿宋_GB2312"/>
                <w:sz w:val="24"/>
              </w:rPr>
              <w:t>0</w:t>
            </w:r>
          </w:p>
        </w:tc>
        <w:tc>
          <w:tcPr>
            <w:tcW w:w="6770" w:type="dxa"/>
            <w:noWrap/>
          </w:tcPr>
          <w:p>
            <w:pPr>
              <w:spacing w:line="460" w:lineRule="exact"/>
              <w:rPr>
                <w:rFonts w:eastAsia="仿宋_GB2312"/>
                <w:sz w:val="24"/>
              </w:rPr>
            </w:pPr>
            <w:r>
              <w:rPr>
                <w:rFonts w:eastAsia="仿宋_GB2312"/>
                <w:sz w:val="24"/>
              </w:rPr>
              <w:t>资金支出合理合规比率=（项目资金支出-不合理合规资金支出）/项目资金支出×100%。</w:t>
            </w:r>
          </w:p>
          <w:p>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pPr>
              <w:spacing w:line="460" w:lineRule="exact"/>
              <w:rPr>
                <w:rFonts w:eastAsia="仿宋_GB2312"/>
                <w:sz w:val="24"/>
              </w:rPr>
            </w:pPr>
            <w:r>
              <w:rPr>
                <w:rFonts w:eastAsia="仿宋_GB2312"/>
                <w:sz w:val="24"/>
              </w:rPr>
              <w:t>资金支出合理合规比率S=100%，得满分；每下降1%，扣1分，扣完为止。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ign w:val="center"/>
          </w:tcPr>
          <w:p>
            <w:pPr>
              <w:spacing w:line="340" w:lineRule="exact"/>
              <w:jc w:val="center"/>
              <w:rPr>
                <w:rFonts w:eastAsia="仿宋_GB2312"/>
                <w:sz w:val="24"/>
              </w:rPr>
            </w:pPr>
            <w:r>
              <w:rPr>
                <w:rFonts w:eastAsia="仿宋_GB2312"/>
                <w:sz w:val="24"/>
              </w:rPr>
              <w:t>项目</w:t>
            </w:r>
          </w:p>
          <w:p>
            <w:pPr>
              <w:spacing w:line="340" w:lineRule="exact"/>
              <w:jc w:val="center"/>
              <w:rPr>
                <w:rFonts w:eastAsia="仿宋_GB2312"/>
                <w:sz w:val="24"/>
              </w:rPr>
            </w:pPr>
            <w:r>
              <w:rPr>
                <w:rFonts w:eastAsia="仿宋_GB2312"/>
                <w:sz w:val="24"/>
              </w:rPr>
              <w:t>产出</w:t>
            </w:r>
          </w:p>
        </w:tc>
        <w:tc>
          <w:tcPr>
            <w:tcW w:w="727" w:type="dxa"/>
            <w:noWrap/>
            <w:vAlign w:val="center"/>
          </w:tcPr>
          <w:p>
            <w:pPr>
              <w:spacing w:line="340" w:lineRule="exact"/>
              <w:jc w:val="center"/>
              <w:rPr>
                <w:rFonts w:eastAsia="仿宋_GB2312"/>
                <w:sz w:val="24"/>
              </w:rPr>
            </w:pPr>
            <w:r>
              <w:rPr>
                <w:rFonts w:eastAsia="仿宋_GB2312"/>
                <w:sz w:val="24"/>
              </w:rPr>
              <w:t>30</w:t>
            </w:r>
          </w:p>
        </w:tc>
        <w:tc>
          <w:tcPr>
            <w:tcW w:w="6770" w:type="dxa"/>
            <w:noWrap/>
          </w:tcPr>
          <w:p>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ign w:val="center"/>
          </w:tcPr>
          <w:p>
            <w:pPr>
              <w:spacing w:line="340" w:lineRule="exact"/>
              <w:jc w:val="center"/>
              <w:rPr>
                <w:rFonts w:eastAsia="仿宋_GB2312"/>
                <w:sz w:val="24"/>
              </w:rPr>
            </w:pPr>
            <w:r>
              <w:rPr>
                <w:rFonts w:eastAsia="仿宋_GB2312"/>
                <w:sz w:val="24"/>
              </w:rPr>
              <w:t>项目效益</w:t>
            </w:r>
          </w:p>
          <w:p>
            <w:pPr>
              <w:spacing w:line="340" w:lineRule="exact"/>
              <w:jc w:val="center"/>
              <w:rPr>
                <w:rFonts w:eastAsia="仿宋_GB2312"/>
                <w:sz w:val="24"/>
              </w:rPr>
            </w:pPr>
            <w:r>
              <w:rPr>
                <w:rFonts w:eastAsia="仿宋_GB2312"/>
                <w:sz w:val="24"/>
              </w:rPr>
              <w:t>（效果）</w:t>
            </w:r>
          </w:p>
        </w:tc>
        <w:tc>
          <w:tcPr>
            <w:tcW w:w="727" w:type="dxa"/>
            <w:noWrap/>
            <w:vAlign w:val="center"/>
          </w:tcPr>
          <w:p>
            <w:pPr>
              <w:spacing w:line="340" w:lineRule="exact"/>
              <w:jc w:val="center"/>
              <w:rPr>
                <w:rFonts w:eastAsia="仿宋_GB2312"/>
                <w:sz w:val="24"/>
              </w:rPr>
            </w:pPr>
            <w:r>
              <w:rPr>
                <w:rFonts w:eastAsia="仿宋_GB2312"/>
                <w:sz w:val="24"/>
              </w:rPr>
              <w:t>20</w:t>
            </w:r>
          </w:p>
        </w:tc>
        <w:tc>
          <w:tcPr>
            <w:tcW w:w="6770" w:type="dxa"/>
            <w:noWrap/>
          </w:tcPr>
          <w:p>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ign w:val="center"/>
          </w:tcPr>
          <w:p>
            <w:pPr>
              <w:spacing w:line="340" w:lineRule="exact"/>
              <w:jc w:val="center"/>
              <w:rPr>
                <w:rFonts w:eastAsia="仿宋_GB2312"/>
                <w:sz w:val="24"/>
              </w:rPr>
            </w:pPr>
            <w:r>
              <w:rPr>
                <w:rFonts w:hint="eastAsia" w:eastAsia="仿宋_GB2312"/>
                <w:sz w:val="24"/>
              </w:rPr>
              <w:t>服务对象满意度</w:t>
            </w:r>
          </w:p>
        </w:tc>
        <w:tc>
          <w:tcPr>
            <w:tcW w:w="727" w:type="dxa"/>
            <w:noWrap/>
            <w:vAlign w:val="center"/>
          </w:tcPr>
          <w:p>
            <w:pPr>
              <w:spacing w:line="340" w:lineRule="exact"/>
              <w:jc w:val="center"/>
              <w:rPr>
                <w:rFonts w:eastAsia="仿宋_GB2312"/>
                <w:sz w:val="24"/>
              </w:rPr>
            </w:pPr>
            <w:r>
              <w:rPr>
                <w:rFonts w:hint="eastAsia" w:eastAsia="仿宋_GB2312"/>
                <w:sz w:val="24"/>
              </w:rPr>
              <w:t>10</w:t>
            </w:r>
          </w:p>
        </w:tc>
        <w:tc>
          <w:tcPr>
            <w:tcW w:w="6770" w:type="dxa"/>
            <w:noWrap/>
          </w:tcPr>
          <w:p>
            <w:pPr>
              <w:spacing w:line="340" w:lineRule="exact"/>
              <w:jc w:val="left"/>
              <w:rPr>
                <w:rFonts w:eastAsia="仿宋_GB2312"/>
                <w:sz w:val="24"/>
              </w:rPr>
            </w:pPr>
            <w:r>
              <w:rPr>
                <w:rFonts w:hint="eastAsia" w:eastAsia="仿宋_GB2312"/>
                <w:sz w:val="24"/>
              </w:rPr>
              <w:t>服务对象满意度计分：</w:t>
            </w:r>
          </w:p>
          <w:p>
            <w:pPr>
              <w:spacing w:line="340" w:lineRule="exact"/>
              <w:jc w:val="left"/>
              <w:rPr>
                <w:rFonts w:eastAsia="仿宋_GB2312"/>
                <w:sz w:val="24"/>
              </w:rPr>
            </w:pPr>
            <w:r>
              <w:rPr>
                <w:rFonts w:hint="eastAsia" w:eastAsia="仿宋_GB2312"/>
                <w:sz w:val="24"/>
              </w:rPr>
              <w:t>90%≤满意度≤100%记10分，</w:t>
            </w:r>
          </w:p>
          <w:p>
            <w:pPr>
              <w:spacing w:line="340" w:lineRule="exact"/>
              <w:jc w:val="left"/>
              <w:rPr>
                <w:rFonts w:eastAsia="仿宋_GB2312"/>
                <w:sz w:val="24"/>
              </w:rPr>
            </w:pPr>
            <w:r>
              <w:rPr>
                <w:rFonts w:hint="eastAsia" w:eastAsia="仿宋_GB2312"/>
                <w:sz w:val="24"/>
              </w:rPr>
              <w:t>80%≤满意度&lt;90%记8分，</w:t>
            </w:r>
          </w:p>
          <w:p>
            <w:pPr>
              <w:spacing w:line="340" w:lineRule="exact"/>
              <w:jc w:val="left"/>
              <w:rPr>
                <w:rFonts w:eastAsia="仿宋_GB2312"/>
                <w:sz w:val="24"/>
              </w:rPr>
            </w:pPr>
            <w:r>
              <w:rPr>
                <w:rFonts w:hint="eastAsia" w:eastAsia="仿宋_GB2312"/>
                <w:sz w:val="24"/>
              </w:rPr>
              <w:t>70%≤满意度&lt;80%记6分，</w:t>
            </w:r>
          </w:p>
          <w:p>
            <w:pPr>
              <w:spacing w:line="340" w:lineRule="exact"/>
              <w:jc w:val="left"/>
              <w:rPr>
                <w:rFonts w:eastAsia="仿宋_GB2312"/>
                <w:sz w:val="24"/>
              </w:rPr>
            </w:pPr>
            <w:r>
              <w:rPr>
                <w:rFonts w:hint="eastAsia" w:eastAsia="仿宋_GB2312"/>
                <w:sz w:val="24"/>
              </w:rPr>
              <w:t>60%≤满意度&lt;70%记4分，</w:t>
            </w:r>
          </w:p>
          <w:p>
            <w:pPr>
              <w:spacing w:line="340" w:lineRule="exact"/>
              <w:jc w:val="left"/>
              <w:rPr>
                <w:rFonts w:eastAsia="仿宋_GB2312"/>
                <w:sz w:val="24"/>
              </w:rPr>
            </w:pPr>
            <w:r>
              <w:rPr>
                <w:rFonts w:hint="eastAsia" w:eastAsia="仿宋_GB2312"/>
                <w:sz w:val="24"/>
              </w:rPr>
              <w:t>满意度&lt;60%记0分。</w:t>
            </w:r>
          </w:p>
        </w:tc>
      </w:tr>
    </w:tbl>
    <w:p/>
    <w:sectPr>
      <w:pgSz w:w="11906" w:h="16838"/>
      <w:pgMar w:top="420" w:right="1800" w:bottom="363"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52DB0"/>
    <w:multiLevelType w:val="singleLevel"/>
    <w:tmpl w:val="10E52DB0"/>
    <w:lvl w:ilvl="0" w:tentative="0">
      <w:start w:val="6"/>
      <w:numFmt w:val="chineseCounting"/>
      <w:suff w:val="nothing"/>
      <w:lvlText w:val="%1、"/>
      <w:lvlJc w:val="left"/>
      <w:rPr>
        <w:rFonts w:hint="eastAsia"/>
      </w:rPr>
    </w:lvl>
  </w:abstractNum>
  <w:abstractNum w:abstractNumId="1">
    <w:nsid w:val="2D5201C1"/>
    <w:multiLevelType w:val="singleLevel"/>
    <w:tmpl w:val="2D5201C1"/>
    <w:lvl w:ilvl="0" w:tentative="0">
      <w:start w:val="2"/>
      <w:numFmt w:val="chineseCounting"/>
      <w:suff w:val="nothing"/>
      <w:lvlText w:val="（%1）"/>
      <w:lvlJc w:val="left"/>
      <w:pPr>
        <w:ind w:left="-41"/>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kwMTUwMzQ5ZGJlYWVjZDMyZmViZmMxZmNjYmVlZDUifQ=="/>
  </w:docVars>
  <w:rsids>
    <w:rsidRoot w:val="0081233C"/>
    <w:rsid w:val="003014F4"/>
    <w:rsid w:val="006904EC"/>
    <w:rsid w:val="0081233C"/>
    <w:rsid w:val="009A1EB3"/>
    <w:rsid w:val="00AA6169"/>
    <w:rsid w:val="03554F9D"/>
    <w:rsid w:val="07CA4C73"/>
    <w:rsid w:val="09CD44CE"/>
    <w:rsid w:val="0F122B82"/>
    <w:rsid w:val="10795489"/>
    <w:rsid w:val="125E66E4"/>
    <w:rsid w:val="131C0985"/>
    <w:rsid w:val="166E2C6E"/>
    <w:rsid w:val="1FE73A01"/>
    <w:rsid w:val="225D7CFE"/>
    <w:rsid w:val="26D20FF7"/>
    <w:rsid w:val="2BDD0222"/>
    <w:rsid w:val="2F543CE5"/>
    <w:rsid w:val="33BA699C"/>
    <w:rsid w:val="362F3D70"/>
    <w:rsid w:val="40CA5EAC"/>
    <w:rsid w:val="42254EDC"/>
    <w:rsid w:val="462C11BE"/>
    <w:rsid w:val="47E0136E"/>
    <w:rsid w:val="48362D3C"/>
    <w:rsid w:val="49F42EAF"/>
    <w:rsid w:val="4BE93680"/>
    <w:rsid w:val="51BF3EF4"/>
    <w:rsid w:val="53B37C2F"/>
    <w:rsid w:val="562C577E"/>
    <w:rsid w:val="57FA4A3C"/>
    <w:rsid w:val="5A380B96"/>
    <w:rsid w:val="5A695D63"/>
    <w:rsid w:val="5FAE4A4C"/>
    <w:rsid w:val="63825A65"/>
    <w:rsid w:val="654A5C21"/>
    <w:rsid w:val="690B652E"/>
    <w:rsid w:val="697B284D"/>
    <w:rsid w:val="6A484913"/>
    <w:rsid w:val="6A4F604E"/>
    <w:rsid w:val="77C96E79"/>
    <w:rsid w:val="781B2EA1"/>
    <w:rsid w:val="7E4262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3">
    <w:name w:val="footer"/>
    <w:basedOn w:val="1"/>
    <w:link w:val="12"/>
    <w:autoRedefine/>
    <w:qFormat/>
    <w:uiPriority w:val="0"/>
    <w:pPr>
      <w:tabs>
        <w:tab w:val="center" w:pos="4153"/>
        <w:tab w:val="right" w:pos="8306"/>
      </w:tabs>
      <w:snapToGrid w:val="0"/>
      <w:spacing w:line="240" w:lineRule="atLeast"/>
      <w:jc w:val="left"/>
    </w:pPr>
    <w:rPr>
      <w:sz w:val="18"/>
      <w:szCs w:val="18"/>
    </w:rPr>
  </w:style>
  <w:style w:type="paragraph" w:styleId="4">
    <w:name w:val="header"/>
    <w:basedOn w:val="1"/>
    <w:link w:val="11"/>
    <w:autoRedefine/>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6">
    <w:name w:val="Body Text First Indent"/>
    <w:basedOn w:val="2"/>
    <w:autoRedefine/>
    <w:qFormat/>
    <w:uiPriority w:val="0"/>
    <w:pPr>
      <w:spacing w:after="200"/>
      <w:ind w:firstLine="100" w:firstLineChars="100"/>
      <w:jc w:val="center"/>
    </w:pPr>
    <w:rPr>
      <w:rFonts w:ascii="??_GB2312" w:hAnsi="??_GB2312" w:cs="??_GB2312"/>
      <w:sz w:val="24"/>
    </w:rPr>
  </w:style>
  <w:style w:type="character" w:styleId="9">
    <w:name w:val="Strong"/>
    <w:autoRedefine/>
    <w:qFormat/>
    <w:uiPriority w:val="0"/>
    <w:rPr>
      <w:b/>
      <w:bCs/>
    </w:rPr>
  </w:style>
  <w:style w:type="paragraph" w:styleId="10">
    <w:name w:val="List Paragraph"/>
    <w:basedOn w:val="1"/>
    <w:autoRedefine/>
    <w:unhideWhenUsed/>
    <w:qFormat/>
    <w:uiPriority w:val="99"/>
    <w:pPr>
      <w:ind w:firstLine="420" w:firstLineChars="200"/>
    </w:pPr>
  </w:style>
  <w:style w:type="character" w:customStyle="1" w:styleId="11">
    <w:name w:val="页眉 Char"/>
    <w:basedOn w:val="8"/>
    <w:link w:val="4"/>
    <w:autoRedefine/>
    <w:qFormat/>
    <w:uiPriority w:val="0"/>
    <w:rPr>
      <w:rFonts w:ascii="Times New Roman" w:hAnsi="Times New Roman" w:eastAsia="宋体" w:cs="Times New Roman"/>
      <w:sz w:val="18"/>
      <w:szCs w:val="18"/>
    </w:rPr>
  </w:style>
  <w:style w:type="character" w:customStyle="1" w:styleId="12">
    <w:name w:val="页脚 Char"/>
    <w:basedOn w:val="8"/>
    <w:link w:val="3"/>
    <w:autoRedefine/>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lfkj</Company>
  <Pages>7</Pages>
  <Words>2830</Words>
  <Characters>3068</Characters>
  <Lines>27</Lines>
  <Paragraphs>7</Paragraphs>
  <TotalTime>0</TotalTime>
  <ScaleCrop>false</ScaleCrop>
  <LinksUpToDate>false</LinksUpToDate>
  <CharactersWithSpaces>3168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Administrator</cp:lastModifiedBy>
  <cp:lastPrinted>2025-03-05T07:41:00Z</cp:lastPrinted>
  <dcterms:modified xsi:type="dcterms:W3CDTF">2025-04-09T08:32:21Z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KSOTemplateDocerSaveRecord">
    <vt:lpwstr>eyJoZGlkIjoiNjY0NTc3NmZjZDdiMWJhZWYxOTcyNDRiZmVkYzQ0ZmIifQ==</vt:lpwstr>
  </property>
  <property fmtid="{D5CDD505-2E9C-101B-9397-08002B2CF9AE}" pid="4" name="ICV">
    <vt:lpwstr>28CB7F77D1BF4E8E96F8901106EF91EA_12</vt:lpwstr>
  </property>
</Properties>
</file>