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4" w:line="222" w:lineRule="auto"/>
        <w:ind w:left="4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附件2-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1</w:t>
      </w:r>
    </w:p>
    <w:p>
      <w:pPr>
        <w:spacing w:before="216" w:line="221" w:lineRule="auto"/>
        <w:ind w:left="23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2022年度新晃县项目支出绩效自评表</w:t>
      </w:r>
    </w:p>
    <w:p>
      <w:pPr>
        <w:spacing w:before="187" w:line="221" w:lineRule="auto"/>
        <w:ind w:left="778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9"/>
          <w:sz w:val="19"/>
          <w:szCs w:val="19"/>
        </w:rPr>
        <w:t>金额单位：万元</w:t>
      </w:r>
    </w:p>
    <w:p>
      <w:pPr>
        <w:spacing w:line="113" w:lineRule="exact"/>
      </w:pPr>
    </w:p>
    <w:tbl>
      <w:tblPr>
        <w:tblStyle w:val="8"/>
        <w:tblW w:w="9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1129"/>
        <w:gridCol w:w="1808"/>
        <w:gridCol w:w="1418"/>
        <w:gridCol w:w="1299"/>
        <w:gridCol w:w="1199"/>
        <w:gridCol w:w="839"/>
        <w:gridCol w:w="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14" w:type="dxa"/>
            <w:vAlign w:val="top"/>
          </w:tcPr>
          <w:p>
            <w:pPr>
              <w:spacing w:before="64" w:line="259" w:lineRule="auto"/>
              <w:ind w:left="244" w:righ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项目单位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称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spacing w:before="221" w:line="219" w:lineRule="auto"/>
              <w:ind w:right="142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(盖章)</w:t>
            </w:r>
          </w:p>
        </w:tc>
        <w:tc>
          <w:tcPr>
            <w:tcW w:w="1418" w:type="dxa"/>
            <w:vAlign w:val="top"/>
          </w:tcPr>
          <w:p>
            <w:pPr>
              <w:spacing w:before="223" w:line="220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19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食用农产品抽检监工作经费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80" w:line="252" w:lineRule="auto"/>
              <w:ind w:left="244" w:righ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目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责任部门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食品安全综合协调股</w:t>
            </w:r>
          </w:p>
        </w:tc>
        <w:tc>
          <w:tcPr>
            <w:tcW w:w="1418" w:type="dxa"/>
            <w:vAlign w:val="top"/>
          </w:tcPr>
          <w:p>
            <w:pPr>
              <w:spacing w:before="219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项目负责人</w:t>
            </w:r>
          </w:p>
        </w:tc>
        <w:tc>
          <w:tcPr>
            <w:tcW w:w="129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吴桂梅</w:t>
            </w:r>
          </w:p>
        </w:tc>
        <w:tc>
          <w:tcPr>
            <w:tcW w:w="1199" w:type="dxa"/>
            <w:vAlign w:val="top"/>
          </w:tcPr>
          <w:p>
            <w:pPr>
              <w:spacing w:before="221" w:line="221" w:lineRule="auto"/>
              <w:ind w:left="1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13874550533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14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318" w:lineRule="exact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position w:val="8"/>
                <w:sz w:val="20"/>
                <w:szCs w:val="20"/>
              </w:rPr>
              <w:t>项目资金</w:t>
            </w:r>
          </w:p>
          <w:p>
            <w:pPr>
              <w:spacing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基本情况</w:t>
            </w:r>
          </w:p>
        </w:tc>
        <w:tc>
          <w:tcPr>
            <w:tcW w:w="1129" w:type="dxa"/>
            <w:vAlign w:val="top"/>
          </w:tcPr>
          <w:p>
            <w:pPr>
              <w:spacing w:before="200" w:line="219" w:lineRule="auto"/>
              <w:ind w:left="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上年结转</w:t>
            </w:r>
          </w:p>
        </w:tc>
        <w:tc>
          <w:tcPr>
            <w:tcW w:w="1808" w:type="dxa"/>
            <w:vAlign w:val="top"/>
          </w:tcPr>
          <w:p>
            <w:pPr>
              <w:spacing w:before="200" w:line="21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年初预算安排数</w:t>
            </w:r>
          </w:p>
        </w:tc>
        <w:tc>
          <w:tcPr>
            <w:tcW w:w="1418" w:type="dxa"/>
            <w:vAlign w:val="top"/>
          </w:tcPr>
          <w:p>
            <w:pPr>
              <w:spacing w:before="200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预算调整数</w:t>
            </w:r>
          </w:p>
        </w:tc>
        <w:tc>
          <w:tcPr>
            <w:tcW w:w="2498" w:type="dxa"/>
            <w:gridSpan w:val="2"/>
            <w:vAlign w:val="top"/>
          </w:tcPr>
          <w:p>
            <w:pPr>
              <w:spacing w:before="200" w:line="219" w:lineRule="auto"/>
              <w:ind w:left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全年执行数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spacing w:before="200" w:line="219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36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2.8</w:t>
            </w:r>
          </w:p>
        </w:tc>
        <w:tc>
          <w:tcPr>
            <w:tcW w:w="2498" w:type="dxa"/>
            <w:gridSpan w:val="2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14" w:type="dxa"/>
            <w:vAlign w:val="top"/>
          </w:tcPr>
          <w:p>
            <w:pPr>
              <w:spacing w:before="258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评价内容</w:t>
            </w:r>
          </w:p>
        </w:tc>
        <w:tc>
          <w:tcPr>
            <w:tcW w:w="1129" w:type="dxa"/>
            <w:vAlign w:val="top"/>
          </w:tcPr>
          <w:p>
            <w:pPr>
              <w:spacing w:before="260" w:line="219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分值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58" w:line="218" w:lineRule="auto"/>
              <w:ind w:left="24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评价简述</w:t>
            </w:r>
          </w:p>
        </w:tc>
        <w:tc>
          <w:tcPr>
            <w:tcW w:w="839" w:type="dxa"/>
            <w:vAlign w:val="top"/>
          </w:tcPr>
          <w:p>
            <w:pPr>
              <w:spacing w:before="99" w:line="262" w:lineRule="auto"/>
              <w:ind w:left="117" w:right="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单位自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评得分</w:t>
            </w:r>
          </w:p>
        </w:tc>
        <w:tc>
          <w:tcPr>
            <w:tcW w:w="854" w:type="dxa"/>
            <w:vAlign w:val="top"/>
          </w:tcPr>
          <w:p>
            <w:pPr>
              <w:spacing w:before="99" w:line="262" w:lineRule="auto"/>
              <w:ind w:left="118" w:righ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财政复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评得分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14" w:type="dxa"/>
            <w:vAlign w:val="top"/>
          </w:tcPr>
          <w:p>
            <w:pPr>
              <w:spacing w:before="69" w:line="255" w:lineRule="auto"/>
              <w:ind w:left="144" w:right="12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项目预算及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预期绩效目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标编制水平</w:t>
            </w:r>
          </w:p>
        </w:tc>
        <w:tc>
          <w:tcPr>
            <w:tcW w:w="112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49" w:line="275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本项目预算编制科学、规范、合理，预期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绩效目标申报完整，产出、效果类关键性指标清晰、明确、量化，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投入与项目产出、效果目标匹配。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14" w:type="dxa"/>
            <w:vAlign w:val="top"/>
          </w:tcPr>
          <w:p>
            <w:pPr>
              <w:spacing w:before="222" w:line="219" w:lineRule="auto"/>
              <w:ind w:left="1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2" w:line="219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该项目预算执行率为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。根据实际情况评分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72" w:line="248" w:lineRule="auto"/>
              <w:ind w:left="244" w:righ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项目组织 管理水平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88" w:firstLineChars="200"/>
              <w:textAlignment w:val="baseline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本项目建立了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eastAsia="zh-CN"/>
              </w:rPr>
              <w:t>市场监督专项业务、五证合一商事制度改革、食用农产品抽检检测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等项目管理制度，并严格按相关制度执行。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314" w:type="dxa"/>
            <w:vAlign w:val="top"/>
          </w:tcPr>
          <w:p>
            <w:pPr>
              <w:spacing w:before="233" w:line="250" w:lineRule="auto"/>
              <w:ind w:left="244" w:right="2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资金支出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合理合规</w:t>
            </w:r>
          </w:p>
        </w:tc>
        <w:tc>
          <w:tcPr>
            <w:tcW w:w="1129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73" w:line="273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本年项目支出符合国家相关法律法规、财务管理制度等规定，且均在预算范围内，无与本项目预算不相符或无关的资金支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出</w:t>
            </w:r>
            <w:r>
              <w:rPr>
                <w:rFonts w:ascii="宋体" w:hAnsi="宋体" w:eastAsia="宋体" w:cs="宋体"/>
                <w:spacing w:val="6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14" w:type="dxa"/>
            <w:vAlign w:val="top"/>
          </w:tcPr>
          <w:p>
            <w:pPr>
              <w:spacing w:before="254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129" w:type="dxa"/>
            <w:vAlign w:val="top"/>
          </w:tcPr>
          <w:p>
            <w:pPr>
              <w:spacing w:before="30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30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83" w:line="26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食品安全检验经费至少支持3份/千人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  <w:lang w:eastAsia="zh-CN"/>
              </w:rPr>
              <w:t>，完成</w:t>
            </w:r>
            <w:r>
              <w:rPr>
                <w:rFonts w:hint="eastAsia" w:ascii="仿宋_GB2312" w:hAnsi="宋体" w:eastAsia="仿宋_GB2312"/>
                <w:b w:val="0"/>
                <w:bCs/>
                <w:color w:val="auto"/>
                <w:sz w:val="18"/>
                <w:szCs w:val="18"/>
                <w:lang w:val="en-US" w:eastAsia="zh-CN"/>
              </w:rPr>
              <w:t>抽检食品及食用农产品1084批次（包括检测中心304批次），合格1065批次，食品安全评价性抽检整体合格率98.25%。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产出时效以及成本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控制等方面</w:t>
            </w:r>
            <w:r>
              <w:rPr>
                <w:rFonts w:hint="eastAsia" w:ascii="宋体" w:hAnsi="宋体" w:eastAsia="宋体" w:cs="宋体"/>
                <w:spacing w:val="17"/>
                <w:sz w:val="19"/>
                <w:szCs w:val="19"/>
                <w:lang w:eastAsia="zh-CN"/>
              </w:rPr>
              <w:t>在年初申报范围内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314" w:type="dxa"/>
            <w:vAlign w:val="top"/>
          </w:tcPr>
          <w:p>
            <w:pPr>
              <w:spacing w:before="226" w:line="253" w:lineRule="auto"/>
              <w:ind w:left="344" w:right="249" w:hanging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项目效益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(效果)</w:t>
            </w:r>
          </w:p>
        </w:tc>
        <w:tc>
          <w:tcPr>
            <w:tcW w:w="1129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before="6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20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34" w:line="259" w:lineRule="auto"/>
              <w:ind w:left="131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提高人民群众食品和农产品质量安全安全科普知识</w:t>
            </w:r>
            <w:r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  <w:t>，食品和农产品质量总体安全水平提高，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31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3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满意度</w:t>
            </w:r>
          </w:p>
        </w:tc>
        <w:tc>
          <w:tcPr>
            <w:tcW w:w="1129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56" w:line="219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服务对象满意度计分：满意度90%</w:t>
            </w:r>
          </w:p>
          <w:p>
            <w:pPr>
              <w:spacing w:before="72" w:line="320" w:lineRule="exact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314" w:type="dxa"/>
            <w:vAlign w:val="top"/>
          </w:tcPr>
          <w:p>
            <w:pPr>
              <w:spacing w:before="198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小计</w:t>
            </w:r>
          </w:p>
        </w:tc>
        <w:tc>
          <w:tcPr>
            <w:tcW w:w="1129" w:type="dxa"/>
            <w:vAlign w:val="top"/>
          </w:tcPr>
          <w:p>
            <w:pPr>
              <w:spacing w:before="247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131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负向指标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4" w:type="dxa"/>
            <w:gridSpan w:val="4"/>
            <w:vAlign w:val="top"/>
          </w:tcPr>
          <w:p>
            <w:pPr>
              <w:spacing w:before="63" w:line="260" w:lineRule="auto"/>
              <w:ind w:left="131" w:right="8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主要评价自评得分与复评得分差异率。差异率≤10%,不扣分；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10%&lt;差异率≤15%,扣2分；15%&lt;差异率≤20%,扣4分；差异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率&gt;20%,扣6分。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314" w:type="dxa"/>
            <w:vAlign w:val="top"/>
          </w:tcPr>
          <w:p>
            <w:pPr>
              <w:spacing w:before="129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129" w:type="dxa"/>
            <w:vAlign w:val="top"/>
          </w:tcPr>
          <w:p>
            <w:pPr>
              <w:spacing w:before="178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14" w:type="dxa"/>
            <w:vAlign w:val="top"/>
          </w:tcPr>
          <w:p>
            <w:pPr>
              <w:spacing w:before="236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评价结果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26" w:type="dxa"/>
            <w:gridSpan w:val="2"/>
            <w:tcBorders>
              <w:right w:val="nil"/>
            </w:tcBorders>
            <w:vAlign w:val="top"/>
          </w:tcPr>
          <w:p>
            <w:pPr>
              <w:spacing w:before="108" w:line="219" w:lineRule="auto"/>
              <w:ind w:left="2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]优秀90分≤得分≤100分；</w:t>
            </w:r>
          </w:p>
          <w:p>
            <w:pPr>
              <w:spacing w:before="72" w:line="219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□较差60分≤得分&lt;80分；</w:t>
            </w:r>
          </w:p>
        </w:tc>
        <w:tc>
          <w:tcPr>
            <w:tcW w:w="4191" w:type="dxa"/>
            <w:gridSpan w:val="4"/>
            <w:tcBorders>
              <w:left w:val="nil"/>
            </w:tcBorders>
            <w:vAlign w:val="top"/>
          </w:tcPr>
          <w:p>
            <w:pPr>
              <w:spacing w:before="108" w:line="219" w:lineRule="auto"/>
              <w:ind w:left="5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良好80分≤得分&lt;90分；</w:t>
            </w:r>
          </w:p>
          <w:p>
            <w:pPr>
              <w:spacing w:before="52" w:line="219" w:lineRule="auto"/>
              <w:ind w:left="3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□差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得分&lt;60分</w:t>
            </w:r>
          </w:p>
        </w:tc>
      </w:tr>
    </w:tbl>
    <w:p>
      <w:pPr>
        <w:spacing w:line="346" w:lineRule="auto"/>
        <w:rPr>
          <w:rFonts w:ascii="Arial"/>
          <w:sz w:val="21"/>
        </w:rPr>
      </w:pPr>
    </w:p>
    <w:p>
      <w:pPr>
        <w:spacing w:before="62" w:line="232" w:lineRule="auto"/>
        <w:ind w:left="45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11"/>
          <w:sz w:val="19"/>
          <w:szCs w:val="19"/>
        </w:rPr>
        <w:t>单位负责人(签字):</w:t>
      </w:r>
      <w:r>
        <w:rPr>
          <w:rFonts w:ascii="仿宋" w:hAnsi="仿宋" w:eastAsia="仿宋" w:cs="仿宋"/>
          <w:spacing w:val="2"/>
          <w:sz w:val="19"/>
          <w:szCs w:val="19"/>
        </w:rPr>
        <w:t xml:space="preserve">              </w:t>
      </w:r>
      <w:r>
        <w:rPr>
          <w:rFonts w:ascii="仿宋" w:hAnsi="仿宋" w:eastAsia="仿宋" w:cs="仿宋"/>
          <w:spacing w:val="11"/>
          <w:sz w:val="19"/>
          <w:szCs w:val="19"/>
        </w:rPr>
        <w:t>项目负责人(签字):</w:t>
      </w:r>
      <w:r>
        <w:rPr>
          <w:rFonts w:ascii="仿宋" w:hAnsi="仿宋" w:eastAsia="仿宋" w:cs="仿宋"/>
          <w:spacing w:val="5"/>
          <w:sz w:val="19"/>
          <w:szCs w:val="19"/>
        </w:rPr>
        <w:t xml:space="preserve">           </w:t>
      </w:r>
      <w:r>
        <w:rPr>
          <w:rFonts w:ascii="仿宋" w:hAnsi="仿宋" w:eastAsia="仿宋" w:cs="仿宋"/>
          <w:spacing w:val="11"/>
          <w:sz w:val="19"/>
          <w:szCs w:val="19"/>
        </w:rPr>
        <w:t>填表日期：年</w:t>
      </w:r>
      <w:r>
        <w:rPr>
          <w:rFonts w:ascii="仿宋" w:hAnsi="仿宋" w:eastAsia="仿宋" w:cs="仿宋"/>
          <w:spacing w:val="10"/>
          <w:sz w:val="19"/>
          <w:szCs w:val="19"/>
        </w:rPr>
        <w:t xml:space="preserve">        </w:t>
      </w:r>
      <w:r>
        <w:rPr>
          <w:rFonts w:ascii="仿宋" w:hAnsi="仿宋" w:eastAsia="仿宋" w:cs="仿宋"/>
          <w:spacing w:val="11"/>
          <w:sz w:val="19"/>
          <w:szCs w:val="19"/>
        </w:rPr>
        <w:t>月</w:t>
      </w:r>
      <w:r>
        <w:rPr>
          <w:rFonts w:ascii="仿宋" w:hAnsi="仿宋" w:eastAsia="仿宋" w:cs="仿宋"/>
          <w:spacing w:val="26"/>
          <w:sz w:val="19"/>
          <w:szCs w:val="19"/>
        </w:rPr>
        <w:t xml:space="preserve">  </w:t>
      </w:r>
      <w:r>
        <w:rPr>
          <w:rFonts w:ascii="仿宋" w:hAnsi="仿宋" w:eastAsia="仿宋" w:cs="仿宋"/>
          <w:spacing w:val="11"/>
          <w:sz w:val="19"/>
          <w:szCs w:val="19"/>
        </w:rPr>
        <w:t>日</w:t>
      </w:r>
    </w:p>
    <w:p>
      <w:pPr>
        <w:sectPr>
          <w:footerReference r:id="rId5" w:type="default"/>
          <w:pgSz w:w="11910" w:h="16840"/>
          <w:pgMar w:top="1431" w:right="954" w:bottom="1153" w:left="1085" w:header="0" w:footer="964" w:gutter="0"/>
          <w:cols w:space="720" w:num="1"/>
        </w:sectPr>
      </w:pPr>
    </w:p>
    <w:p>
      <w:pPr>
        <w:spacing w:before="68" w:line="222" w:lineRule="auto"/>
        <w:ind w:left="1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5"/>
          <w:sz w:val="33"/>
          <w:szCs w:val="33"/>
        </w:rPr>
        <w:t>附件2-2</w:t>
      </w:r>
    </w:p>
    <w:p>
      <w:pPr>
        <w:spacing w:before="335" w:line="219" w:lineRule="auto"/>
        <w:ind w:left="173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4"/>
          <w:sz w:val="33"/>
          <w:szCs w:val="33"/>
        </w:rPr>
        <w:t>2022年度新晃县项目绩效自评计分标准</w:t>
      </w:r>
    </w:p>
    <w:p>
      <w:pPr>
        <w:spacing w:line="64" w:lineRule="exact"/>
      </w:pPr>
    </w:p>
    <w:tbl>
      <w:tblPr>
        <w:tblStyle w:val="8"/>
        <w:tblW w:w="8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4"/>
        <w:gridCol w:w="70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334" w:type="dxa"/>
            <w:vAlign w:val="top"/>
          </w:tcPr>
          <w:p>
            <w:pPr>
              <w:spacing w:before="23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09" w:type="dxa"/>
            <w:vAlign w:val="top"/>
          </w:tcPr>
          <w:p>
            <w:pPr>
              <w:spacing w:before="241" w:line="219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41" w:line="220" w:lineRule="auto"/>
              <w:ind w:left="25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3" w:hRule="atLeast"/>
        </w:trPr>
        <w:tc>
          <w:tcPr>
            <w:tcW w:w="13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74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项目预算</w:t>
            </w:r>
          </w:p>
          <w:p>
            <w:pPr>
              <w:spacing w:before="47" w:line="220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及预期绩</w:t>
            </w:r>
          </w:p>
          <w:p>
            <w:pPr>
              <w:spacing w:before="95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效目标编</w:t>
            </w:r>
          </w:p>
          <w:p>
            <w:pPr>
              <w:spacing w:before="57"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制水平</w:t>
            </w:r>
          </w:p>
        </w:tc>
        <w:tc>
          <w:tcPr>
            <w:tcW w:w="70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191" w:line="345" w:lineRule="auto"/>
              <w:ind w:left="132" w:right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1、项目预算(即投入目标)的科学、合理性，5分。项目预算编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制存在下列问题的，各扣1分，扣完为止：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(1)项目设置与部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3"/>
                <w:szCs w:val="23"/>
              </w:rPr>
              <w:t>门(单位)履职无关或与部门(单位)职能衔接不</w:t>
            </w: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够，与其他项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目存在重叠交叉；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(2)将由非本级政府(财政)承担的事项列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入本级项目支出责任范围；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(3)项目支出事项测算没有具体的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数量、规格、型号或人数、天数等基本信息；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(4)项目支出事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项测算与市场价格相差很远，或没有体现厉行节约原则；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(5)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将未经政府批准，或未受委托履行政府职能的中介机构、协会、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学会等非预算单位的经费补助编入项目预算；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(6)将接待经费、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未经批准的临时人员工资或没有依据的津补贴、奖金、福利等编</w:t>
            </w:r>
          </w:p>
          <w:p>
            <w:pPr>
              <w:spacing w:line="218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入项目预算；(7)将没有具体内容的"其他”、"不可预见费"和"机</w:t>
            </w:r>
          </w:p>
          <w:p>
            <w:pPr>
              <w:spacing w:before="17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动经费"等编入项目预算。</w:t>
            </w:r>
          </w:p>
          <w:p>
            <w:pPr>
              <w:spacing w:before="127" w:line="353" w:lineRule="auto"/>
              <w:ind w:left="132" w:right="7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2、项目预期绩效目标的完整性、相关性，3分。申报的产出或效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果类绩效目标没有设定相关联的绩效指标，各扣0.8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分；设置的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产出或效果类关键性指标可以量化而没有量化的，各扣0.7分；</w:t>
            </w:r>
          </w:p>
          <w:p>
            <w:pPr>
              <w:spacing w:before="12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没有申报项目预期绩效目标的，不得分。</w:t>
            </w:r>
          </w:p>
          <w:p>
            <w:pPr>
              <w:spacing w:before="168" w:line="343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3、项目预算(投入目标)与项目产出、效果目标的匹配性，2分。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在既定资金规模下，项目产出、效果目标过高或过低；或者要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完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成既定项目产出、效果目标，资金规模过大或过小的，不得分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；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没有申报绩效目标，无法判定项目投入目标与产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出、效果目标的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匹配性的，不得分。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34" w:type="dxa"/>
            <w:vAlign w:val="top"/>
          </w:tcPr>
          <w:p>
            <w:pPr>
              <w:spacing w:before="147" w:line="340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position w:val="7"/>
                <w:sz w:val="23"/>
                <w:szCs w:val="23"/>
              </w:rPr>
              <w:t>预算</w:t>
            </w:r>
          </w:p>
          <w:p>
            <w:pPr>
              <w:spacing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执行率</w:t>
            </w:r>
          </w:p>
        </w:tc>
        <w:tc>
          <w:tcPr>
            <w:tcW w:w="70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5" w:line="216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预算执行率S≥95%,得满分；每下降1%,扣0.25分，扣完为止。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334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194" w:right="19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项目组织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管理水平</w:t>
            </w:r>
          </w:p>
        </w:tc>
        <w:tc>
          <w:tcPr>
            <w:tcW w:w="70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4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1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1、建立健全项目管理制度，得4分。</w:t>
            </w:r>
          </w:p>
          <w:p>
            <w:pPr>
              <w:spacing w:before="175" w:line="286" w:lineRule="auto"/>
              <w:ind w:left="132" w:right="5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2、严格执行项目管理制度，得6分。其中，购买商品、工程和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服务不依法政府采购或工程项目不按规定招投标的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，不得分。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10" w:h="16840"/>
          <w:pgMar w:top="1408" w:right="1524" w:bottom="1126" w:left="1415" w:header="0" w:footer="947" w:gutter="0"/>
          <w:cols w:space="720" w:num="1"/>
        </w:sectPr>
      </w:pPr>
    </w:p>
    <w:p>
      <w:pPr>
        <w:spacing w:line="141" w:lineRule="auto"/>
        <w:rPr>
          <w:rFonts w:ascii="Arial"/>
          <w:sz w:val="2"/>
        </w:rPr>
      </w:pPr>
    </w:p>
    <w:tbl>
      <w:tblPr>
        <w:tblStyle w:val="8"/>
        <w:tblW w:w="89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73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324" w:type="dxa"/>
            <w:vAlign w:val="top"/>
          </w:tcPr>
          <w:p>
            <w:pPr>
              <w:spacing w:before="22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39" w:type="dxa"/>
            <w:vAlign w:val="top"/>
          </w:tcPr>
          <w:p>
            <w:pPr>
              <w:spacing w:before="231" w:line="219" w:lineRule="auto"/>
              <w:ind w:left="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31" w:line="220" w:lineRule="auto"/>
              <w:ind w:left="2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6" w:hRule="atLeast"/>
        </w:trPr>
        <w:tc>
          <w:tcPr>
            <w:tcW w:w="132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75" w:line="264" w:lineRule="auto"/>
              <w:ind w:left="194" w:right="17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资金支出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合理合规</w:t>
            </w:r>
          </w:p>
        </w:tc>
        <w:tc>
          <w:tcPr>
            <w:tcW w:w="73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89" w:line="481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position w:val="19"/>
                <w:sz w:val="23"/>
                <w:szCs w:val="23"/>
              </w:rPr>
              <w:t>资金支出合理合规比率=(项目资金支出-不合理合规资金支出)/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项目资金支出×100%。</w:t>
            </w:r>
          </w:p>
          <w:p>
            <w:pPr>
              <w:spacing w:before="162" w:line="368" w:lineRule="auto"/>
              <w:ind w:left="132" w:right="65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不合理合规资金支出是指项目资金支出超出项目预算范围，与本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项目预算不相符、无关或不符合国家财经法规和财务管理制度以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及专项资金管理办法等规定的支出，如以虚报、冒领等手段骗取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财政资金；截留、挪用财政资金；滞留应当下拨的财政资金；违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反规定扩大开支范围，提高开支标准；违规发放津贴补贴；白条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8"/>
                <w:sz w:val="23"/>
                <w:szCs w:val="23"/>
              </w:rPr>
              <w:t>入账等。</w:t>
            </w:r>
          </w:p>
          <w:p>
            <w:pPr>
              <w:spacing w:before="203" w:line="453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position w:val="17"/>
                <w:sz w:val="23"/>
                <w:szCs w:val="23"/>
              </w:rPr>
              <w:t>资金支出合理合规比率S=100%,得满分；每下降1%,扣1分，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3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75" w:line="349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项</w:t>
            </w:r>
            <w:r>
              <w:rPr>
                <w:rFonts w:ascii="宋体" w:hAnsi="宋体" w:eastAsia="宋体" w:cs="宋体"/>
                <w:spacing w:val="-6"/>
                <w:position w:val="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目</w:t>
            </w:r>
          </w:p>
          <w:p>
            <w:pPr>
              <w:spacing w:line="219" w:lineRule="auto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产出</w:t>
            </w:r>
          </w:p>
        </w:tc>
        <w:tc>
          <w:tcPr>
            <w:tcW w:w="73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30</w:t>
            </w:r>
          </w:p>
        </w:tc>
        <w:tc>
          <w:tcPr>
            <w:tcW w:w="6917" w:type="dxa"/>
            <w:vAlign w:val="top"/>
          </w:tcPr>
          <w:p>
            <w:pPr>
              <w:spacing w:before="269" w:line="372" w:lineRule="auto"/>
              <w:ind w:left="112" w:right="84" w:firstLine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要求根据项目性质和项目预期绩效目标(产出类目标)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>,细化为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产出数量、产出质量、产出时效、成本控制等方面进行评价。具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体指标可量化的，按完成量化比例计分；具体指标不可量化的，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按工作完成程度定性分成：完成、基本完成、基本未完成、未执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行四档，分别按100%、90%-60%、50%-</w:t>
            </w:r>
            <w:r>
              <w:rPr>
                <w:rFonts w:ascii="宋体" w:hAnsi="宋体" w:eastAsia="宋体" w:cs="宋体"/>
                <w:spacing w:val="-5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>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8" w:hRule="atLeast"/>
        </w:trPr>
        <w:tc>
          <w:tcPr>
            <w:tcW w:w="132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75" w:line="246" w:lineRule="auto"/>
              <w:ind w:left="304" w:right="18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项目效益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(效果)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20</w:t>
            </w:r>
          </w:p>
        </w:tc>
        <w:tc>
          <w:tcPr>
            <w:tcW w:w="6917" w:type="dxa"/>
            <w:vAlign w:val="top"/>
          </w:tcPr>
          <w:p>
            <w:pPr>
              <w:spacing w:before="228" w:line="372" w:lineRule="auto"/>
              <w:ind w:left="132" w:right="6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要求根据项目性质和项目预期绩效目标(效益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或效果类目标),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细化为经济效益、社会效益、环境效益和可持续影响及服务对象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满意度等具体绩效指标进行评价。具体指标可量化的，按取得效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益或效果的量化比例计分；不可量化的，按目标达到程度分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成：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达到、基本达到、基本未达到、未达到四档，分别按100%、90%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-60%、50%-</w:t>
            </w:r>
            <w:r>
              <w:rPr>
                <w:rFonts w:ascii="宋体" w:hAnsi="宋体" w:eastAsia="宋体" w:cs="宋体"/>
                <w:spacing w:val="-5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3" w:hRule="atLeast"/>
        </w:trPr>
        <w:tc>
          <w:tcPr>
            <w:tcW w:w="132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75" w:line="242" w:lineRule="auto"/>
              <w:ind w:left="304" w:right="20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服务对象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满意度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4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服务对象满意度计分：</w:t>
            </w:r>
          </w:p>
          <w:p>
            <w:pPr>
              <w:spacing w:before="36" w:line="37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9"/>
                <w:position w:val="10"/>
                <w:sz w:val="23"/>
                <w:szCs w:val="23"/>
              </w:rPr>
              <w:t>90%≤满意度≤100%记10分，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80%≤满意度&lt;90%记8分，</w:t>
            </w:r>
          </w:p>
          <w:p>
            <w:pPr>
              <w:spacing w:before="3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70%≤满意度&lt;80%</w:t>
            </w:r>
            <w:r>
              <w:rPr>
                <w:rFonts w:ascii="宋体" w:hAnsi="宋体" w:eastAsia="宋体" w:cs="宋体"/>
                <w:spacing w:val="4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记6分，</w:t>
            </w:r>
          </w:p>
          <w:p>
            <w:pPr>
              <w:spacing w:before="96" w:line="35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position w:val="8"/>
                <w:sz w:val="23"/>
                <w:szCs w:val="23"/>
              </w:rPr>
              <w:t>60%≤满意度&lt;70%记4分，</w:t>
            </w:r>
          </w:p>
          <w:p>
            <w:pPr>
              <w:spacing w:before="1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满意度&lt;60%记0分。</w:t>
            </w:r>
          </w:p>
        </w:tc>
      </w:tr>
    </w:tbl>
    <w:p>
      <w:pPr>
        <w:sectPr>
          <w:footerReference r:id="rId7" w:type="default"/>
          <w:pgSz w:w="11910" w:h="16840"/>
          <w:pgMar w:top="1431" w:right="1514" w:bottom="1126" w:left="1405" w:header="0" w:footer="947" w:gutter="0"/>
          <w:cols w:space="720" w:num="1"/>
        </w:sectPr>
      </w:pPr>
    </w:p>
    <w:p>
      <w:pPr>
        <w:spacing w:before="224" w:line="222" w:lineRule="auto"/>
        <w:rPr>
          <w:rFonts w:ascii="仿宋" w:hAnsi="仿宋" w:eastAsia="仿宋" w:cs="仿宋"/>
          <w:sz w:val="31"/>
          <w:szCs w:val="31"/>
        </w:rPr>
      </w:pP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市场监督管理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局</w:t>
      </w:r>
    </w:p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22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年项目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支出绩效</w:t>
      </w:r>
      <w:r>
        <w:rPr>
          <w:rFonts w:hAnsi="方正粗宋简体" w:eastAsia="方正粗宋简体"/>
          <w:w w:val="85"/>
          <w:kern w:val="0"/>
          <w:sz w:val="44"/>
          <w:szCs w:val="44"/>
        </w:rPr>
        <w:t>自评报告</w:t>
      </w:r>
    </w:p>
    <w:p>
      <w:pPr>
        <w:ind w:firstLine="1920" w:firstLineChars="6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食用农产品抽检监测工作经费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54" w:lineRule="auto"/>
        <w:rPr>
          <w:rFonts w:ascii="Arial"/>
          <w:sz w:val="21"/>
        </w:rPr>
      </w:pPr>
    </w:p>
    <w:p>
      <w:pPr>
        <w:spacing w:before="101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一、基本情况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360" w:lineRule="auto"/>
        <w:ind w:left="76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18"/>
          <w:sz w:val="31"/>
          <w:szCs w:val="31"/>
        </w:rPr>
        <w:t>(一)项目概况。包括项目背景、主要内容及实施情况、资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0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金投入和使用情况等。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_GB2312" w:hAnsi="宋体" w:eastAsia="仿宋_GB2312"/>
          <w:sz w:val="32"/>
          <w:szCs w:val="32"/>
        </w:rPr>
        <w:t>新晃县20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年食用农产品抽检监测工作经费，根据湖南省食品安全城市创建标准，食品安全检验经费至少支持3份/千人.年的检测样本量（不含快速检测），该食用农产品抽检监测项目经费36万元，于2019年依据县人民政府常务会议纪要第八期（2016年9月21日）会议纪要作为县级项目已纳入财政预算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76" w:firstLineChars="200"/>
        <w:textAlignment w:val="baseline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项目绩效目标。包括总体目标和阶段性目标。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ascii="宋体" w:hAnsi="宋体" w:eastAsia="宋体" w:cs="宋体"/>
          <w:spacing w:val="1"/>
          <w:sz w:val="31"/>
          <w:szCs w:val="31"/>
        </w:rPr>
      </w:pPr>
      <w:r>
        <w:rPr>
          <w:rFonts w:hint="eastAsia" w:ascii="仿宋_GB2312" w:hAnsi="黑体" w:eastAsia="仿宋_GB2312"/>
          <w:b w:val="0"/>
          <w:bCs/>
          <w:color w:val="auto"/>
          <w:sz w:val="32"/>
          <w:szCs w:val="32"/>
        </w:rPr>
        <w:t>食品安全检验经费至少支持3份/千人.年的检测样本量（不含快速检测），预计2022年下达食</w:t>
      </w:r>
      <w:r>
        <w:rPr>
          <w:rFonts w:hint="eastAsia" w:ascii="仿宋_GB2312" w:hAnsi="黑体" w:eastAsia="仿宋_GB2312"/>
          <w:b w:val="0"/>
          <w:bCs/>
          <w:color w:val="auto"/>
          <w:sz w:val="32"/>
          <w:szCs w:val="32"/>
          <w:lang w:eastAsia="zh-CN"/>
        </w:rPr>
        <w:t>用</w:t>
      </w:r>
      <w:r>
        <w:rPr>
          <w:rFonts w:hint="eastAsia" w:ascii="仿宋_GB2312" w:hAnsi="黑体" w:eastAsia="仿宋_GB2312"/>
          <w:b w:val="0"/>
          <w:bCs/>
          <w:color w:val="auto"/>
          <w:sz w:val="32"/>
          <w:szCs w:val="32"/>
        </w:rPr>
        <w:t>农产品质量安全监督抽检计划为1500个批次。</w:t>
      </w:r>
      <w:r>
        <w:rPr>
          <w:rFonts w:hint="eastAsia" w:ascii="仿宋_GB2312" w:hAnsi="黑体" w:eastAsia="仿宋_GB2312"/>
          <w:b w:val="0"/>
          <w:bCs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食用农产品抽检监测项目经费36万元。</w:t>
      </w:r>
    </w:p>
    <w:p>
      <w:pPr>
        <w:spacing w:before="184" w:line="218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二、</w:t>
      </w:r>
      <w:r>
        <w:rPr>
          <w:rFonts w:ascii="宋体" w:hAnsi="宋体" w:eastAsia="宋体" w:cs="宋体"/>
          <w:spacing w:val="-5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>绩效评价工作开展情况</w:t>
      </w:r>
    </w:p>
    <w:p>
      <w:pPr>
        <w:spacing w:before="225" w:line="222" w:lineRule="auto"/>
        <w:ind w:left="760"/>
        <w:rPr>
          <w:rFonts w:ascii="仿宋" w:hAnsi="仿宋" w:eastAsia="仿宋" w:cs="仿宋"/>
          <w:spacing w:val="16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(一)绩效评价目的、对象和范围。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704" w:firstLineChars="200"/>
        <w:jc w:val="both"/>
        <w:textAlignment w:val="baseline"/>
        <w:rPr>
          <w:rFonts w:hint="eastAsia" w:ascii="仿宋" w:hAnsi="仿宋" w:eastAsia="仿宋" w:cs="仿宋"/>
          <w:spacing w:val="16"/>
          <w:sz w:val="32"/>
          <w:szCs w:val="32"/>
        </w:rPr>
      </w:pPr>
      <w:r>
        <w:rPr>
          <w:rFonts w:hint="eastAsia" w:ascii="仿宋" w:hAnsi="仿宋" w:eastAsia="仿宋" w:cs="仿宋"/>
          <w:spacing w:val="16"/>
          <w:sz w:val="32"/>
          <w:szCs w:val="32"/>
        </w:rPr>
        <w:t>绩效评价目的是为进一步规范专项资金管理，强化绩效和责任意识，切实提高专项资金使用效益。评价对象为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食用农产品抽检监测工作经费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项目。评价范围包括2022年度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食用农产品抽检监测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项目。</w:t>
      </w:r>
    </w:p>
    <w:p>
      <w:pPr>
        <w:spacing w:before="225" w:line="222" w:lineRule="auto"/>
        <w:ind w:firstLine="708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(二)绩效评价原则、评价指标体系(附表说明)、评价方</w:t>
      </w:r>
    </w:p>
    <w:p>
      <w:pPr>
        <w:spacing w:before="177" w:line="222" w:lineRule="auto"/>
        <w:rPr>
          <w:rFonts w:ascii="仿宋" w:hAnsi="仿宋" w:eastAsia="仿宋" w:cs="仿宋"/>
          <w:spacing w:val="1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法、评价标准等。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7" w:line="360" w:lineRule="auto"/>
        <w:ind w:firstLine="966" w:firstLineChars="300"/>
        <w:textAlignment w:val="baseline"/>
        <w:rPr>
          <w:rFonts w:ascii="仿宋" w:hAnsi="仿宋" w:eastAsia="仿宋" w:cs="仿宋"/>
          <w:spacing w:val="1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numPr>
          <w:ilvl w:val="0"/>
          <w:numId w:val="1"/>
        </w:numPr>
        <w:spacing w:before="173" w:line="220" w:lineRule="auto"/>
        <w:ind w:left="0" w:leftChars="0" w:firstLine="692" w:firstLineChars="200"/>
        <w:rPr>
          <w:rFonts w:ascii="仿宋" w:hAnsi="仿宋" w:eastAsia="仿宋" w:cs="仿宋"/>
          <w:spacing w:val="18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绩效评价工作过程。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712" w:firstLineChars="200"/>
        <w:textAlignment w:val="baseline"/>
        <w:rPr>
          <w:rFonts w:ascii="仿宋" w:hAnsi="仿宋" w:eastAsia="仿宋" w:cs="仿宋"/>
          <w:spacing w:val="18"/>
          <w:sz w:val="32"/>
          <w:szCs w:val="32"/>
        </w:rPr>
      </w:pPr>
      <w:r>
        <w:rPr>
          <w:rFonts w:hint="eastAsia" w:ascii="仿宋" w:hAnsi="仿宋" w:eastAsia="仿宋" w:cs="仿宋"/>
          <w:spacing w:val="18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食用农产品抽检监测项目</w:t>
      </w:r>
      <w:r>
        <w:rPr>
          <w:rFonts w:hint="eastAsia" w:ascii="仿宋" w:hAnsi="仿宋" w:eastAsia="仿宋" w:cs="仿宋"/>
          <w:spacing w:val="18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4" w:line="360" w:lineRule="auto"/>
        <w:ind w:left="630"/>
        <w:textAlignment w:val="baseline"/>
        <w:rPr>
          <w:rFonts w:hint="eastAsia" w:ascii="仿宋" w:hAnsi="仿宋" w:eastAsia="仿宋" w:cs="仿宋"/>
          <w:spacing w:val="14"/>
          <w:sz w:val="32"/>
          <w:szCs w:val="32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综合评价情况及评价结论(附相关评分表)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4" w:line="360" w:lineRule="auto"/>
        <w:textAlignment w:val="baseline"/>
        <w:rPr>
          <w:rFonts w:hint="eastAsia" w:ascii="宋体" w:hAnsi="宋体" w:eastAsia="宋体" w:cs="宋体"/>
          <w:spacing w:val="-1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本次自评，对照项目绩效目标，从项目预算编制、项目组织管理、资金使用、项目产出、项目效益、满意度等方面逐一分析评价，总体自评得分9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分，绩效评价等级为“优”。</w:t>
      </w:r>
    </w:p>
    <w:p>
      <w:pPr>
        <w:numPr>
          <w:ilvl w:val="0"/>
          <w:numId w:val="0"/>
        </w:numPr>
        <w:ind w:firstLine="616" w:firstLineChars="200"/>
        <w:rPr>
          <w:rFonts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spacing w:val="-1"/>
          <w:sz w:val="31"/>
          <w:szCs w:val="31"/>
          <w:lang w:eastAsia="zh-CN"/>
        </w:rPr>
        <w:t>四、</w:t>
      </w:r>
      <w:r>
        <w:rPr>
          <w:rFonts w:ascii="宋体" w:hAnsi="宋体" w:eastAsia="宋体" w:cs="宋体"/>
          <w:spacing w:val="-1"/>
          <w:sz w:val="31"/>
          <w:szCs w:val="31"/>
        </w:rPr>
        <w:t>绩效评价指标分析</w:t>
      </w:r>
      <w:r>
        <w:rPr>
          <w:rFonts w:ascii="宋体" w:hAnsi="宋体" w:eastAsia="宋体" w:cs="宋体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(一)项目决策情况。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依据县人民政府常务会议纪要第八期（2016年9月21日）会议纪要作为县级项目已纳入财政预算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87" w:line="360" w:lineRule="auto"/>
        <w:ind w:firstLine="70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pacing w:val="20"/>
          <w:sz w:val="31"/>
          <w:szCs w:val="31"/>
        </w:rPr>
        <w:t>(二)项目过程情况。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根据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晃财预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[2022]1号《新晃侗族自治县财政局关于下达2022年度部门预算的通知》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文件执行。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核拨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2022年度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食用农产品抽检监测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专项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36万元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360" w:lineRule="auto"/>
        <w:ind w:firstLine="640" w:firstLineChars="200"/>
        <w:textAlignment w:val="baseline"/>
        <w:rPr>
          <w:rFonts w:hint="eastAsia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  <w:t>2022年抽检食品及食用农产品1084批次（包括检测中心304批次），委托第三方检测机构，检测机构经公开招投标中标企业广电计量检测（湖南）有限公司派工作人员进行现场抽样送公司检测出示检测报告。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0"/>
          <w:sz w:val="32"/>
          <w:szCs w:val="32"/>
        </w:rPr>
        <w:t>(三)项目产出情况。</w:t>
      </w:r>
      <w:r>
        <w:rPr>
          <w:rFonts w:hint="eastAsia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  <w:t>2022年抽检食品及食用农产品1084批次（包括检测中心304批次），合格1065批次，合格率为98.25%。</w:t>
      </w:r>
      <w:r>
        <w:rPr>
          <w:rFonts w:hint="eastAsia" w:ascii="仿宋_GB2312" w:hAnsi="宋体" w:eastAsia="仿宋_GB2312"/>
          <w:b w:val="0"/>
          <w:bCs/>
          <w:color w:val="auto"/>
          <w:sz w:val="32"/>
          <w:szCs w:val="32"/>
          <w:lang w:eastAsia="zh-CN"/>
        </w:rPr>
        <w:t>因财政资金困难未能拨付，欠</w:t>
      </w:r>
      <w:r>
        <w:rPr>
          <w:rFonts w:hint="eastAsia" w:ascii="仿宋_GB2312" w:hAnsi="宋体" w:eastAsia="仿宋_GB2312"/>
          <w:b w:val="0"/>
          <w:bCs/>
          <w:color w:val="auto"/>
          <w:sz w:val="32"/>
          <w:szCs w:val="32"/>
          <w:lang w:val="en-US" w:eastAsia="zh-CN"/>
        </w:rPr>
        <w:t>广电计量检测（湖南）有限公司2022年抽检食品及食用农产品检测费用388000元。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0"/>
          <w:sz w:val="32"/>
          <w:szCs w:val="32"/>
        </w:rPr>
        <w:t>(四)项目效益情况。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多年来，在上级党委、政府的坚强领导和各部门的积极配合下，牢固树立“以人为本、执政为民、食安为先”理念，以创建省级食品安全示范县为抓手，认真贯彻落实《食品安全法》、《食品安全法实施条例》，积极落实各项目标任务，切实提高食品安全监管能力水平。连续六年确保了食品安全“零”事故。</w:t>
      </w:r>
    </w:p>
    <w:p>
      <w:pPr>
        <w:spacing w:before="199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五、</w:t>
      </w:r>
      <w:r>
        <w:rPr>
          <w:rFonts w:ascii="宋体" w:hAnsi="宋体" w:eastAsia="宋体" w:cs="宋体"/>
          <w:spacing w:val="-5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</w:rPr>
        <w:t>主要经验及做法、存在的问题及原因分析</w:t>
      </w:r>
    </w:p>
    <w:p>
      <w:pPr>
        <w:spacing w:before="183" w:line="220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9"/>
          <w:sz w:val="31"/>
          <w:szCs w:val="31"/>
        </w:rPr>
        <w:t>六、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9"/>
          <w:sz w:val="31"/>
          <w:szCs w:val="31"/>
        </w:rPr>
        <w:t>有关建议</w:t>
      </w:r>
    </w:p>
    <w:p>
      <w:pPr>
        <w:spacing w:before="180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七、其他需要说明的问题</w:t>
      </w:r>
    </w:p>
    <w:p>
      <w:pPr>
        <w:spacing w:line="311" w:lineRule="auto"/>
        <w:rPr>
          <w:rFonts w:ascii="Arial"/>
          <w:sz w:val="21"/>
        </w:rPr>
      </w:pPr>
    </w:p>
    <w:p>
      <w:pPr>
        <w:spacing w:before="101" w:line="633" w:lineRule="exact"/>
        <w:ind w:left="6010"/>
        <w:rPr>
          <w:rFonts w:ascii="仿宋" w:hAnsi="仿宋" w:eastAsia="仿宋" w:cs="仿宋"/>
          <w:spacing w:val="39"/>
          <w:position w:val="24"/>
          <w:sz w:val="31"/>
          <w:szCs w:val="31"/>
        </w:rPr>
      </w:pPr>
    </w:p>
    <w:p>
      <w:pPr>
        <w:spacing w:before="101" w:line="633" w:lineRule="exact"/>
        <w:ind w:left="60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9"/>
          <w:position w:val="24"/>
          <w:sz w:val="31"/>
          <w:szCs w:val="31"/>
        </w:rPr>
        <w:t>项目单位(签)</w:t>
      </w:r>
    </w:p>
    <w:p>
      <w:pPr>
        <w:spacing w:line="222" w:lineRule="auto"/>
        <w:ind w:firstLine="5896" w:firstLineChars="2200"/>
        <w:rPr>
          <w:rFonts w:hint="eastAsia" w:eastAsia="仿宋"/>
          <w:lang w:val="en-US" w:eastAsia="zh-CN"/>
        </w:rPr>
        <w:sectPr>
          <w:footerReference r:id="rId8" w:type="default"/>
          <w:pgSz w:w="11910" w:h="16840"/>
          <w:pgMar w:top="1431" w:right="1567" w:bottom="1126" w:left="1539" w:header="0" w:footer="947" w:gutter="0"/>
          <w:cols w:space="720" w:num="1"/>
        </w:sectPr>
      </w:pPr>
      <w:r>
        <w:rPr>
          <w:rFonts w:hint="eastAsia" w:ascii="仿宋" w:hAnsi="仿宋" w:eastAsia="仿宋" w:cs="仿宋"/>
          <w:spacing w:val="-21"/>
          <w:sz w:val="31"/>
          <w:szCs w:val="31"/>
          <w:lang w:val="en-US" w:eastAsia="zh-CN"/>
        </w:rPr>
        <w:t>2023</w:t>
      </w:r>
      <w:r>
        <w:rPr>
          <w:rFonts w:ascii="仿宋" w:hAnsi="仿宋" w:eastAsia="仿宋" w:cs="仿宋"/>
          <w:spacing w:val="-21"/>
          <w:sz w:val="31"/>
          <w:szCs w:val="31"/>
        </w:rPr>
        <w:t>年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17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-21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21"/>
          <w:sz w:val="31"/>
          <w:szCs w:val="31"/>
          <w:lang w:val="en-US" w:eastAsia="zh-CN"/>
        </w:rPr>
        <w:t xml:space="preserve"> 13日</w:t>
      </w:r>
    </w:p>
    <w:p>
      <w:pPr>
        <w:spacing w:before="86" w:line="256" w:lineRule="auto"/>
        <w:ind w:right="779"/>
        <w:rPr>
          <w:rFonts w:ascii="仿宋" w:hAnsi="仿宋" w:eastAsia="仿宋" w:cs="仿宋"/>
          <w:sz w:val="25"/>
          <w:szCs w:val="25"/>
        </w:rPr>
      </w:pPr>
    </w:p>
    <w:sectPr>
      <w:footerReference r:id="rId9" w:type="default"/>
      <w:pgSz w:w="11910" w:h="16840"/>
      <w:pgMar w:top="1431" w:right="1214" w:bottom="1126" w:left="1205" w:header="0" w:footer="94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764"/>
      <w:rPr>
        <w:rFonts w:ascii="宋体" w:hAnsi="宋体" w:eastAsia="宋体" w:cs="宋体"/>
        <w:sz w:val="19"/>
        <w:szCs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24"/>
      <w:rPr>
        <w:rFonts w:ascii="宋体" w:hAnsi="宋体" w:eastAsia="宋体" w:cs="宋体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34"/>
      <w:rPr>
        <w:rFonts w:ascii="宋体" w:hAnsi="宋体" w:eastAsia="宋体" w:cs="宋体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289"/>
      <w:rPr>
        <w:rFonts w:ascii="宋体" w:hAnsi="宋体" w:eastAsia="宋体" w:cs="宋体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634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25A59B"/>
    <w:multiLevelType w:val="singleLevel"/>
    <w:tmpl w:val="F425A59B"/>
    <w:lvl w:ilvl="0" w:tentative="0">
      <w:start w:val="3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6D6E0852"/>
    <w:multiLevelType w:val="singleLevel"/>
    <w:tmpl w:val="6D6E0852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jY0NTc3NmZjZDdiMWJhZWYxOTcyNDRiZmVkYzQ0ZmIifQ=="/>
  </w:docVars>
  <w:rsids>
    <w:rsidRoot w:val="00000000"/>
    <w:rsid w:val="02112CCD"/>
    <w:rsid w:val="12AC208B"/>
    <w:rsid w:val="16AD36D6"/>
    <w:rsid w:val="1A361A27"/>
    <w:rsid w:val="1E4B3E2D"/>
    <w:rsid w:val="26237E4C"/>
    <w:rsid w:val="2ACB5458"/>
    <w:rsid w:val="2F72760C"/>
    <w:rsid w:val="4B9C44E0"/>
    <w:rsid w:val="57241254"/>
    <w:rsid w:val="77C11661"/>
    <w:rsid w:val="7B533CA2"/>
    <w:rsid w:val="7CA103A4"/>
    <w:rsid w:val="7D0F74BA"/>
    <w:rsid w:val="7DA57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pBdr>
        <w:top w:val="none" w:color="auto" w:sz="0" w:space="0"/>
      </w:pBdr>
      <w:adjustRightInd/>
      <w:spacing w:line="300" w:lineRule="auto"/>
      <w:ind w:firstLine="560" w:firstLineChars="200"/>
      <w:textAlignment w:val="auto"/>
    </w:pPr>
    <w:rPr>
      <w:rFonts w:ascii="Times New Roman" w:hAnsi="Times New Roman" w:eastAsia="宋体" w:cs="Times New Roman"/>
      <w:kern w:val="2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 2"/>
    <w:basedOn w:val="2"/>
    <w:next w:val="1"/>
    <w:qFormat/>
    <w:uiPriority w:val="99"/>
    <w:pPr>
      <w:ind w:firstLine="420" w:firstLineChars="200"/>
    </w:pPr>
    <w:rPr>
      <w:rFonts w:ascii="Times New Roman" w:hAnsi="Times New Roman" w:eastAsia="宋体" w:cs="Times New Roman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3314</Words>
  <Characters>3592</Characters>
  <TotalTime>0</TotalTime>
  <ScaleCrop>false</ScaleCrop>
  <LinksUpToDate>false</LinksUpToDate>
  <CharactersWithSpaces>3739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2023-05-17T22:03:00Z</dcterms:created>
  <dc:creator>Kingsoft-PDF</dc:creator>
  <cp:lastModifiedBy>Administrator</cp:lastModifiedBy>
  <dcterms:modified xsi:type="dcterms:W3CDTF">2023-06-03T08:34:20Z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2023-05-17T22:03:07Z</vt:filetime>
  </property>
  <property fmtid="{D5CDD505-2E9C-101B-9397-08002B2CF9AE}" pid="4" name="UsrData">
    <vt:lpwstr>6464de8a08722f001ec8f80d</vt:lpwstr>
  </property>
  <property fmtid="{D5CDD505-2E9C-101B-9397-08002B2CF9AE}" pid="5" name="KSOProductBuildVer">
    <vt:lpwstr>2052-11.1.0.14309</vt:lpwstr>
  </property>
  <property fmtid="{D5CDD505-2E9C-101B-9397-08002B2CF9AE}" pid="6" name="ICV">
    <vt:lpwstr>FA19AC3EC51A439C8817C71AD71CF44E_12</vt:lpwstr>
  </property>
</Properties>
</file>