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 w:val="0"/>
        <w:autoSpaceDE w:val="0"/>
        <w:spacing w:before="0" w:beforeAutospacing="0" w:after="0" w:afterAutospacing="0" w:line="560" w:lineRule="exact"/>
        <w:jc w:val="center"/>
        <w:rPr>
          <w:rStyle w:val="11"/>
          <w:rFonts w:ascii="黑体" w:hAnsi="黑体" w:eastAsia="黑体"/>
          <w:spacing w:val="-23"/>
          <w:sz w:val="36"/>
          <w:szCs w:val="36"/>
        </w:rPr>
      </w:pPr>
      <w:r>
        <w:rPr>
          <w:rStyle w:val="11"/>
          <w:rFonts w:hint="eastAsia" w:ascii="黑体" w:hAnsi="黑体" w:eastAsia="黑体"/>
          <w:spacing w:val="-23"/>
          <w:sz w:val="36"/>
          <w:szCs w:val="36"/>
        </w:rPr>
        <w:t>新晃县市场监督管理局</w:t>
      </w:r>
    </w:p>
    <w:p>
      <w:pPr>
        <w:pStyle w:val="6"/>
        <w:widowControl w:val="0"/>
        <w:autoSpaceDE w:val="0"/>
        <w:spacing w:before="0" w:beforeAutospacing="0" w:after="0" w:afterAutospacing="0" w:line="560" w:lineRule="exact"/>
        <w:jc w:val="center"/>
        <w:rPr>
          <w:rFonts w:hint="eastAsia"/>
          <w:sz w:val="32"/>
          <w:szCs w:val="32"/>
        </w:rPr>
      </w:pPr>
      <w:r>
        <w:rPr>
          <w:rStyle w:val="11"/>
          <w:rFonts w:hint="eastAsia" w:ascii="黑体" w:hAnsi="黑体" w:eastAsia="黑体"/>
          <w:spacing w:val="-23"/>
          <w:sz w:val="36"/>
          <w:szCs w:val="36"/>
        </w:rPr>
        <w:t>2022年度整体支出绩效自评报告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</w:p>
    <w:p>
      <w:pPr>
        <w:spacing w:before="240" w:beforeAutospacing="0" w:line="560" w:lineRule="exact"/>
        <w:jc w:val="left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 xml:space="preserve">  </w:t>
      </w:r>
    </w:p>
    <w:p>
      <w:pPr>
        <w:spacing w:before="240" w:beforeAutospacing="0" w:line="560" w:lineRule="exact"/>
        <w:jc w:val="left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一、部门（单位）基本概况</w:t>
      </w:r>
    </w:p>
    <w:p>
      <w:pPr>
        <w:spacing w:line="600" w:lineRule="exact"/>
        <w:ind w:firstLine="608" w:firstLineChars="190"/>
        <w:rPr>
          <w:rFonts w:hint="eastAsia" w:ascii="仿宋_GB2312" w:hAnsi="仿宋_GB2312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部门（单位）职能及组成</w:t>
      </w:r>
      <w:r>
        <w:rPr>
          <w:rFonts w:ascii="仿宋_GB2312" w:hAnsi="仿宋_GB2312"/>
          <w:sz w:val="32"/>
          <w:szCs w:val="32"/>
        </w:rPr>
        <w:t>、</w:t>
      </w:r>
      <w:r>
        <w:rPr>
          <w:rFonts w:hint="eastAsia" w:ascii="宋体" w:hAnsi="宋体" w:cs="宋体"/>
          <w:sz w:val="32"/>
          <w:szCs w:val="32"/>
        </w:rPr>
        <w:t>人员结构情况</w:t>
      </w:r>
      <w:r>
        <w:rPr>
          <w:rFonts w:ascii="仿宋_GB2312" w:hAnsi="仿宋_GB2312"/>
          <w:sz w:val="32"/>
          <w:szCs w:val="32"/>
        </w:rPr>
        <w:t>：</w:t>
      </w:r>
      <w:r>
        <w:rPr>
          <w:rFonts w:hint="eastAsia" w:ascii="仿宋" w:hAnsi="仿宋" w:eastAsia="仿宋"/>
          <w:bCs/>
          <w:sz w:val="32"/>
          <w:szCs w:val="32"/>
        </w:rPr>
        <w:t>我局主要负责全县市场综合监管、市场主体统一登记注册、市场监管综合执法、反垄断、质量监管、特种设备的安全监察、食品安全监管综合协调、食品安全监管、计量和认证认可、标准化、知识产权、商标、消费维权、药品（含中药）、医疗器械和化妆品安全监管工作。</w:t>
      </w:r>
      <w:r>
        <w:rPr>
          <w:rFonts w:hint="eastAsia" w:ascii="仿宋" w:hAnsi="仿宋" w:eastAsia="仿宋"/>
          <w:color w:val="000000"/>
          <w:sz w:val="32"/>
          <w:szCs w:val="32"/>
        </w:rPr>
        <w:t>新晃县市场监督管理局设立13个内设机构，设置11个乡镇市场监督管理所（晃州镇设直属分局），加挂食品药品监督管理所牌子，为县市场监督管理局派出机构。核定我局编制数114名，其中行政编制32名，事业编76名，后勤编6名。单位实有在职人数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/>
          <w:color w:val="000000"/>
          <w:sz w:val="32"/>
          <w:szCs w:val="32"/>
        </w:rPr>
        <w:t>人，其中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公务员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40人，稽查人员5人（其中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四级调研员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2人，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二级主任科员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8人，乡科级正职2人，乡科级副职3人，四级主任科员21人，一级科员9人）</w:t>
      </w:r>
      <w:r>
        <w:rPr>
          <w:rFonts w:hint="eastAsia" w:ascii="仿宋" w:hAnsi="仿宋" w:eastAsia="仿宋"/>
          <w:color w:val="000000"/>
          <w:sz w:val="32"/>
          <w:szCs w:val="32"/>
        </w:rPr>
        <w:t>，事业人员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42</w:t>
      </w:r>
      <w:r>
        <w:rPr>
          <w:rFonts w:hint="eastAsia" w:ascii="仿宋" w:hAnsi="仿宋" w:eastAsia="仿宋"/>
          <w:color w:val="000000"/>
          <w:sz w:val="32"/>
          <w:szCs w:val="32"/>
        </w:rPr>
        <w:t>人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（工程师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1人，公卫主管十级1人，助理工程师8人，初级药学师1人，管理级九级11人，管理岗2人，技师2人，专业技术岗5人，高级工4人，中级工4人，初级工5人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color w:val="000000"/>
          <w:sz w:val="32"/>
          <w:szCs w:val="32"/>
        </w:rPr>
        <w:t>，后勤人员4人，临时人员3人。提前退休人员3人，退休人员72人。</w:t>
      </w:r>
      <w:r>
        <w:rPr>
          <w:rFonts w:hint="eastAsia" w:ascii="仿宋" w:hAnsi="仿宋" w:eastAsia="仿宋"/>
          <w:bCs/>
          <w:sz w:val="32"/>
          <w:szCs w:val="32"/>
        </w:rPr>
        <w:t xml:space="preserve">  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2022年度财政收支和年末固定资产状况，财政财务管理制度</w:t>
      </w:r>
      <w:bookmarkStart w:id="0" w:name="_GoBack"/>
      <w:bookmarkEnd w:id="0"/>
      <w:r>
        <w:rPr>
          <w:rFonts w:hint="eastAsia" w:ascii="仿宋" w:hAnsi="仿宋" w:eastAsia="仿宋"/>
          <w:b/>
          <w:bCs/>
          <w:sz w:val="32"/>
          <w:szCs w:val="32"/>
        </w:rPr>
        <w:t>及执行情况。</w:t>
      </w:r>
      <w:r>
        <w:rPr>
          <w:rFonts w:hint="eastAsia" w:ascii="仿宋" w:hAnsi="仿宋" w:eastAsia="仿宋"/>
          <w:sz w:val="32"/>
          <w:szCs w:val="32"/>
        </w:rPr>
        <w:t>2022年本部门年初预算收入1328.4万元，2022年收入实际完成1525.98万元，上年实际收入是1407.28万元，比上年同期增加118.7万元，比上年同期增长8.43%。2022年本部门年初预算支出1328.4万元，2022年本部门实际支出1525.98万元，上年支出1407.28万元，比上年同期增加118.7万元，比上年同期增长8.43%。</w:t>
      </w:r>
      <w:r>
        <w:rPr>
          <w:rFonts w:ascii="仿宋" w:hAnsi="仿宋" w:eastAsia="仿宋"/>
          <w:sz w:val="32"/>
          <w:szCs w:val="32"/>
        </w:rPr>
        <w:t>人均开支万元。基本支出1</w:t>
      </w:r>
      <w:r>
        <w:rPr>
          <w:rFonts w:hint="eastAsia" w:ascii="仿宋" w:hAnsi="仿宋" w:eastAsia="仿宋"/>
          <w:sz w:val="32"/>
          <w:szCs w:val="32"/>
        </w:rPr>
        <w:t>416.02</w:t>
      </w:r>
      <w:r>
        <w:rPr>
          <w:rFonts w:ascii="仿宋" w:hAnsi="仿宋" w:eastAsia="仿宋"/>
          <w:sz w:val="32"/>
          <w:szCs w:val="32"/>
        </w:rPr>
        <w:t>万元，基本支出比率</w:t>
      </w:r>
      <w:r>
        <w:rPr>
          <w:rFonts w:hint="eastAsia" w:ascii="仿宋" w:hAnsi="仿宋" w:eastAsia="仿宋"/>
          <w:sz w:val="32"/>
          <w:szCs w:val="32"/>
        </w:rPr>
        <w:t>92.79</w:t>
      </w:r>
      <w:r>
        <w:rPr>
          <w:rFonts w:ascii="仿宋" w:hAnsi="仿宋" w:eastAsia="仿宋"/>
          <w:sz w:val="32"/>
          <w:szCs w:val="32"/>
        </w:rPr>
        <w:t>%，</w:t>
      </w:r>
      <w:r>
        <w:rPr>
          <w:rFonts w:hint="eastAsia" w:ascii="仿宋" w:hAnsi="仿宋" w:eastAsia="仿宋"/>
          <w:sz w:val="32"/>
          <w:szCs w:val="32"/>
        </w:rPr>
        <w:t>项目支出109.97万元，</w:t>
      </w:r>
      <w:r>
        <w:rPr>
          <w:rFonts w:ascii="仿宋" w:hAnsi="仿宋" w:eastAsia="仿宋"/>
          <w:sz w:val="32"/>
          <w:szCs w:val="32"/>
        </w:rPr>
        <w:t>项目支出比率</w:t>
      </w:r>
      <w:r>
        <w:rPr>
          <w:rFonts w:hint="eastAsia" w:ascii="仿宋" w:hAnsi="仿宋" w:eastAsia="仿宋"/>
          <w:sz w:val="32"/>
          <w:szCs w:val="32"/>
        </w:rPr>
        <w:t>7.21</w:t>
      </w:r>
      <w:r>
        <w:rPr>
          <w:rFonts w:ascii="仿宋" w:hAnsi="仿宋" w:eastAsia="仿宋"/>
          <w:sz w:val="32"/>
          <w:szCs w:val="32"/>
        </w:rPr>
        <w:t>%。</w:t>
      </w:r>
      <w:r>
        <w:rPr>
          <w:rFonts w:hint="eastAsia" w:ascii="仿宋" w:hAnsi="仿宋" w:eastAsia="仿宋"/>
          <w:sz w:val="32"/>
          <w:szCs w:val="32"/>
        </w:rPr>
        <w:t>人员经费完成1221万元，</w:t>
      </w:r>
      <w:r>
        <w:rPr>
          <w:rFonts w:ascii="仿宋" w:hAnsi="仿宋" w:eastAsia="仿宋"/>
          <w:sz w:val="32"/>
          <w:szCs w:val="32"/>
        </w:rPr>
        <w:t>人员支出占基本支出比率8</w:t>
      </w:r>
      <w:r>
        <w:rPr>
          <w:rFonts w:hint="eastAsia" w:ascii="仿宋" w:hAnsi="仿宋" w:eastAsia="仿宋"/>
          <w:sz w:val="32"/>
          <w:szCs w:val="32"/>
        </w:rPr>
        <w:t>6.23</w:t>
      </w:r>
      <w:r>
        <w:rPr>
          <w:rFonts w:ascii="仿宋" w:hAnsi="仿宋" w:eastAsia="仿宋"/>
          <w:sz w:val="32"/>
          <w:szCs w:val="32"/>
        </w:rPr>
        <w:t>%,</w:t>
      </w:r>
      <w:r>
        <w:rPr>
          <w:rFonts w:hint="eastAsia" w:ascii="仿宋" w:hAnsi="仿宋" w:eastAsia="仿宋"/>
          <w:sz w:val="32"/>
          <w:szCs w:val="32"/>
        </w:rPr>
        <w:t>公用经费完成195.01万元，</w:t>
      </w:r>
      <w:r>
        <w:rPr>
          <w:rFonts w:ascii="仿宋" w:hAnsi="仿宋" w:eastAsia="仿宋"/>
          <w:sz w:val="32"/>
          <w:szCs w:val="32"/>
        </w:rPr>
        <w:t>公用支出占基本支出比率1</w:t>
      </w:r>
      <w:r>
        <w:rPr>
          <w:rFonts w:hint="eastAsia" w:ascii="仿宋" w:hAnsi="仿宋" w:eastAsia="仿宋"/>
          <w:sz w:val="32"/>
          <w:szCs w:val="32"/>
        </w:rPr>
        <w:t>3.77</w:t>
      </w:r>
      <w:r>
        <w:rPr>
          <w:rFonts w:ascii="仿宋" w:hAnsi="仿宋" w:eastAsia="仿宋"/>
          <w:sz w:val="32"/>
          <w:szCs w:val="32"/>
        </w:rPr>
        <w:t>%。</w:t>
      </w:r>
    </w:p>
    <w:p>
      <w:pPr>
        <w:pStyle w:val="6"/>
        <w:shd w:val="clear" w:color="auto" w:fill="FFFFFF"/>
        <w:spacing w:before="0" w:beforeAutospacing="0" w:after="0" w:afterAutospacing="0" w:line="450" w:lineRule="atLeast"/>
        <w:ind w:firstLine="640" w:firstLineChars="200"/>
        <w:rPr>
          <w:rFonts w:hint="default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单位资产情况：资产总额：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897.46</w:t>
      </w:r>
      <w:r>
        <w:rPr>
          <w:rFonts w:hint="eastAsia" w:ascii="仿宋" w:hAnsi="仿宋" w:eastAsia="仿宋"/>
          <w:color w:val="000000"/>
          <w:sz w:val="32"/>
          <w:szCs w:val="32"/>
        </w:rPr>
        <w:t>万元，其中流动资产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403.14</w:t>
      </w:r>
      <w:r>
        <w:rPr>
          <w:rFonts w:hint="eastAsia" w:ascii="仿宋" w:hAnsi="仿宋" w:eastAsia="仿宋"/>
          <w:color w:val="000000"/>
          <w:sz w:val="32"/>
          <w:szCs w:val="32"/>
        </w:rPr>
        <w:t>万元，非流动资产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494.32</w:t>
      </w:r>
      <w:r>
        <w:rPr>
          <w:rFonts w:hint="eastAsia" w:ascii="仿宋" w:hAnsi="仿宋" w:eastAsia="仿宋"/>
          <w:color w:val="000000"/>
          <w:sz w:val="32"/>
          <w:szCs w:val="32"/>
        </w:rPr>
        <w:t>万元（包括固定资产净值3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36.67</w:t>
      </w:r>
      <w:r>
        <w:rPr>
          <w:rFonts w:hint="eastAsia" w:ascii="仿宋" w:hAnsi="仿宋" w:eastAsia="仿宋"/>
          <w:color w:val="000000"/>
          <w:sz w:val="32"/>
          <w:szCs w:val="32"/>
        </w:rPr>
        <w:t>万元，在建工程157.65万元）。固定资产原值1053.33万元，固定资产其中</w:t>
      </w:r>
      <w:r>
        <w:rPr>
          <w:rFonts w:ascii="仿宋" w:hAnsi="仿宋" w:eastAsia="仿宋"/>
          <w:sz w:val="32"/>
          <w:szCs w:val="32"/>
        </w:rPr>
        <w:t>房屋和建筑物购建固定资产期末原值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507.64</w:t>
      </w:r>
      <w:r>
        <w:rPr>
          <w:rFonts w:ascii="仿宋_GB2312" w:hAnsi="仿宋_GB2312"/>
          <w:sz w:val="32"/>
          <w:szCs w:val="32"/>
        </w:rPr>
        <w:t>万元</w:t>
      </w:r>
      <w:r>
        <w:rPr>
          <w:rFonts w:hint="eastAsia" w:ascii="仿宋_GB2312" w:hAnsi="仿宋_GB2312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</w:rPr>
        <w:t>办公用房面积927平方米，业务用房面积4980平方米，其它用房面积372.25平方米</w:t>
      </w:r>
      <w:r>
        <w:rPr>
          <w:rFonts w:hint="eastAsia" w:ascii="仿宋_GB2312" w:hAnsi="仿宋_GB2312"/>
          <w:sz w:val="32"/>
          <w:szCs w:val="32"/>
          <w:lang w:eastAsia="zh-CN"/>
        </w:rPr>
        <w:t>），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通用设备原值514.79万元，专用设备原值1.72万元，办公桌椅用俱29.18万元</w:t>
      </w:r>
    </w:p>
    <w:p>
      <w:pPr>
        <w:pStyle w:val="6"/>
        <w:shd w:val="clear" w:color="auto" w:fill="FFFFFF"/>
        <w:spacing w:before="0" w:beforeAutospacing="0" w:after="0" w:afterAutospacing="0" w:line="45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车辆账面数量4台，账面原价值57.63万元，实际公车改革执法执勤业务用车保留5台，其中一台记入县消协账，特种专业技术车辆一台。</w:t>
      </w:r>
      <w:r>
        <w:rPr>
          <w:rFonts w:ascii="仿宋" w:hAnsi="仿宋" w:eastAsia="仿宋"/>
          <w:sz w:val="32"/>
          <w:szCs w:val="32"/>
        </w:rPr>
        <w:t>人均办公使用面积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9.86</w:t>
      </w:r>
      <w:r>
        <w:rPr>
          <w:rFonts w:ascii="仿宋" w:hAnsi="仿宋" w:eastAsia="仿宋"/>
          <w:sz w:val="32"/>
          <w:szCs w:val="32"/>
        </w:rPr>
        <w:t>平方米，人车比例每1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ascii="仿宋" w:hAnsi="仿宋" w:eastAsia="仿宋"/>
          <w:sz w:val="32"/>
          <w:szCs w:val="32"/>
        </w:rPr>
        <w:t>人一台车。</w:t>
      </w:r>
    </w:p>
    <w:p>
      <w:pPr>
        <w:ind w:firstLine="709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“三公”经费控制情况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“三公”经费202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年决算总额数2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0.92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万元,年初预算数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42.5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万元,完成预算数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49.22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%。其中公务接待决算数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2.82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万元,年初预算数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万元,完成预算数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18.8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%。公务用车运行维护决算数1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8.1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万元，年初预算数2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7.5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万元,完成预算数6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5.82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%。</w:t>
      </w:r>
    </w:p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上年三公经费决算数总额是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22.23</w:t>
      </w:r>
      <w:r>
        <w:rPr>
          <w:rFonts w:hint="eastAsia" w:ascii="仿宋" w:hAnsi="仿宋" w:eastAsia="仿宋" w:cs="仿宋"/>
          <w:bCs/>
          <w:sz w:val="32"/>
          <w:szCs w:val="32"/>
        </w:rPr>
        <w:t>万元,比上年同期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1.31</w:t>
      </w:r>
      <w:r>
        <w:rPr>
          <w:rFonts w:hint="eastAsia" w:ascii="仿宋" w:hAnsi="仿宋" w:eastAsia="仿宋" w:cs="仿宋"/>
          <w:bCs/>
          <w:sz w:val="32"/>
          <w:szCs w:val="32"/>
        </w:rPr>
        <w:t>万元,比上年同期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降低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5.89</w:t>
      </w:r>
      <w:r>
        <w:rPr>
          <w:rFonts w:hint="eastAsia" w:ascii="仿宋" w:hAnsi="仿宋" w:eastAsia="仿宋" w:cs="仿宋"/>
          <w:bCs/>
          <w:sz w:val="32"/>
          <w:szCs w:val="32"/>
        </w:rPr>
        <w:t>%,其中公务接待上年决算数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8.38</w:t>
      </w:r>
      <w:r>
        <w:rPr>
          <w:rFonts w:hint="eastAsia" w:ascii="仿宋" w:hAnsi="仿宋" w:eastAsia="仿宋" w:cs="仿宋"/>
          <w:bCs/>
          <w:sz w:val="32"/>
          <w:szCs w:val="32"/>
        </w:rPr>
        <w:t>万元,比上年同期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5.56</w:t>
      </w:r>
      <w:r>
        <w:rPr>
          <w:rFonts w:hint="eastAsia" w:ascii="仿宋" w:hAnsi="仿宋" w:eastAsia="仿宋" w:cs="仿宋"/>
          <w:bCs/>
          <w:sz w:val="32"/>
          <w:szCs w:val="32"/>
        </w:rPr>
        <w:t>万元,比上年同期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降低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66.35</w:t>
      </w:r>
      <w:r>
        <w:rPr>
          <w:rFonts w:hint="eastAsia" w:ascii="仿宋" w:hAnsi="仿宋" w:eastAsia="仿宋" w:cs="仿宋"/>
          <w:bCs/>
          <w:sz w:val="32"/>
          <w:szCs w:val="32"/>
        </w:rPr>
        <w:t>%。公务接待严格按照中央八项规定厉行节约,控制接待范围、规格、标准和人数等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，严格按照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《新晃侗族自治县党政机关国内公务接待管理实施细则》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规定，加强</w:t>
      </w:r>
      <w:r>
        <w:rPr>
          <w:rFonts w:hint="eastAsia" w:ascii="仿宋" w:hAnsi="仿宋" w:eastAsia="仿宋" w:cs="仿宋"/>
          <w:sz w:val="32"/>
          <w:szCs w:val="32"/>
        </w:rPr>
        <w:t>公务外出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审批</w:t>
      </w:r>
      <w:r>
        <w:rPr>
          <w:rFonts w:hint="eastAsia" w:ascii="仿宋" w:hAnsi="仿宋" w:eastAsia="仿宋" w:cs="仿宋"/>
          <w:sz w:val="32"/>
          <w:szCs w:val="32"/>
        </w:rPr>
        <w:t>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制度</w:t>
      </w:r>
      <w:r>
        <w:rPr>
          <w:rFonts w:hint="eastAsia" w:ascii="仿宋" w:hAnsi="仿宋" w:eastAsia="仿宋" w:cs="仿宋"/>
          <w:bCs/>
          <w:sz w:val="32"/>
          <w:szCs w:val="32"/>
        </w:rPr>
        <w:t>。公务用车运行维护费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，严格按照《</w:t>
      </w:r>
      <w:r>
        <w:rPr>
          <w:rFonts w:hint="eastAsia" w:ascii="仿宋" w:hAnsi="仿宋" w:eastAsia="仿宋" w:cs="仿宋"/>
          <w:sz w:val="32"/>
          <w:szCs w:val="32"/>
        </w:rPr>
        <w:t>新晃侗族自治县县直党政机关执法执勤用车制度改革实施细则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规定</w:t>
      </w:r>
      <w:r>
        <w:rPr>
          <w:rFonts w:hint="eastAsia" w:ascii="方正小标宋简体" w:eastAsia="方正小标宋简体"/>
          <w:sz w:val="42"/>
          <w:szCs w:val="44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加强执法执勤用车使用管理，建立健全登记、公示等各项使用管理制度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严格按规定使用执法执勤用车，严禁以任何理由挪用或固定给个人使用执法执勤用车，不得以任何方式换用、借用、占用其他单位或下属单位执法执勤用车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二、部门（单位）整体支出绩效状况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年，我局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始终将党建工作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贯穿在各项工作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之中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，着力打造工作亮点，通过狠抓全局干部职工思想道德建设和教育科学文化建设，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全力提升干部职工自身素质，强化安全意识，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全面提升执法人员敬业激情和整体风貌，</w:t>
      </w:r>
      <w:r>
        <w:rPr>
          <w:rFonts w:hint="eastAsia" w:ascii="仿宋_GB2312" w:hAnsi="仿宋_GB2312" w:eastAsia="仿宋_GB2312" w:cs="仿宋_GB2312"/>
          <w:sz w:val="32"/>
          <w:szCs w:val="32"/>
        </w:rPr>
        <w:t>取得了精神文明建设和市场监管事业发展的双丰收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获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Cs/>
          <w:sz w:val="32"/>
          <w:szCs w:val="32"/>
          <w:shd w:val="clear" w:color="auto" w:fill="FFFFFF"/>
        </w:rPr>
        <w:t>根据《部门整体支出绩效评价指标》评分表自评得分9</w:t>
      </w:r>
      <w:r>
        <w:rPr>
          <w:rFonts w:hint="eastAsia" w:ascii="仿宋" w:hAnsi="仿宋" w:eastAsia="仿宋" w:cs="仿宋"/>
          <w:bCs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32"/>
          <w:szCs w:val="32"/>
          <w:shd w:val="clear" w:color="auto" w:fill="FFFFFF"/>
        </w:rPr>
        <w:t>分，财政支出绩效为优秀。</w:t>
      </w:r>
    </w:p>
    <w:p>
      <w:pPr>
        <w:spacing w:line="560" w:lineRule="exact"/>
        <w:ind w:firstLine="643" w:firstLineChars="200"/>
        <w:jc w:val="left"/>
        <w:rPr>
          <w:rFonts w:ascii="仿宋" w:hAnsi="仿宋" w:cs="仿宋"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202</w:t>
      </w:r>
      <w:r>
        <w:rPr>
          <w:rFonts w:hint="eastAsia" w:ascii="仿宋_GB2312" w:hAnsi="仿宋_GB2312"/>
          <w:b/>
          <w:bCs/>
          <w:sz w:val="32"/>
          <w:szCs w:val="32"/>
          <w:lang w:val="en-US" w:eastAsia="zh-CN"/>
        </w:rPr>
        <w:t>2</w:t>
      </w:r>
      <w:r>
        <w:rPr>
          <w:rFonts w:ascii="仿宋_GB2312" w:hAnsi="仿宋_GB2312"/>
          <w:b/>
          <w:bCs/>
          <w:sz w:val="32"/>
          <w:szCs w:val="32"/>
        </w:rPr>
        <w:t>年度财政支出所取得的实际绩效：</w:t>
      </w:r>
      <w:r>
        <w:rPr>
          <w:rFonts w:ascii="仿宋_GB2312" w:hAnsi="仿宋_GB2312"/>
          <w:bCs/>
          <w:sz w:val="32"/>
          <w:szCs w:val="32"/>
        </w:rPr>
        <w:t>202</w:t>
      </w:r>
      <w:r>
        <w:rPr>
          <w:rFonts w:hint="eastAsia" w:ascii="仿宋_GB2312" w:hAnsi="仿宋_GB2312"/>
          <w:bCs/>
          <w:sz w:val="32"/>
          <w:szCs w:val="32"/>
          <w:lang w:val="en-US" w:eastAsia="zh-CN"/>
        </w:rPr>
        <w:t>2</w:t>
      </w:r>
      <w:r>
        <w:rPr>
          <w:rFonts w:ascii="仿宋_GB2312" w:hAnsi="仿宋_GB2312"/>
          <w:bCs/>
          <w:sz w:val="32"/>
          <w:szCs w:val="32"/>
        </w:rPr>
        <w:t>年我局工作呈现</w:t>
      </w:r>
      <w:r>
        <w:rPr>
          <w:rFonts w:hint="eastAsia" w:ascii="仿宋_GB2312" w:hAnsi="仿宋_GB2312"/>
          <w:bCs/>
          <w:sz w:val="32"/>
          <w:szCs w:val="32"/>
          <w:lang w:eastAsia="zh-CN"/>
        </w:rPr>
        <w:t>五</w:t>
      </w:r>
      <w:r>
        <w:rPr>
          <w:rFonts w:ascii="仿宋_GB2312" w:hAnsi="仿宋_GB2312"/>
          <w:bCs/>
          <w:sz w:val="32"/>
          <w:szCs w:val="32"/>
        </w:rPr>
        <w:t>大亮点：一是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获全省市场监管（知识产权）系统先进集体</w:t>
      </w:r>
      <w:r>
        <w:rPr>
          <w:rFonts w:ascii="仿宋_GB2312" w:hAnsi="仿宋_GB2312"/>
          <w:bCs/>
          <w:sz w:val="32"/>
          <w:szCs w:val="32"/>
        </w:rPr>
        <w:t>。</w:t>
      </w:r>
      <w:r>
        <w:rPr>
          <w:rFonts w:hint="eastAsia" w:ascii="仿宋" w:hAnsi="仿宋" w:eastAsia="仿宋" w:cs="仿宋"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全省特种设备安全监察工作优秀单位，连续2年获得全省特种设备安全监察工作优秀单位</w:t>
      </w:r>
      <w:r>
        <w:rPr>
          <w:rFonts w:ascii="仿宋_GB2312" w:hAnsi="仿宋_GB2312"/>
          <w:bCs/>
          <w:color w:val="000000"/>
          <w:sz w:val="32"/>
          <w:szCs w:val="32"/>
          <w:shd w:val="clear" w:color="auto" w:fill="FFFFFF"/>
        </w:rPr>
        <w:t>。三是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2022年度省级文明单位。四是2022年度网民留言办理工作先进单位，市场主体倍增工程表现突出表彰。五是2022年度大招商工作优秀单位。</w:t>
      </w:r>
    </w:p>
    <w:p>
      <w:pPr>
        <w:autoSpaceDE w:val="0"/>
        <w:spacing w:line="560" w:lineRule="exact"/>
        <w:ind w:firstLine="640" w:firstLineChars="200"/>
        <w:jc w:val="left"/>
        <w:rPr>
          <w:rFonts w:ascii="仿宋_GB2312" w:hAnsi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_GB2312" w:hAnsi="仿宋_GB2312"/>
          <w:sz w:val="32"/>
          <w:szCs w:val="32"/>
        </w:rPr>
        <w:t>财政支出所取得的主要绩效：</w:t>
      </w:r>
    </w:p>
    <w:p>
      <w:pPr>
        <w:pStyle w:val="7"/>
        <w:ind w:left="0" w:leftChars="0" w:firstLine="643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shd w:val="clear" w:color="auto" w:fill="FFFFFF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shd w:val="clear" w:color="auto" w:fill="FFFFFF"/>
        </w:rPr>
        <w:t>持续</w:t>
      </w:r>
      <w:r>
        <w:rPr>
          <w:rFonts w:hint="eastAsia" w:ascii="楷体_GB2312" w:hAnsi="楷体_GB2312" w:eastAsia="楷体_GB2312" w:cs="楷体_GB2312"/>
          <w:b/>
          <w:bCs/>
          <w:color w:val="222222"/>
          <w:sz w:val="32"/>
          <w:szCs w:val="32"/>
          <w:shd w:val="clear" w:color="auto" w:fill="FFFFFF"/>
        </w:rPr>
        <w:t>优化营商环境，全力服务市场主体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。</w:t>
      </w:r>
    </w:p>
    <w:p>
      <w:pPr>
        <w:numPr>
          <w:ilvl w:val="0"/>
          <w:numId w:val="0"/>
        </w:numPr>
        <w:autoSpaceDE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巩固商事制度改革成果。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优化政务服务措施，指导办事群众就近办、网上办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提供“送照上门”服务。截止1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月底，全县新登记市场主体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3803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户，同比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209.69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%增长，办结全程电子化企业登记业务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529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家，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105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家企业申请简易注销，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家企业通过简易注销，通过率达到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73.33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</w:t>
      </w:r>
    </w:p>
    <w:p>
      <w:pPr>
        <w:spacing w:line="600" w:lineRule="exact"/>
        <w:ind w:firstLine="643" w:firstLineChars="200"/>
        <w:jc w:val="left"/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统筹推进市场主体倍增工作。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将市场主体倍增与产业发展、招商引资、乡村振兴等工作相结合，聚焦精细化工、中药材、特质农业、金融服务、商贸物流、文旅康养六大产业，落实金融扶持、奖励办法等，加大市场主体培育力度，截至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月，全县市场主体净增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2937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户，完成任务数的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195.67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%，企业净增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519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户，完成任务数的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177.13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%，个转企完成26家，完成任务数216.7%。</w:t>
      </w:r>
    </w:p>
    <w:p>
      <w:pPr>
        <w:numPr>
          <w:ilvl w:val="0"/>
          <w:numId w:val="0"/>
        </w:numPr>
        <w:autoSpaceDE w:val="0"/>
        <w:spacing w:line="560" w:lineRule="exact"/>
        <w:ind w:left="720" w:leftChars="0"/>
        <w:jc w:val="left"/>
        <w:rPr>
          <w:rFonts w:hint="eastAsia" w:ascii="楷体_GB2312" w:hAnsi="黑体" w:eastAsia="楷体_GB2312"/>
          <w:b/>
          <w:bCs/>
          <w:sz w:val="32"/>
          <w:szCs w:val="32"/>
        </w:rPr>
      </w:pPr>
      <w:r>
        <w:rPr>
          <w:rFonts w:hint="eastAsia" w:ascii="楷体_GB2312" w:hAnsi="黑体" w:eastAsia="楷体_GB2312"/>
          <w:b/>
          <w:bCs/>
          <w:sz w:val="32"/>
          <w:szCs w:val="32"/>
        </w:rPr>
        <w:t>（</w:t>
      </w:r>
      <w:r>
        <w:rPr>
          <w:rFonts w:hint="eastAsia" w:ascii="楷体_GB2312" w:hAnsi="黑体" w:eastAsia="楷体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黑体" w:eastAsia="楷体_GB2312"/>
          <w:b/>
          <w:bCs/>
          <w:sz w:val="32"/>
          <w:szCs w:val="32"/>
        </w:rPr>
        <w:t>）牢牢守住安全底线。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黑体" w:eastAsia="楷体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疫情防控方面，</w:t>
      </w:r>
      <w:r>
        <w:rPr>
          <w:rFonts w:hint="eastAsia" w:ascii="仿宋_GB2312" w:hAnsi="宋体" w:eastAsia="仿宋_GB2312"/>
          <w:sz w:val="32"/>
          <w:szCs w:val="32"/>
        </w:rPr>
        <w:t>加强进口冷链食品监管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筑牢关键环节疫情防控屏障。</w:t>
      </w:r>
      <w:r>
        <w:rPr>
          <w:rFonts w:hint="eastAsia" w:ascii="仿宋_GB2312" w:hAnsi="仿宋_GB2312" w:eastAsia="仿宋_GB2312" w:cs="仿宋_GB2312"/>
          <w:sz w:val="32"/>
          <w:szCs w:val="32"/>
        </w:rPr>
        <w:t>多措并举强化疫情防控，保障了市场安全有序。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食品安全监管方面，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确保群众食品安全为中心任务，保持省级食品安全示范县先进示范效应，全面落实“四有两责”，践行“四个最严”要求，</w:t>
      </w:r>
      <w:r>
        <w:rPr>
          <w:rFonts w:hint="eastAsia" w:ascii="仿宋_GB2312" w:eastAsia="仿宋_GB2312" w:cs="仿宋_GB2312"/>
          <w:sz w:val="32"/>
          <w:szCs w:val="32"/>
        </w:rPr>
        <w:t>突出抽检“三覆盖”，即覆盖重点品种、覆盖重点项目、覆盖重点领域，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按照4批次/千人的标准，2022年计划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完成780批次的食品及食用农产品抽检，目前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主要农产品质量安全监测总体合格率稳定在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97%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以上，</w:t>
      </w:r>
      <w:r>
        <w:rPr>
          <w:rFonts w:hint="eastAsia" w:ascii="仿宋_GB2312" w:hAnsi="仿宋_GB2312" w:eastAsia="仿宋_GB2312" w:cs="仿宋_GB2312"/>
          <w:sz w:val="32"/>
          <w:szCs w:val="32"/>
        </w:rPr>
        <w:t>问题食品18批次，处置率达100%。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坚持源头控制、产管并重。</w:t>
      </w:r>
      <w:r>
        <w:rPr>
          <w:rFonts w:hint="eastAsia" w:ascii="仿宋_GB2312" w:eastAsia="仿宋_GB2312" w:cs="仿宋_GB2312"/>
          <w:sz w:val="32"/>
          <w:szCs w:val="32"/>
        </w:rPr>
        <w:t>持续开展农产品质量安全专项治理行动，创办“三棵菜”质量安全管控示范基地</w:t>
      </w:r>
      <w:r>
        <w:rPr>
          <w:rFonts w:ascii="仿宋_GB2312" w:eastAsia="仿宋_GB2312" w:cs="仿宋_GB2312"/>
          <w:sz w:val="32"/>
          <w:szCs w:val="32"/>
        </w:rPr>
        <w:t>160</w:t>
      </w:r>
      <w:r>
        <w:rPr>
          <w:rFonts w:hint="eastAsia" w:ascii="仿宋_GB2312" w:eastAsia="仿宋_GB2312" w:cs="仿宋_GB2312"/>
          <w:sz w:val="32"/>
          <w:szCs w:val="32"/>
        </w:rPr>
        <w:t>亩，基地内农产品农药残留抽检合格率达</w:t>
      </w:r>
      <w:r>
        <w:rPr>
          <w:rFonts w:ascii="仿宋_GB2312" w:eastAsia="仿宋_GB2312" w:cs="仿宋_GB2312"/>
          <w:sz w:val="32"/>
          <w:szCs w:val="32"/>
        </w:rPr>
        <w:t>100</w:t>
      </w:r>
      <w:r>
        <w:rPr>
          <w:rFonts w:hint="eastAsia" w:ascii="仿宋_GB2312" w:eastAsia="仿宋_GB2312" w:cs="仿宋_GB2312"/>
          <w:sz w:val="32"/>
          <w:szCs w:val="32"/>
        </w:rPr>
        <w:t>%。深入推进农业生产“三品一标”，积极开展标志农产品认证，今年来全县新认证绿色食品</w:t>
      </w:r>
      <w:r>
        <w:rPr>
          <w:rFonts w:ascii="仿宋_GB2312" w:eastAsia="仿宋_GB2312" w:cs="仿宋_GB2312"/>
          <w:sz w:val="32"/>
          <w:szCs w:val="32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个，增加绿色产品供给</w:t>
      </w:r>
      <w:r>
        <w:rPr>
          <w:rFonts w:ascii="仿宋_GB2312" w:eastAsia="仿宋_GB2312" w:cs="仿宋_GB2312"/>
          <w:sz w:val="32"/>
          <w:szCs w:val="32"/>
        </w:rPr>
        <w:t>450</w:t>
      </w:r>
      <w:r>
        <w:rPr>
          <w:rFonts w:hint="eastAsia" w:ascii="仿宋_GB2312" w:eastAsia="仿宋_GB2312" w:cs="仿宋_GB2312"/>
          <w:sz w:val="32"/>
          <w:szCs w:val="32"/>
        </w:rPr>
        <w:t>吨。累计推广绿色防控技术面积</w:t>
      </w:r>
      <w:r>
        <w:rPr>
          <w:rFonts w:ascii="仿宋_GB2312" w:eastAsia="仿宋_GB2312" w:cs="仿宋_GB2312"/>
          <w:sz w:val="32"/>
          <w:szCs w:val="32"/>
        </w:rPr>
        <w:t>16</w:t>
      </w:r>
      <w:r>
        <w:rPr>
          <w:rFonts w:hint="eastAsia" w:ascii="仿宋_GB2312" w:eastAsia="仿宋_GB2312" w:cs="仿宋_GB2312"/>
          <w:sz w:val="32"/>
          <w:szCs w:val="32"/>
        </w:rPr>
        <w:t>万亩。</w:t>
      </w:r>
      <w:r>
        <w:rPr>
          <w:rFonts w:hint="eastAsia" w:ascii="仿宋_GB2312" w:hAnsi="仿宋_GB2312" w:eastAsia="仿宋_GB2312" w:cs="仿宋_GB2312"/>
          <w:sz w:val="32"/>
          <w:szCs w:val="32"/>
        </w:rPr>
        <w:t>持续推进“数字食安”建设。智慧赋能食品安全监管，充实基层监管力量，实现重点餐饮环节在线监管，全面推行“明厨亮灶”工程。目前，已有13968户主体陆续接入智慧市场监管平台，全县域学校食堂（涵盖中心学校、村小及教学点）“明厨亮灶”率达到了</w:t>
      </w:r>
      <w:r>
        <w:rPr>
          <w:rFonts w:ascii="仿宋_GB2312" w:hAnsi="仿宋_GB2312" w:eastAsia="仿宋_GB2312" w:cs="仿宋_GB2312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起跨部门的食品安全信息通报、隐患排查、联合执法、事故处置等协调联动机制。今年以来，共查处食品违法案件28起，罚没款7万余元,依法移送公安机关查处6起。构建食品安全全民参与格局。开展“全民总动员”式宣传教育，在媒体、企业、村（社区）、学校、集贸市场等五类重点区域设立食品安全宣传阵地，广泛普及食品安全知识。鼓励群众参与监督，积极拓宽投诉举报渠道，实施有奖举报制度，全年受理的投诉举报100%处置到位，公众对食品安全工作满意度不断提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今年省对县食品安全满意度民意调查排名全省第16名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药品安全监管方面，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开展药品不良反应、医疗器械不良事件监测工作，上报药品不良反应219例，医疗器械不良事件8例；</w:t>
      </w:r>
      <w:r>
        <w:rPr>
          <w:rFonts w:hint="eastAsia" w:ascii="Calibri" w:hAnsi="Calibri" w:eastAsia="仿宋_GB2312" w:cs="Times New Roman"/>
          <w:sz w:val="32"/>
        </w:rPr>
        <w:t>根据省、市药品监管局部署，严格按照世卫组织GBT工具标准要求，扎实做好本级疫苗评估工作和疫苗监管质量管理体系建设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特种设备安全监察方面，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扎实推进特种设备</w:t>
      </w:r>
      <w:r>
        <w:rPr>
          <w:rFonts w:hint="eastAsia" w:ascii="Times New Roman" w:hAnsi="Times New Roman" w:eastAsia="仿宋_GB2312"/>
          <w:sz w:val="32"/>
          <w:szCs w:val="32"/>
        </w:rPr>
        <w:t>专项检查，</w:t>
      </w:r>
      <w:r>
        <w:rPr>
          <w:rFonts w:hint="eastAsia" w:ascii="仿宋_GB2312" w:hAnsi="仿宋_GB2312" w:eastAsia="仿宋_GB2312" w:cs="仿宋_GB2312"/>
          <w:sz w:val="32"/>
          <w:szCs w:val="32"/>
        </w:rPr>
        <w:t>持续深化强执法防事故行动，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检查生产经营单位201家次，排查安全隐患40处，下达《特种设备安全监察指令书》40份，其中一般安全隐患39处，严重隐患1处，一般隐患已整改36处，整改率92%，严重隐患已按“一单四制”要求督促整改，目前正在申报复检，针对违法行为立案查处7起。</w:t>
      </w:r>
    </w:p>
    <w:p>
      <w:pPr>
        <w:spacing w:line="600" w:lineRule="exact"/>
        <w:ind w:firstLine="643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产品质量安全监管方面，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开展农资、化肥、烟花爆竹、电火箱、电取暖器、燃气器具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、食品相关产品、成品油、学生校服、危险化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专项行动。今年以来</w:t>
      </w:r>
      <w:r>
        <w:rPr>
          <w:rFonts w:hint="eastAsia" w:ascii="Times New Roman" w:hAnsi="Times New Roman" w:eastAsia="仿宋_GB2312"/>
          <w:sz w:val="32"/>
          <w:szCs w:val="32"/>
        </w:rPr>
        <w:t>未发生食品、药品、特种设备和工业产品质量安全事故。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）大力开展质量品牌提升行动。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制定《新晃龙脑》《新晃侗藏红米》两个地方标准。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加快技术机构建设，检验检测中心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完成产商品检验检测300个批次，</w:t>
      </w:r>
      <w:r>
        <w:rPr>
          <w:rFonts w:hint="eastAsia" w:ascii="仿宋" w:hAnsi="仿宋" w:eastAsia="仿宋"/>
          <w:sz w:val="32"/>
          <w:szCs w:val="32"/>
        </w:rPr>
        <w:t>合格率100%；</w:t>
      </w:r>
      <w:r>
        <w:rPr>
          <w:rFonts w:hint="eastAsia" w:ascii="仿宋_GB2312" w:hAnsi="仿宋_GB2312" w:eastAsia="仿宋_GB2312" w:cs="仿宋_GB2312"/>
          <w:sz w:val="32"/>
          <w:szCs w:val="32"/>
        </w:rPr>
        <w:t>检定计量器具</w:t>
      </w:r>
      <w:r>
        <w:rPr>
          <w:rFonts w:hint="eastAsia" w:ascii="仿宋" w:hAnsi="仿宋" w:eastAsia="仿宋" w:cs="仿宋"/>
          <w:sz w:val="30"/>
          <w:szCs w:val="30"/>
        </w:rPr>
        <w:t>3151台件,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其中衡器55台件，天平8台件，电能表96块,压力表236块,加油机256枪(次)，水表2500块。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积极引导企业申请注册商标，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我县现有效商标总量889件，其中地理标志证明商标2件，地理标志保护产品3件，马德里商标8件。积极鼓励个人和企业申报发明专利，我县</w:t>
      </w:r>
      <w:r>
        <w:rPr>
          <w:rFonts w:hint="eastAsia" w:eastAsia="仿宋_GB2312"/>
          <w:sz w:val="32"/>
          <w:szCs w:val="32"/>
        </w:rPr>
        <w:t>专</w:t>
      </w:r>
      <w:r>
        <w:rPr>
          <w:rFonts w:hint="eastAsia" w:ascii="仿宋_GB2312" w:hAnsi="仿宋_GB2312" w:eastAsia="仿宋_GB2312" w:cs="仿宋_GB2312"/>
          <w:sz w:val="32"/>
          <w:szCs w:val="32"/>
        </w:rPr>
        <w:t>利申请135件，其中发明专利申请80件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县发明专利拥有量40件，较2021年增加13件，增长48.5%，每万人口发明专利拥有量达1.82件，高价值发明专利2件，在全市排名第五，B类县排名第2。加大使用地理标志专用标志的使用，促进三个地理标志产品产业化发展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/>
        <w:jc w:val="both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kern w:val="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kern w:val="2"/>
          <w:szCs w:val="32"/>
        </w:rPr>
        <w:t>）规范市场秩序。</w:t>
      </w:r>
      <w:r>
        <w:rPr>
          <w:rFonts w:hint="eastAsia" w:ascii="仿宋_GB2312" w:hAnsi="仿宋_GB2312" w:cs="仿宋_GB2312"/>
          <w:szCs w:val="32"/>
        </w:rPr>
        <w:t>严格公平竞争审查</w:t>
      </w:r>
      <w:r>
        <w:rPr>
          <w:rFonts w:hint="eastAsia" w:ascii="仿宋_GB2312" w:hAnsi="仿宋_GB2312" w:cs="仿宋_GB2312"/>
          <w:spacing w:val="-4"/>
          <w:szCs w:val="32"/>
        </w:rPr>
        <w:t>，深入开展专项执法行动，加强信用监管。</w:t>
      </w:r>
      <w:r>
        <w:rPr>
          <w:rFonts w:hint="eastAsia" w:ascii="仿宋_GB2312" w:hAnsi="仿宋_GB2312" w:cs="仿宋_GB2312"/>
          <w:szCs w:val="32"/>
        </w:rPr>
        <w:t>切实维护消费者权益，受理各类信息各共计</w:t>
      </w:r>
      <w:r>
        <w:rPr>
          <w:rFonts w:hint="eastAsia" w:ascii="仿宋_GB2312" w:hAnsi="仿宋_GB2312" w:eastAsia="仿宋_GB2312" w:cs="仿宋_GB2312"/>
          <w:sz w:val="32"/>
          <w:szCs w:val="32"/>
        </w:rPr>
        <w:t>414</w:t>
      </w:r>
      <w:r>
        <w:rPr>
          <w:rFonts w:hint="eastAsia" w:ascii="仿宋_GB2312" w:hAnsi="仿宋_GB2312" w:cs="仿宋_GB2312"/>
          <w:szCs w:val="32"/>
        </w:rPr>
        <w:t>件，为消费者挽回经济损失</w:t>
      </w:r>
      <w:r>
        <w:rPr>
          <w:rFonts w:hint="eastAsia" w:ascii="仿宋_GB2312" w:hAnsi="仿宋_GB2312" w:eastAsia="仿宋_GB2312" w:cs="仿宋_GB2312"/>
          <w:sz w:val="32"/>
          <w:szCs w:val="32"/>
        </w:rPr>
        <w:t>18.4</w:t>
      </w:r>
      <w:r>
        <w:rPr>
          <w:rFonts w:hint="eastAsia" w:ascii="仿宋_GB2312" w:hAnsi="仿宋_GB2312" w:cs="仿宋_GB2312"/>
          <w:szCs w:val="32"/>
        </w:rPr>
        <w:t>万余元。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开展民生领域案件查办“铁拳”行动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打击</w:t>
      </w:r>
      <w:r>
        <w:rPr>
          <w:rFonts w:hint="eastAsia" w:ascii="仿宋_GB2312" w:hAnsi="仿宋_GB2312" w:cs="仿宋_GB2312"/>
          <w:szCs w:val="32"/>
        </w:rPr>
        <w:t>企业乱收费行为</w:t>
      </w:r>
      <w:r>
        <w:rPr>
          <w:rFonts w:hint="eastAsia" w:ascii="仿宋_GB2312" w:hAnsi="仿宋_GB2312" w:cs="仿宋_GB2312"/>
          <w:szCs w:val="32"/>
          <w:lang w:eastAsia="zh-CN"/>
        </w:rPr>
        <w:t>，严查性保健用品店违规销售性保健用品，</w:t>
      </w:r>
      <w:r>
        <w:rPr>
          <w:rFonts w:hint="eastAsia" w:ascii="仿宋_GB2312" w:hAnsi="仿宋_GB2312" w:eastAsia="仿宋_GB2312" w:cs="仿宋_GB2312"/>
          <w:sz w:val="32"/>
          <w:szCs w:val="32"/>
        </w:rPr>
        <w:t>本年度我局立案66起，涉及食品安全27起，价格违法案件5起，商标侵权3起，违法广告7起，特种设备7起，药品案件6起，产品质量及标准案件11起等案件，已办结52起，罚没款合计94万余元。</w:t>
      </w:r>
    </w:p>
    <w:p>
      <w:pPr>
        <w:spacing w:line="560" w:lineRule="exact"/>
        <w:ind w:left="0" w:leftChars="0" w:firstLine="643" w:firstLineChars="200"/>
        <w:jc w:val="left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三、存在的问题及原因</w:t>
      </w:r>
    </w:p>
    <w:p>
      <w:pPr>
        <w:pStyle w:val="6"/>
        <w:shd w:val="clear" w:color="auto" w:fill="FFFFFF"/>
        <w:spacing w:before="0" w:beforeAutospacing="0" w:after="0" w:afterAutospacing="0" w:line="450" w:lineRule="atLeast"/>
        <w:ind w:firstLine="640" w:firstLineChars="200"/>
        <w:rPr>
          <w:rFonts w:hint="eastAsia" w:ascii="仿宋" w:hAnsi="仿宋" w:eastAsia="仿宋"/>
          <w:color w:val="000000"/>
          <w:kern w:val="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000000"/>
          <w:kern w:val="2"/>
          <w:sz w:val="32"/>
          <w:szCs w:val="32"/>
          <w:shd w:val="clear" w:color="auto" w:fill="FFFFFF"/>
        </w:rPr>
        <w:t>1、特殊时期特定业务事务增变，</w:t>
      </w:r>
      <w:r>
        <w:rPr>
          <w:rFonts w:hint="eastAsia" w:ascii="仿宋" w:hAnsi="仿宋" w:eastAsia="仿宋"/>
          <w:sz w:val="32"/>
          <w:szCs w:val="32"/>
        </w:rPr>
        <w:t>加强管理相关专项业务监管相应增加相关专项业务</w:t>
      </w:r>
      <w:r>
        <w:rPr>
          <w:rFonts w:hint="eastAsia" w:ascii="仿宋" w:hAnsi="仿宋" w:eastAsia="仿宋"/>
          <w:sz w:val="32"/>
          <w:szCs w:val="32"/>
          <w:lang w:eastAsia="zh-CN"/>
        </w:rPr>
        <w:t>支持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2、财政资金困难，预算难以得到有效执行。</w:t>
      </w:r>
    </w:p>
    <w:p>
      <w:pPr>
        <w:spacing w:line="560" w:lineRule="exact"/>
        <w:ind w:firstLine="643" w:firstLineChars="2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四、提高财政资金绩效的措施与建议</w:t>
      </w:r>
    </w:p>
    <w:p>
      <w:pPr>
        <w:pStyle w:val="6"/>
        <w:shd w:val="clear" w:color="auto" w:fill="FFFFFF"/>
        <w:spacing w:before="0" w:beforeAutospacing="0" w:after="0" w:afterAutospacing="0" w:line="450" w:lineRule="atLeast"/>
        <w:ind w:firstLine="360"/>
        <w:rPr>
          <w:rFonts w:hint="eastAsia" w:ascii="仿宋" w:hAnsi="仿宋" w:eastAsia="仿宋"/>
          <w:color w:val="000000"/>
          <w:kern w:val="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000000"/>
          <w:kern w:val="2"/>
          <w:sz w:val="32"/>
          <w:szCs w:val="32"/>
          <w:shd w:val="clear" w:color="auto" w:fill="FFFFFF"/>
        </w:rPr>
        <w:t>（一）规范账务处理，提高财务信息质量</w:t>
      </w:r>
    </w:p>
    <w:p>
      <w:pPr>
        <w:pStyle w:val="6"/>
        <w:shd w:val="clear" w:color="auto" w:fill="FFFFFF"/>
        <w:spacing w:before="0" w:beforeAutospacing="0" w:after="0" w:afterAutospacing="0" w:line="450" w:lineRule="atLeast"/>
        <w:ind w:firstLine="360"/>
        <w:rPr>
          <w:rFonts w:hint="eastAsia" w:ascii="仿宋" w:hAnsi="仿宋" w:eastAsia="仿宋"/>
          <w:color w:val="000000"/>
          <w:kern w:val="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000000"/>
          <w:kern w:val="2"/>
          <w:sz w:val="32"/>
          <w:szCs w:val="32"/>
          <w:shd w:val="clear" w:color="auto" w:fill="FFFFFF"/>
        </w:rPr>
        <w:t xml:space="preserve"> 严格按照《会计法》、《行政单位会计制度》、《行政单位财务规则》等规定执行财务核算，并结合实际情况，完整、准确地披露相关信息，尽可能地做到决算与预算相衔接。</w:t>
      </w:r>
    </w:p>
    <w:p>
      <w:pPr>
        <w:pStyle w:val="6"/>
        <w:shd w:val="clear" w:color="auto" w:fill="FFFFFF"/>
        <w:spacing w:before="0" w:beforeAutospacing="0" w:after="0" w:afterAutospacing="0" w:line="450" w:lineRule="atLeast"/>
        <w:ind w:firstLine="360"/>
        <w:rPr>
          <w:rFonts w:hint="eastAsia" w:ascii="仿宋" w:hAnsi="仿宋" w:eastAsia="仿宋"/>
          <w:color w:val="000000"/>
          <w:kern w:val="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000000"/>
          <w:kern w:val="2"/>
          <w:sz w:val="32"/>
          <w:szCs w:val="32"/>
          <w:shd w:val="clear" w:color="auto" w:fill="FFFFFF"/>
        </w:rPr>
        <w:t xml:space="preserve"> （二）完善管理制度，进一步加强资产管理</w:t>
      </w:r>
    </w:p>
    <w:p>
      <w:pPr>
        <w:pStyle w:val="6"/>
        <w:shd w:val="clear" w:color="auto" w:fill="FFFFFF"/>
        <w:spacing w:before="0" w:beforeAutospacing="0" w:after="0" w:afterAutospacing="0" w:line="450" w:lineRule="atLeast"/>
        <w:ind w:firstLine="360"/>
        <w:rPr>
          <w:rFonts w:hint="eastAsia" w:eastAsia="仿宋_GB2312"/>
          <w:sz w:val="32"/>
          <w:szCs w:val="32"/>
        </w:rPr>
      </w:pPr>
      <w:r>
        <w:rPr>
          <w:rFonts w:hint="eastAsia" w:ascii="仿宋" w:hAnsi="仿宋" w:eastAsia="仿宋"/>
          <w:color w:val="000000"/>
          <w:kern w:val="2"/>
          <w:sz w:val="32"/>
          <w:szCs w:val="32"/>
          <w:shd w:val="clear" w:color="auto" w:fill="FFFFFF"/>
        </w:rPr>
        <w:t>严格按照《固定资产管理办法》的规定加强固定资产管理，及时登记、更新台账，加强资产卡片管理，年终前对各类实物资产进行全面盘点，确保账账、账实相符。</w:t>
      </w:r>
    </w:p>
    <w:p>
      <w:pPr>
        <w:spacing w:line="560" w:lineRule="exact"/>
        <w:ind w:firstLine="643" w:firstLineChars="200"/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五、附件（佐证依据）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提供自评报告的有关文件、资料等，以进一步解释和证明报告所反映的相关内容。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</w:t>
      </w:r>
      <w:r>
        <w:rPr>
          <w:rFonts w:ascii="仿宋_GB2312" w:hAnsi="仿宋_GB2312"/>
          <w:sz w:val="32"/>
          <w:szCs w:val="32"/>
        </w:rPr>
        <w:t xml:space="preserve">             </w:t>
      </w:r>
    </w:p>
    <w:p>
      <w:pPr>
        <w:spacing w:line="560" w:lineRule="exact"/>
        <w:ind w:firstLine="5440" w:firstLineChars="1700"/>
        <w:jc w:val="left"/>
        <w:rPr>
          <w:rFonts w:ascii="仿宋_GB2312" w:hAnsi="仿宋_GB2312"/>
          <w:sz w:val="32"/>
          <w:szCs w:val="32"/>
        </w:rPr>
      </w:pPr>
    </w:p>
    <w:p>
      <w:pPr>
        <w:spacing w:line="560" w:lineRule="exact"/>
        <w:ind w:firstLine="5440" w:firstLineChars="1700"/>
        <w:jc w:val="left"/>
        <w:rPr>
          <w:rFonts w:eastAsia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部门（签章）</w:t>
      </w:r>
    </w:p>
    <w:p>
      <w:pPr>
        <w:spacing w:line="400" w:lineRule="exact"/>
        <w:jc w:val="left"/>
      </w:pPr>
      <w:r>
        <w:rPr>
          <w:rFonts w:eastAsia="仿宋_GB2312"/>
          <w:sz w:val="32"/>
          <w:szCs w:val="32"/>
        </w:rPr>
        <w:t xml:space="preserve">                                 </w:t>
      </w: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</w:rPr>
        <w:t>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>5</w:t>
      </w:r>
      <w:r>
        <w:rPr>
          <w:rFonts w:hint="eastAsia" w:ascii="宋体" w:hAnsi="宋体" w:cs="宋体"/>
          <w:sz w:val="32"/>
          <w:szCs w:val="32"/>
        </w:rPr>
        <w:t>月</w:t>
      </w:r>
      <w:r>
        <w:rPr>
          <w:rFonts w:hint="eastAsia" w:ascii="宋体" w:hAnsi="宋体" w:cs="宋体"/>
          <w:sz w:val="32"/>
          <w:szCs w:val="32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</w:rPr>
        <w:t>日</w:t>
      </w:r>
    </w:p>
    <w:sectPr>
      <w:footerReference r:id="rId5" w:type="default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Y0NTc3NmZjZDdiMWJhZWYxOTcyNDRiZmVkYzQ0ZmIifQ=="/>
  </w:docVars>
  <w:rsids>
    <w:rsidRoot w:val="008B79C7"/>
    <w:rsid w:val="000261A2"/>
    <w:rsid w:val="00283668"/>
    <w:rsid w:val="00442889"/>
    <w:rsid w:val="00487F40"/>
    <w:rsid w:val="0059382F"/>
    <w:rsid w:val="00614703"/>
    <w:rsid w:val="00667E8A"/>
    <w:rsid w:val="00823B9F"/>
    <w:rsid w:val="008B79C7"/>
    <w:rsid w:val="009C7585"/>
    <w:rsid w:val="00E84704"/>
    <w:rsid w:val="03835C84"/>
    <w:rsid w:val="058750D1"/>
    <w:rsid w:val="081B5B69"/>
    <w:rsid w:val="09155E27"/>
    <w:rsid w:val="1BDC2DB4"/>
    <w:rsid w:val="1DD30D19"/>
    <w:rsid w:val="25662D4E"/>
    <w:rsid w:val="2E0C688C"/>
    <w:rsid w:val="30741E24"/>
    <w:rsid w:val="3E847D60"/>
    <w:rsid w:val="48C63E5C"/>
    <w:rsid w:val="4BAF1C5C"/>
    <w:rsid w:val="598A6EAA"/>
    <w:rsid w:val="641D178B"/>
    <w:rsid w:val="6F7D3E39"/>
    <w:rsid w:val="74412A76"/>
    <w:rsid w:val="795F5916"/>
    <w:rsid w:val="7D7C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00" w:beforeAutospacing="1" w:after="100" w:afterAutospacing="1" w:line="365" w:lineRule="atLeast"/>
      <w:ind w:left="1"/>
      <w:jc w:val="both"/>
      <w:textAlignment w:val="bottom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3"/>
    <w:basedOn w:val="1"/>
    <w:next w:val="1"/>
    <w:qFormat/>
    <w:uiPriority w:val="99"/>
    <w:pPr>
      <w:keepNext/>
      <w:keepLines/>
      <w:spacing w:line="560" w:lineRule="exact"/>
      <w:textAlignment w:val="baseline"/>
    </w:pPr>
    <w:rPr>
      <w:rFonts w:cs="Calibri"/>
      <w:b/>
      <w:bCs/>
    </w:r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line="240" w:lineRule="auto"/>
      <w:ind w:left="0"/>
      <w:jc w:val="left"/>
      <w:textAlignment w:val="auto"/>
    </w:pPr>
    <w:rPr>
      <w:rFonts w:ascii="宋体" w:hAnsi="宋体" w:cs="宋体"/>
    </w:rPr>
  </w:style>
  <w:style w:type="paragraph" w:styleId="7">
    <w:name w:val="Body Text First Indent 2"/>
    <w:basedOn w:val="3"/>
    <w:unhideWhenUsed/>
    <w:qFormat/>
    <w:uiPriority w:val="99"/>
    <w:pPr>
      <w:ind w:firstLine="420" w:firstLineChars="200"/>
    </w:pPr>
  </w:style>
  <w:style w:type="paragraph" w:customStyle="1" w:styleId="10">
    <w:name w:val="Default"/>
    <w:basedOn w:val="1"/>
    <w:qFormat/>
    <w:uiPriority w:val="0"/>
    <w:pPr>
      <w:autoSpaceDE w:val="0"/>
      <w:autoSpaceDN w:val="0"/>
      <w:adjustRightInd w:val="0"/>
      <w:spacing w:before="0" w:beforeAutospacing="0" w:after="0" w:afterAutospacing="0" w:line="240" w:lineRule="auto"/>
      <w:ind w:left="0"/>
      <w:jc w:val="left"/>
      <w:textAlignment w:val="auto"/>
    </w:pPr>
    <w:rPr>
      <w:rFonts w:ascii="黑体" w:hAnsi="Calibri" w:eastAsia="黑体" w:cs="宋体"/>
      <w:color w:val="000000"/>
    </w:rPr>
  </w:style>
  <w:style w:type="character" w:customStyle="1" w:styleId="11">
    <w:name w:val="15"/>
    <w:basedOn w:val="9"/>
    <w:qFormat/>
    <w:uiPriority w:val="0"/>
    <w:rPr>
      <w:rFonts w:hint="default" w:ascii="Times New Roman" w:hAnsi="Times New Roman" w:cs="Times New Roman"/>
      <w:b/>
      <w:bCs/>
    </w:rPr>
  </w:style>
  <w:style w:type="paragraph" w:customStyle="1" w:styleId="12">
    <w:name w:val="无间隔1"/>
    <w:qFormat/>
    <w:uiPriority w:val="1"/>
    <w:pPr>
      <w:adjustRightInd w:val="0"/>
      <w:snapToGrid w:val="0"/>
      <w:spacing w:line="360" w:lineRule="auto"/>
      <w:ind w:firstLine="200" w:firstLineChars="200"/>
    </w:pPr>
    <w:rPr>
      <w:rFonts w:ascii="Tahoma" w:hAnsi="Tahoma" w:eastAsia="仿宋_GB2312" w:cs="Times New Roman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3903</Words>
  <Characters>4301</Characters>
  <Lines>34</Lines>
  <Paragraphs>9</Paragraphs>
  <TotalTime>12</TotalTime>
  <ScaleCrop>false</ScaleCrop>
  <LinksUpToDate>false</LinksUpToDate>
  <CharactersWithSpaces>4371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2023-05-09T07:19:00Z</dcterms:created>
  <dc:creator>Administrator</dc:creator>
  <cp:lastModifiedBy>Administrator</cp:lastModifiedBy>
  <dcterms:modified xsi:type="dcterms:W3CDTF">2023-05-18T01:35:42Z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D6AB65C06E4146B7922DAF10EBF60D9E_12</vt:lpwstr>
  </property>
</Properties>
</file>