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4" w:line="222" w:lineRule="auto"/>
        <w:ind w:left="4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附件2-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1</w:t>
      </w:r>
    </w:p>
    <w:p>
      <w:pPr>
        <w:spacing w:before="216" w:line="221" w:lineRule="auto"/>
        <w:ind w:left="23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2022年度新晃县项目支出绩效自评表</w:t>
      </w:r>
    </w:p>
    <w:p>
      <w:pPr>
        <w:spacing w:before="187" w:line="221" w:lineRule="auto"/>
        <w:ind w:left="778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9"/>
          <w:sz w:val="19"/>
          <w:szCs w:val="19"/>
        </w:rPr>
        <w:t>金额单位：万元</w:t>
      </w:r>
    </w:p>
    <w:p>
      <w:pPr>
        <w:spacing w:line="113" w:lineRule="exact"/>
      </w:pPr>
    </w:p>
    <w:tbl>
      <w:tblPr>
        <w:tblStyle w:val="6"/>
        <w:tblW w:w="9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1129"/>
        <w:gridCol w:w="1808"/>
        <w:gridCol w:w="1418"/>
        <w:gridCol w:w="1299"/>
        <w:gridCol w:w="1199"/>
        <w:gridCol w:w="839"/>
        <w:gridCol w:w="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14" w:type="dxa"/>
            <w:vAlign w:val="top"/>
          </w:tcPr>
          <w:p>
            <w:pPr>
              <w:spacing w:before="64" w:line="259" w:lineRule="auto"/>
              <w:ind w:left="244" w:righ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项目单位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称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spacing w:before="221" w:line="219" w:lineRule="auto"/>
              <w:ind w:right="142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(盖章)</w:t>
            </w:r>
          </w:p>
        </w:tc>
        <w:tc>
          <w:tcPr>
            <w:tcW w:w="1418" w:type="dxa"/>
            <w:vAlign w:val="top"/>
          </w:tcPr>
          <w:p>
            <w:pPr>
              <w:spacing w:before="223" w:line="220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19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 xml:space="preserve">中央食品监管补助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80" w:line="252" w:lineRule="auto"/>
              <w:ind w:left="244" w:righ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目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责任部门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食品安全综合协调股</w:t>
            </w:r>
          </w:p>
        </w:tc>
        <w:tc>
          <w:tcPr>
            <w:tcW w:w="1418" w:type="dxa"/>
            <w:vAlign w:val="top"/>
          </w:tcPr>
          <w:p>
            <w:pPr>
              <w:spacing w:before="219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项目负责人</w:t>
            </w:r>
          </w:p>
        </w:tc>
        <w:tc>
          <w:tcPr>
            <w:tcW w:w="129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吴桂梅</w:t>
            </w:r>
          </w:p>
        </w:tc>
        <w:tc>
          <w:tcPr>
            <w:tcW w:w="1199" w:type="dxa"/>
            <w:vAlign w:val="top"/>
          </w:tcPr>
          <w:p>
            <w:pPr>
              <w:spacing w:before="221" w:line="221" w:lineRule="auto"/>
              <w:ind w:left="1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13874550533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14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318" w:lineRule="exact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position w:val="8"/>
                <w:sz w:val="20"/>
                <w:szCs w:val="20"/>
              </w:rPr>
              <w:t>项目资金</w:t>
            </w:r>
          </w:p>
          <w:p>
            <w:pPr>
              <w:spacing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基本情况</w:t>
            </w:r>
          </w:p>
        </w:tc>
        <w:tc>
          <w:tcPr>
            <w:tcW w:w="1129" w:type="dxa"/>
            <w:vAlign w:val="top"/>
          </w:tcPr>
          <w:p>
            <w:pPr>
              <w:spacing w:before="200" w:line="219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上年结转</w:t>
            </w:r>
          </w:p>
        </w:tc>
        <w:tc>
          <w:tcPr>
            <w:tcW w:w="1808" w:type="dxa"/>
            <w:vAlign w:val="top"/>
          </w:tcPr>
          <w:p>
            <w:pPr>
              <w:spacing w:before="200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年初预算安排数</w:t>
            </w:r>
          </w:p>
        </w:tc>
        <w:tc>
          <w:tcPr>
            <w:tcW w:w="1418" w:type="dxa"/>
            <w:vAlign w:val="top"/>
          </w:tcPr>
          <w:p>
            <w:pPr>
              <w:spacing w:before="200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预算调整数</w:t>
            </w:r>
          </w:p>
        </w:tc>
        <w:tc>
          <w:tcPr>
            <w:tcW w:w="2498" w:type="dxa"/>
            <w:gridSpan w:val="2"/>
            <w:vAlign w:val="top"/>
          </w:tcPr>
          <w:p>
            <w:pPr>
              <w:spacing w:before="200" w:line="219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spacing w:before="200" w:line="219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498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14" w:type="dxa"/>
            <w:vAlign w:val="top"/>
          </w:tcPr>
          <w:p>
            <w:pPr>
              <w:spacing w:before="258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评价内容</w:t>
            </w:r>
          </w:p>
        </w:tc>
        <w:tc>
          <w:tcPr>
            <w:tcW w:w="1129" w:type="dxa"/>
            <w:vAlign w:val="top"/>
          </w:tcPr>
          <w:p>
            <w:pPr>
              <w:spacing w:before="260" w:line="219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分值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58" w:line="218" w:lineRule="auto"/>
              <w:ind w:left="24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评价简述</w:t>
            </w:r>
          </w:p>
        </w:tc>
        <w:tc>
          <w:tcPr>
            <w:tcW w:w="839" w:type="dxa"/>
            <w:vAlign w:val="top"/>
          </w:tcPr>
          <w:p>
            <w:pPr>
              <w:spacing w:before="99" w:line="262" w:lineRule="auto"/>
              <w:ind w:left="117" w:right="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单位自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评得分</w:t>
            </w:r>
          </w:p>
        </w:tc>
        <w:tc>
          <w:tcPr>
            <w:tcW w:w="854" w:type="dxa"/>
            <w:vAlign w:val="top"/>
          </w:tcPr>
          <w:p>
            <w:pPr>
              <w:spacing w:before="99" w:line="262" w:lineRule="auto"/>
              <w:ind w:left="118" w:righ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财政复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评得分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14" w:type="dxa"/>
            <w:vAlign w:val="top"/>
          </w:tcPr>
          <w:p>
            <w:pPr>
              <w:spacing w:before="69" w:line="255" w:lineRule="auto"/>
              <w:ind w:left="144" w:right="12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项目预算及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预期绩效目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标编制水平</w:t>
            </w:r>
          </w:p>
        </w:tc>
        <w:tc>
          <w:tcPr>
            <w:tcW w:w="112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49" w:line="275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本项目预算编制科学、规范、合理，预期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绩效目标申报完整，产出、效果类关键性指标清晰、明确、量化，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投入与项目产出、效果目标匹配。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14" w:type="dxa"/>
            <w:vAlign w:val="top"/>
          </w:tcPr>
          <w:p>
            <w:pPr>
              <w:spacing w:before="222" w:line="219" w:lineRule="auto"/>
              <w:ind w:left="1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2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该项目预算执行率为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100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%。根据实际情况评分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72" w:line="248" w:lineRule="auto"/>
              <w:ind w:left="244" w:righ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项目组织 管理水平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1" w:line="228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本项目建立了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eastAsia="zh-CN"/>
              </w:rPr>
              <w:t>市场监督专项业务、五证合一商事制度改革、食用农产品抽检检测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等项目管理制度，并严格按相关制度执行。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314" w:type="dxa"/>
            <w:vAlign w:val="top"/>
          </w:tcPr>
          <w:p>
            <w:pPr>
              <w:spacing w:before="233" w:line="250" w:lineRule="auto"/>
              <w:ind w:left="244" w:right="2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资金支出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合理合规</w:t>
            </w:r>
          </w:p>
        </w:tc>
        <w:tc>
          <w:tcPr>
            <w:tcW w:w="1129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73" w:line="273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本年项目支出符合国家相关法律法规、财务管理制度等规定，且均在预算范围内，无与本项目预算不相符或无关的资金支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出</w:t>
            </w:r>
            <w:r>
              <w:rPr>
                <w:rFonts w:ascii="宋体" w:hAnsi="宋体" w:eastAsia="宋体" w:cs="宋体"/>
                <w:spacing w:val="6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14" w:type="dxa"/>
            <w:vAlign w:val="top"/>
          </w:tcPr>
          <w:p>
            <w:pPr>
              <w:spacing w:before="254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129" w:type="dxa"/>
            <w:vAlign w:val="top"/>
          </w:tcPr>
          <w:p>
            <w:pPr>
              <w:spacing w:before="30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30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83" w:line="269" w:lineRule="auto"/>
              <w:ind w:left="131"/>
              <w:rPr>
                <w:rFonts w:hint="default" w:ascii="宋体" w:hAnsi="宋体" w:eastAsia="宋体" w:cs="宋体"/>
                <w:sz w:val="19"/>
                <w:szCs w:val="19"/>
                <w:lang w:val="en-US"/>
              </w:rPr>
            </w:pP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  <w:lang w:eastAsia="zh-CN"/>
              </w:rPr>
              <w:t>完成食品安全宣传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  <w:lang w:val="en-US" w:eastAsia="zh-CN"/>
              </w:rPr>
              <w:t>1次，监管队伍及监管对象进行专业知识培训各1次。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  <w:lang w:eastAsia="zh-CN"/>
              </w:rPr>
              <w:t>完成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sz w:val="18"/>
                <w:szCs w:val="18"/>
                <w:lang w:val="en-US" w:eastAsia="zh-CN"/>
              </w:rPr>
              <w:t>抽检食品及食用农产品1084批次（包括检测中心304批次），合格1065批次，食品安全评价性抽检整体合格率98.25%。国家食品抽检不合格食品核查处置率100%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314" w:type="dxa"/>
            <w:vAlign w:val="top"/>
          </w:tcPr>
          <w:p>
            <w:pPr>
              <w:spacing w:before="226" w:line="253" w:lineRule="auto"/>
              <w:ind w:left="344" w:right="249" w:hanging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项目效益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(效果)</w:t>
            </w:r>
          </w:p>
        </w:tc>
        <w:tc>
          <w:tcPr>
            <w:tcW w:w="112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6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20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34" w:line="25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食品安全监管水平，公众饮食安全科普知识素养逐步提高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31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满意度</w:t>
            </w:r>
          </w:p>
        </w:tc>
        <w:tc>
          <w:tcPr>
            <w:tcW w:w="112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56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服务对象满意度计分：满意度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314" w:type="dxa"/>
            <w:vAlign w:val="top"/>
          </w:tcPr>
          <w:p>
            <w:pPr>
              <w:spacing w:before="198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小计</w:t>
            </w:r>
          </w:p>
        </w:tc>
        <w:tc>
          <w:tcPr>
            <w:tcW w:w="1129" w:type="dxa"/>
            <w:vAlign w:val="top"/>
          </w:tcPr>
          <w:p>
            <w:pPr>
              <w:spacing w:before="247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31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负向指标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4" w:type="dxa"/>
            <w:gridSpan w:val="4"/>
            <w:vAlign w:val="top"/>
          </w:tcPr>
          <w:p>
            <w:pPr>
              <w:spacing w:before="63" w:line="260" w:lineRule="auto"/>
              <w:ind w:left="131" w:right="8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主要评价自评得分与复评得分差异率。差异率≤10%,不扣分；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10%&lt;差异率≤15%,扣2分；15%&lt;差异率≤20%,扣4分；差异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率&gt;20%,扣6分。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314" w:type="dxa"/>
            <w:vAlign w:val="top"/>
          </w:tcPr>
          <w:p>
            <w:pPr>
              <w:spacing w:before="129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129" w:type="dxa"/>
            <w:vAlign w:val="top"/>
          </w:tcPr>
          <w:p>
            <w:pPr>
              <w:spacing w:before="178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14" w:type="dxa"/>
            <w:vAlign w:val="top"/>
          </w:tcPr>
          <w:p>
            <w:pPr>
              <w:spacing w:before="236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评价结果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26" w:type="dxa"/>
            <w:gridSpan w:val="2"/>
            <w:tcBorders>
              <w:right w:val="nil"/>
            </w:tcBorders>
            <w:vAlign w:val="top"/>
          </w:tcPr>
          <w:p>
            <w:pPr>
              <w:spacing w:before="108" w:line="219" w:lineRule="auto"/>
              <w:ind w:left="2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]优秀90分≤得分≤100分；</w:t>
            </w:r>
          </w:p>
          <w:p>
            <w:pPr>
              <w:spacing w:before="72" w:line="219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□较差60分≤得分&lt;80分；</w:t>
            </w:r>
          </w:p>
        </w:tc>
        <w:tc>
          <w:tcPr>
            <w:tcW w:w="4191" w:type="dxa"/>
            <w:gridSpan w:val="4"/>
            <w:tcBorders>
              <w:left w:val="nil"/>
            </w:tcBorders>
            <w:vAlign w:val="top"/>
          </w:tcPr>
          <w:p>
            <w:pPr>
              <w:spacing w:before="108" w:line="219" w:lineRule="auto"/>
              <w:ind w:left="5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良好80分≤得分&lt;90分；</w:t>
            </w:r>
          </w:p>
          <w:p>
            <w:pPr>
              <w:spacing w:before="52" w:line="219" w:lineRule="auto"/>
              <w:ind w:left="3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□差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得分&lt;60分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before="62" w:line="232" w:lineRule="auto"/>
        <w:ind w:left="45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11"/>
          <w:sz w:val="19"/>
          <w:szCs w:val="19"/>
        </w:rPr>
        <w:t>单位负责人(签字):</w:t>
      </w:r>
      <w:r>
        <w:rPr>
          <w:rFonts w:ascii="仿宋" w:hAnsi="仿宋" w:eastAsia="仿宋" w:cs="仿宋"/>
          <w:spacing w:val="2"/>
          <w:sz w:val="19"/>
          <w:szCs w:val="19"/>
        </w:rPr>
        <w:t xml:space="preserve">              </w:t>
      </w:r>
      <w:r>
        <w:rPr>
          <w:rFonts w:ascii="仿宋" w:hAnsi="仿宋" w:eastAsia="仿宋" w:cs="仿宋"/>
          <w:spacing w:val="11"/>
          <w:sz w:val="19"/>
          <w:szCs w:val="19"/>
        </w:rPr>
        <w:t>项目负责人(签字):</w:t>
      </w:r>
      <w:r>
        <w:rPr>
          <w:rFonts w:ascii="仿宋" w:hAnsi="仿宋" w:eastAsia="仿宋" w:cs="仿宋"/>
          <w:spacing w:val="5"/>
          <w:sz w:val="19"/>
          <w:szCs w:val="19"/>
        </w:rPr>
        <w:t xml:space="preserve">           </w:t>
      </w:r>
      <w:r>
        <w:rPr>
          <w:rFonts w:ascii="仿宋" w:hAnsi="仿宋" w:eastAsia="仿宋" w:cs="仿宋"/>
          <w:spacing w:val="11"/>
          <w:sz w:val="19"/>
          <w:szCs w:val="19"/>
        </w:rPr>
        <w:t>填表日期：</w:t>
      </w:r>
      <w:r>
        <w:rPr>
          <w:rFonts w:hint="eastAsia" w:ascii="仿宋" w:hAnsi="仿宋" w:eastAsia="仿宋" w:cs="仿宋"/>
          <w:spacing w:val="11"/>
          <w:sz w:val="19"/>
          <w:szCs w:val="19"/>
          <w:lang w:val="en-US" w:eastAsia="zh-CN"/>
        </w:rPr>
        <w:t>2023</w:t>
      </w:r>
      <w:r>
        <w:rPr>
          <w:rFonts w:ascii="仿宋" w:hAnsi="仿宋" w:eastAsia="仿宋" w:cs="仿宋"/>
          <w:spacing w:val="11"/>
          <w:sz w:val="19"/>
          <w:szCs w:val="19"/>
        </w:rPr>
        <w:t>年</w:t>
      </w:r>
      <w:bookmarkStart w:id="0" w:name="_GoBack"/>
      <w:bookmarkEnd w:id="0"/>
      <w:r>
        <w:rPr>
          <w:rFonts w:ascii="仿宋" w:hAnsi="仿宋" w:eastAsia="仿宋" w:cs="仿宋"/>
          <w:spacing w:val="10"/>
          <w:sz w:val="19"/>
          <w:szCs w:val="19"/>
        </w:rPr>
        <w:t xml:space="preserve"> </w:t>
      </w:r>
      <w:r>
        <w:rPr>
          <w:rFonts w:hint="eastAsia" w:ascii="仿宋" w:hAnsi="仿宋" w:eastAsia="仿宋" w:cs="仿宋"/>
          <w:spacing w:val="10"/>
          <w:sz w:val="19"/>
          <w:szCs w:val="19"/>
          <w:lang w:val="en-US" w:eastAsia="zh-CN"/>
        </w:rPr>
        <w:t>6</w:t>
      </w:r>
      <w:r>
        <w:rPr>
          <w:rFonts w:ascii="仿宋" w:hAnsi="仿宋" w:eastAsia="仿宋" w:cs="仿宋"/>
          <w:spacing w:val="11"/>
          <w:sz w:val="19"/>
          <w:szCs w:val="19"/>
        </w:rPr>
        <w:t>月</w:t>
      </w:r>
      <w:r>
        <w:rPr>
          <w:rFonts w:ascii="仿宋" w:hAnsi="仿宋" w:eastAsia="仿宋" w:cs="仿宋"/>
          <w:spacing w:val="26"/>
          <w:sz w:val="19"/>
          <w:szCs w:val="19"/>
        </w:rPr>
        <w:t xml:space="preserve"> </w:t>
      </w:r>
      <w:r>
        <w:rPr>
          <w:rFonts w:hint="eastAsia" w:ascii="仿宋" w:hAnsi="仿宋" w:eastAsia="仿宋" w:cs="仿宋"/>
          <w:spacing w:val="26"/>
          <w:sz w:val="19"/>
          <w:szCs w:val="19"/>
          <w:lang w:val="en-US" w:eastAsia="zh-CN"/>
        </w:rPr>
        <w:t>3</w:t>
      </w:r>
      <w:r>
        <w:rPr>
          <w:rFonts w:ascii="仿宋" w:hAnsi="仿宋" w:eastAsia="仿宋" w:cs="仿宋"/>
          <w:spacing w:val="11"/>
          <w:sz w:val="19"/>
          <w:szCs w:val="19"/>
        </w:rPr>
        <w:t>日</w:t>
      </w:r>
    </w:p>
    <w:p>
      <w:pPr>
        <w:sectPr>
          <w:footerReference r:id="rId5" w:type="default"/>
          <w:pgSz w:w="11910" w:h="16840"/>
          <w:pgMar w:top="1431" w:right="954" w:bottom="1153" w:left="1085" w:header="0" w:footer="964" w:gutter="0"/>
          <w:cols w:space="720" w:num="1"/>
        </w:sectPr>
      </w:pPr>
    </w:p>
    <w:p>
      <w:pPr>
        <w:spacing w:before="68" w:line="222" w:lineRule="auto"/>
        <w:ind w:left="1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5"/>
          <w:sz w:val="33"/>
          <w:szCs w:val="33"/>
        </w:rPr>
        <w:t>附件2-2</w:t>
      </w:r>
    </w:p>
    <w:p>
      <w:pPr>
        <w:spacing w:before="335" w:line="219" w:lineRule="auto"/>
        <w:ind w:left="173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4"/>
          <w:sz w:val="33"/>
          <w:szCs w:val="33"/>
        </w:rPr>
        <w:t>2022年度新晃县项目绩效自评计分标准</w:t>
      </w:r>
    </w:p>
    <w:p>
      <w:pPr>
        <w:spacing w:line="64" w:lineRule="exact"/>
      </w:pPr>
    </w:p>
    <w:tbl>
      <w:tblPr>
        <w:tblStyle w:val="6"/>
        <w:tblW w:w="8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70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334" w:type="dxa"/>
            <w:vAlign w:val="top"/>
          </w:tcPr>
          <w:p>
            <w:pPr>
              <w:spacing w:before="23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09" w:type="dxa"/>
            <w:vAlign w:val="top"/>
          </w:tcPr>
          <w:p>
            <w:pPr>
              <w:spacing w:before="241" w:line="219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41" w:line="220" w:lineRule="auto"/>
              <w:ind w:left="25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3" w:hRule="atLeast"/>
        </w:trPr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项目预算</w:t>
            </w:r>
          </w:p>
          <w:p>
            <w:pPr>
              <w:spacing w:before="47" w:line="220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及预期绩</w:t>
            </w:r>
          </w:p>
          <w:p>
            <w:pPr>
              <w:spacing w:before="95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效目标编</w:t>
            </w:r>
          </w:p>
          <w:p>
            <w:pPr>
              <w:spacing w:before="57"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制水平</w:t>
            </w:r>
          </w:p>
        </w:tc>
        <w:tc>
          <w:tcPr>
            <w:tcW w:w="70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191" w:line="345" w:lineRule="auto"/>
              <w:ind w:left="132" w:right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1、项目预算(即投入目标)的科学、合理性，5分。项目预算编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制存在下列问题的，各扣1分，扣完为止：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(1)项目设置与部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>门(单位)履职无关或与部门(单位)职能衔接不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够，与其他项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目存在重叠交叉；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(2)将由非本级政府(财政)承担的事项列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入本级项目支出责任范围；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(3)项目支出事项测算没有具体的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数量、规格、型号或人数、天数等基本信息；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(4)项目支出事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项测算与市场价格相差很远，或没有体现厉行节约原则；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(5)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将未经政府批准，或未受委托履行政府职能的中介机构、协会、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学会等非预算单位的经费补助编入项目预算；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(6)将接待经费、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未经批准的临时人员工资或没有依据的津补贴、奖金、福利等编</w:t>
            </w:r>
          </w:p>
          <w:p>
            <w:pPr>
              <w:spacing w:line="218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入项目预算；(7)将没有具体内容的"其他”、"不可预见费"和"机</w:t>
            </w:r>
          </w:p>
          <w:p>
            <w:pPr>
              <w:spacing w:before="17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动经费"等编入项目预算。</w:t>
            </w:r>
          </w:p>
          <w:p>
            <w:pPr>
              <w:spacing w:before="127" w:line="353" w:lineRule="auto"/>
              <w:ind w:left="132" w:right="7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2、项目预期绩效目标的完整性、相关性，3分。申报的产出或效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果类绩效目标没有设定相关联的绩效指标，各扣0.8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分；设置的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产出或效果类关键性指标可以量化而没有量化的，各扣0.7分；</w:t>
            </w:r>
          </w:p>
          <w:p>
            <w:pPr>
              <w:spacing w:before="12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没有申报项目预期绩效目标的，不得分。</w:t>
            </w:r>
          </w:p>
          <w:p>
            <w:pPr>
              <w:spacing w:before="168" w:line="343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3、项目预算(投入目标)与项目产出、效果目标的匹配性，2分。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在既定资金规模下，项目产出、效果目标过高或过低；或者要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完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成既定项目产出、效果目标，资金规模过大或过小的，不得分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；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没有申报绩效目标，无法判定项目投入目标与产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出、效果目标的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匹配性的，不得分。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34" w:type="dxa"/>
            <w:vAlign w:val="top"/>
          </w:tcPr>
          <w:p>
            <w:pPr>
              <w:spacing w:before="147" w:line="340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position w:val="7"/>
                <w:sz w:val="23"/>
                <w:szCs w:val="23"/>
              </w:rPr>
              <w:t>预算</w:t>
            </w:r>
          </w:p>
          <w:p>
            <w:pPr>
              <w:spacing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执行率</w:t>
            </w:r>
          </w:p>
        </w:tc>
        <w:tc>
          <w:tcPr>
            <w:tcW w:w="70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5" w:line="216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预算执行率S≥95%,得满分；每下降1%,扣0.25分，扣完为止。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334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194" w:right="19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项目组织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管理水平</w:t>
            </w:r>
          </w:p>
        </w:tc>
        <w:tc>
          <w:tcPr>
            <w:tcW w:w="70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4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1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1、建立健全项目管理制度，得4分。</w:t>
            </w:r>
          </w:p>
          <w:p>
            <w:pPr>
              <w:spacing w:before="175" w:line="286" w:lineRule="auto"/>
              <w:ind w:left="132" w:right="5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2、严格执行项目管理制度，得6分。其中，购买商品、工程和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服务不依法政府采购或工程项目不按规定招投标的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，不得分。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10" w:h="16840"/>
          <w:pgMar w:top="1408" w:right="1524" w:bottom="1126" w:left="1415" w:header="0" w:footer="947" w:gutter="0"/>
          <w:cols w:space="720" w:num="1"/>
        </w:sectPr>
      </w:pPr>
    </w:p>
    <w:p>
      <w:pPr>
        <w:spacing w:line="141" w:lineRule="auto"/>
        <w:rPr>
          <w:rFonts w:ascii="Arial"/>
          <w:sz w:val="2"/>
        </w:rPr>
      </w:pPr>
    </w:p>
    <w:tbl>
      <w:tblPr>
        <w:tblStyle w:val="6"/>
        <w:tblW w:w="89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73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324" w:type="dxa"/>
            <w:vAlign w:val="top"/>
          </w:tcPr>
          <w:p>
            <w:pPr>
              <w:spacing w:before="22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39" w:type="dxa"/>
            <w:vAlign w:val="top"/>
          </w:tcPr>
          <w:p>
            <w:pPr>
              <w:spacing w:before="231" w:line="219" w:lineRule="auto"/>
              <w:ind w:left="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31" w:line="220" w:lineRule="auto"/>
              <w:ind w:left="2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6" w:hRule="atLeast"/>
        </w:trPr>
        <w:tc>
          <w:tcPr>
            <w:tcW w:w="132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75" w:line="264" w:lineRule="auto"/>
              <w:ind w:left="194" w:right="1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资金支出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合理合规</w:t>
            </w:r>
          </w:p>
        </w:tc>
        <w:tc>
          <w:tcPr>
            <w:tcW w:w="73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89" w:line="481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position w:val="19"/>
                <w:sz w:val="23"/>
                <w:szCs w:val="23"/>
              </w:rPr>
              <w:t>资金支出合理合规比率=(项目资金支出-不合理合规资金支出)/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项目资金支出×100%。</w:t>
            </w:r>
          </w:p>
          <w:p>
            <w:pPr>
              <w:spacing w:before="162" w:line="368" w:lineRule="auto"/>
              <w:ind w:left="132" w:right="65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不合理合规资金支出是指项目资金支出超出项目预算范围，与本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项目预算不相符、无关或不符合国家财经法规和财务管理制度以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及专项资金管理办法等规定的支出，如以虚报、冒领等手段骗取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财政资金；截留、挪用财政资金；滞留应当下拨的财政资金；违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反规定扩大开支范围，提高开支标准；违规发放津贴补贴；白条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>入账等。</w:t>
            </w:r>
          </w:p>
          <w:p>
            <w:pPr>
              <w:spacing w:before="203" w:line="453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position w:val="17"/>
                <w:sz w:val="23"/>
                <w:szCs w:val="23"/>
              </w:rPr>
              <w:t>资金支出合理合规比率S=100%,得满分；每下降1%,扣1分，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3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75" w:line="349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项</w:t>
            </w:r>
            <w:r>
              <w:rPr>
                <w:rFonts w:ascii="宋体" w:hAnsi="宋体" w:eastAsia="宋体" w:cs="宋体"/>
                <w:spacing w:val="-6"/>
                <w:position w:val="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目</w:t>
            </w:r>
          </w:p>
          <w:p>
            <w:pPr>
              <w:spacing w:line="219" w:lineRule="auto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产出</w:t>
            </w:r>
          </w:p>
        </w:tc>
        <w:tc>
          <w:tcPr>
            <w:tcW w:w="73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30</w:t>
            </w:r>
          </w:p>
        </w:tc>
        <w:tc>
          <w:tcPr>
            <w:tcW w:w="6917" w:type="dxa"/>
            <w:vAlign w:val="top"/>
          </w:tcPr>
          <w:p>
            <w:pPr>
              <w:spacing w:before="269" w:line="372" w:lineRule="auto"/>
              <w:ind w:left="112" w:right="84" w:firstLine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要求根据项目性质和项目预期绩效目标(产出类目标)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>,细化为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产出数量、产出质量、产出时效、成本控制等方面进行评价。具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体指标可量化的，按完成量化比例计分；具体指标不可量化的，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按工作完成程度定性分成：完成、基本完成、基本未完成、未执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行四档，分别按100%、90%-60%、50%-</w:t>
            </w:r>
            <w:r>
              <w:rPr>
                <w:rFonts w:ascii="宋体" w:hAnsi="宋体" w:eastAsia="宋体" w:cs="宋体"/>
                <w:spacing w:val="-5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>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132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75" w:line="246" w:lineRule="auto"/>
              <w:ind w:left="304" w:right="18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项目效益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(效果)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20</w:t>
            </w:r>
          </w:p>
        </w:tc>
        <w:tc>
          <w:tcPr>
            <w:tcW w:w="6917" w:type="dxa"/>
            <w:vAlign w:val="top"/>
          </w:tcPr>
          <w:p>
            <w:pPr>
              <w:spacing w:before="228" w:line="372" w:lineRule="auto"/>
              <w:ind w:left="132" w:right="6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要求根据项目性质和项目预期绩效目标(效益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或效果类目标),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细化为经济效益、社会效益、环境效益和可持续影响及服务对象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满意度等具体绩效指标进行评价。具体指标可量化的，按取得效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益或效果的量化比例计分；不可量化的，按目标达到程度分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成：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达到、基本达到、基本未达到、未达到四档，分别按100%、90%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-60%、50%-</w:t>
            </w:r>
            <w:r>
              <w:rPr>
                <w:rFonts w:ascii="宋体" w:hAnsi="宋体" w:eastAsia="宋体" w:cs="宋体"/>
                <w:spacing w:val="-5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3" w:hRule="atLeast"/>
        </w:trPr>
        <w:tc>
          <w:tcPr>
            <w:tcW w:w="132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75" w:line="242" w:lineRule="auto"/>
              <w:ind w:left="304" w:right="20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服务对象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满意度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4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服务对象满意度计分：</w:t>
            </w:r>
          </w:p>
          <w:p>
            <w:pPr>
              <w:spacing w:before="36" w:line="37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9"/>
                <w:position w:val="10"/>
                <w:sz w:val="23"/>
                <w:szCs w:val="23"/>
              </w:rPr>
              <w:t>90%≤满意度≤100%记10分，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80%≤满意度&lt;90%记8分，</w:t>
            </w:r>
          </w:p>
          <w:p>
            <w:pPr>
              <w:spacing w:before="3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70%≤满意度&lt;80%</w:t>
            </w:r>
            <w:r>
              <w:rPr>
                <w:rFonts w:ascii="宋体" w:hAnsi="宋体" w:eastAsia="宋体" w:cs="宋体"/>
                <w:spacing w:val="4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记6分，</w:t>
            </w:r>
          </w:p>
          <w:p>
            <w:pPr>
              <w:spacing w:before="96" w:line="35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position w:val="8"/>
                <w:sz w:val="23"/>
                <w:szCs w:val="23"/>
              </w:rPr>
              <w:t>60%≤满意度&lt;70%记4分，</w:t>
            </w:r>
          </w:p>
          <w:p>
            <w:pPr>
              <w:spacing w:before="1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满意度&lt;60%记0分。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10" w:h="16840"/>
          <w:pgMar w:top="1431" w:right="1514" w:bottom="1126" w:left="1405" w:header="0" w:footer="947" w:gutter="0"/>
          <w:cols w:space="720" w:num="1"/>
        </w:sectPr>
      </w:pPr>
    </w:p>
    <w:p>
      <w:pPr>
        <w:spacing w:before="224" w:line="222" w:lineRule="auto"/>
        <w:ind w:left="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1"/>
          <w:sz w:val="31"/>
          <w:szCs w:val="31"/>
        </w:rPr>
        <w:t>附件2-3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市场监督管理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局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22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年项目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支出绩效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自评报告</w:t>
      </w:r>
    </w:p>
    <w:p>
      <w:pPr>
        <w:ind w:firstLine="1920" w:firstLineChars="6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2022年中央食品监管补助资金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before="244" w:line="222" w:lineRule="auto"/>
        <w:ind w:left="3710"/>
        <w:rPr>
          <w:rFonts w:ascii="仿宋" w:hAnsi="仿宋" w:eastAsia="仿宋" w:cs="仿宋"/>
          <w:sz w:val="31"/>
          <w:szCs w:val="3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01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一、基本情况</w:t>
      </w:r>
    </w:p>
    <w:p>
      <w:pPr>
        <w:spacing w:before="181" w:line="560" w:lineRule="exact"/>
        <w:ind w:left="7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18"/>
          <w:sz w:val="31"/>
          <w:szCs w:val="31"/>
        </w:rPr>
        <w:t>(一)项目概况。包括项目背景、主要内容及实施情况、资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540" w:lineRule="exact"/>
        <w:ind w:firstLine="620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金投入和使用情况等。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2022年中央食品监管补助资金---重视食品安全工作且资金困难地区项目资金（重点因素）10万元。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依据《</w:t>
      </w:r>
      <w:r>
        <w:rPr>
          <w:rFonts w:hint="eastAsia" w:ascii="仿宋" w:hAnsi="仿宋" w:eastAsia="仿宋" w:cs="仿宋"/>
          <w:sz w:val="32"/>
          <w:szCs w:val="32"/>
        </w:rPr>
        <w:t>关于下达2022年中央食品监管补助资金的通知》（湘市监财函〔2022〕9号）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文件，省财政厅核拨新晃县市场监督管理局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食品监管补助资金---重视食品安全工作且资金困难地区项目资金（重点因素）10万元。资金主要安排用于监管队伍能力建设和食品安全宣传科普等方面，进一步巩固食安创建成果，确保全区食品安全可控，持续稳定提高人民群众及食品相关从业人员的安全意识，推进监管人员工作能力提升。</w:t>
      </w:r>
    </w:p>
    <w:p>
      <w:pPr>
        <w:spacing w:before="1" w:line="222" w:lineRule="auto"/>
        <w:rPr>
          <w:rFonts w:ascii="仿宋" w:hAnsi="仿宋" w:eastAsia="仿宋" w:cs="仿宋"/>
          <w:sz w:val="31"/>
          <w:szCs w:val="3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76" w:firstLineChars="200"/>
        <w:textAlignment w:val="baseline"/>
        <w:rPr>
          <w:rFonts w:hint="eastAsia" w:ascii="仿宋_GB2312" w:hAnsi="黑体" w:eastAsia="仿宋_GB2312"/>
          <w:b w:val="0"/>
          <w:bCs/>
          <w:color w:val="auto"/>
          <w:sz w:val="32"/>
          <w:szCs w:val="32"/>
        </w:rPr>
      </w:pPr>
      <w:r>
        <w:rPr>
          <w:rFonts w:ascii="仿宋" w:hAnsi="仿宋" w:eastAsia="仿宋" w:cs="仿宋"/>
          <w:spacing w:val="14"/>
          <w:sz w:val="31"/>
          <w:szCs w:val="31"/>
        </w:rPr>
        <w:t>(二)项目绩效目标。包括总体目标和阶段性目标。</w:t>
      </w:r>
      <w:r>
        <w:rPr>
          <w:rFonts w:hint="eastAsia" w:ascii="仿宋_GB2312" w:hAnsi="黑体" w:eastAsia="仿宋_GB2312"/>
          <w:b w:val="0"/>
          <w:bCs/>
          <w:color w:val="auto"/>
          <w:sz w:val="32"/>
          <w:szCs w:val="32"/>
        </w:rPr>
        <w:t>1、完成食品安全抽样检验工作，完成省、市局下达食品安全监管工作；2、突出重点食品监管，开展专项整治；3、组织对食品企业的现场检查；4、开展2022年食品安全宣传周活动；5、对全局监管队伍及监管对象进行专业知识培训；</w:t>
      </w:r>
    </w:p>
    <w:p>
      <w:pPr>
        <w:spacing w:before="183" w:line="220" w:lineRule="auto"/>
        <w:ind w:left="760"/>
        <w:rPr>
          <w:rFonts w:ascii="仿宋" w:hAnsi="仿宋" w:eastAsia="仿宋" w:cs="仿宋"/>
          <w:sz w:val="31"/>
          <w:szCs w:val="31"/>
        </w:rPr>
      </w:pPr>
    </w:p>
    <w:p>
      <w:pPr>
        <w:spacing w:before="184" w:line="218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二、</w:t>
      </w:r>
      <w:r>
        <w:rPr>
          <w:rFonts w:ascii="宋体" w:hAnsi="宋体" w:eastAsia="宋体" w:cs="宋体"/>
          <w:spacing w:val="-5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绩效评价工作开展情况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684" w:firstLineChars="200"/>
        <w:jc w:val="both"/>
        <w:textAlignment w:val="baseline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16"/>
          <w:sz w:val="31"/>
          <w:szCs w:val="31"/>
        </w:rPr>
        <w:t>(一)绩效评价目的、对象和范围。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绩效评价目的是为进一步规范专项资金管理，强化绩效和责任意识，切实提高专项资金使用效益。评价对象为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2022年中央食品监管补助资金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项目。评价范围包括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2022年中央食品监管补助资金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</w:t>
      </w:r>
      <w:r>
        <w:rPr>
          <w:rFonts w:hint="eastAsia" w:ascii="仿宋" w:hAnsi="仿宋" w:eastAsia="仿宋" w:cs="仿宋"/>
          <w:spacing w:val="16"/>
          <w:sz w:val="31"/>
          <w:szCs w:val="31"/>
          <w:lang w:val="en-US" w:eastAsia="zh-CN"/>
        </w:rPr>
        <w:t xml:space="preserve"> </w:t>
      </w:r>
    </w:p>
    <w:p>
      <w:pPr>
        <w:spacing w:before="177" w:line="222" w:lineRule="auto"/>
        <w:ind w:left="7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(二)绩效评价原则、评价指标体系(附表说明)、评价方</w:t>
      </w:r>
    </w:p>
    <w:p>
      <w:pPr>
        <w:spacing w:before="177" w:line="222" w:lineRule="auto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法、评价标准等。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4" w:firstLineChars="200"/>
        <w:textAlignment w:val="baseline"/>
      </w:pPr>
      <w:r>
        <w:rPr>
          <w:rFonts w:hint="eastAsia" w:ascii="仿宋" w:hAnsi="仿宋" w:eastAsia="仿宋" w:cs="仿宋"/>
          <w:spacing w:val="1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numPr>
          <w:ilvl w:val="0"/>
          <w:numId w:val="1"/>
        </w:numPr>
        <w:spacing w:before="173" w:line="220" w:lineRule="auto"/>
        <w:ind w:left="760"/>
        <w:rPr>
          <w:rFonts w:ascii="仿宋" w:hAnsi="仿宋" w:eastAsia="仿宋" w:cs="仿宋"/>
          <w:spacing w:val="18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绩效评价工作过程。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12" w:firstLineChars="200"/>
        <w:textAlignment w:val="baseline"/>
      </w:pPr>
      <w:r>
        <w:rPr>
          <w:rFonts w:hint="eastAsia" w:ascii="仿宋" w:hAnsi="仿宋" w:eastAsia="仿宋" w:cs="仿宋"/>
          <w:spacing w:val="18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食用农产品抽检监测项目</w:t>
      </w:r>
      <w:r>
        <w:rPr>
          <w:rFonts w:hint="eastAsia" w:ascii="仿宋" w:hAnsi="仿宋" w:eastAsia="仿宋" w:cs="仿宋"/>
          <w:spacing w:val="18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>
      <w:pPr>
        <w:numPr>
          <w:ilvl w:val="0"/>
          <w:numId w:val="2"/>
        </w:numPr>
        <w:spacing w:before="204" w:line="218" w:lineRule="auto"/>
        <w:ind w:left="630"/>
        <w:rPr>
          <w:rFonts w:ascii="宋体" w:hAnsi="宋体" w:eastAsia="宋体" w:cs="宋体"/>
          <w:spacing w:val="14"/>
          <w:sz w:val="31"/>
          <w:szCs w:val="31"/>
        </w:rPr>
      </w:pPr>
      <w:r>
        <w:rPr>
          <w:rFonts w:ascii="宋体" w:hAnsi="宋体" w:eastAsia="宋体" w:cs="宋体"/>
          <w:spacing w:val="14"/>
          <w:sz w:val="31"/>
          <w:szCs w:val="31"/>
        </w:rPr>
        <w:t>综合评价情况及评价结论(附相关评分表)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4" w:line="360" w:lineRule="auto"/>
        <w:textAlignment w:val="baseline"/>
      </w:pPr>
      <w:r>
        <w:rPr>
          <w:rFonts w:hint="eastAsia" w:ascii="仿宋" w:hAnsi="仿宋" w:eastAsia="仿宋" w:cs="仿宋"/>
          <w:spacing w:val="14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分，绩效评价等级为“优”。</w:t>
      </w:r>
    </w:p>
    <w:p>
      <w:pPr>
        <w:numPr>
          <w:ilvl w:val="0"/>
          <w:numId w:val="2"/>
        </w:numPr>
        <w:spacing w:line="625" w:lineRule="exact"/>
        <w:ind w:left="630" w:leftChars="0" w:firstLine="0" w:firstLineChars="0"/>
        <w:rPr>
          <w:rFonts w:ascii="仿宋" w:hAnsi="仿宋" w:eastAsia="仿宋" w:cs="仿宋"/>
          <w:spacing w:val="20"/>
          <w:sz w:val="31"/>
          <w:szCs w:val="31"/>
        </w:rPr>
      </w:pPr>
      <w:r>
        <w:rPr>
          <w:rFonts w:ascii="宋体" w:hAnsi="宋体" w:eastAsia="宋体" w:cs="宋体"/>
          <w:spacing w:val="-1"/>
          <w:sz w:val="31"/>
          <w:szCs w:val="31"/>
        </w:rPr>
        <w:t>绩效评价指标分析</w:t>
      </w:r>
      <w:r>
        <w:rPr>
          <w:rFonts w:ascii="宋体" w:hAnsi="宋体" w:eastAsia="宋体" w:cs="宋体"/>
          <w:sz w:val="31"/>
          <w:szCs w:val="31"/>
        </w:rPr>
        <w:t xml:space="preserve"> </w:t>
      </w:r>
    </w:p>
    <w:p>
      <w:pPr>
        <w:numPr>
          <w:numId w:val="0"/>
        </w:numPr>
        <w:spacing w:line="625" w:lineRule="exact"/>
        <w:ind w:left="630" w:leftChars="0"/>
        <w:rPr>
          <w:rFonts w:ascii="仿宋" w:hAnsi="仿宋" w:eastAsia="仿宋" w:cs="仿宋"/>
          <w:spacing w:val="20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(一)项目决策情况。</w:t>
      </w:r>
    </w:p>
    <w:p>
      <w:pPr>
        <w:numPr>
          <w:numId w:val="0"/>
        </w:numPr>
        <w:spacing w:line="625" w:lineRule="exact"/>
        <w:ind w:firstLine="64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根据年初项目绩效申报，依据</w:t>
      </w:r>
      <w:r>
        <w:rPr>
          <w:rFonts w:hint="eastAsia" w:ascii="仿宋" w:hAnsi="仿宋" w:eastAsia="仿宋" w:cs="仿宋"/>
          <w:sz w:val="32"/>
          <w:szCs w:val="32"/>
        </w:rPr>
        <w:t>《湖南省市场监督管理局关于中央食品监管补助资金绩效管理办法（试行）》（湘市监办发〔2020〕6号）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文件规定实施落实开展相关工作。</w:t>
      </w:r>
    </w:p>
    <w:p>
      <w:pPr>
        <w:numPr>
          <w:ilvl w:val="0"/>
          <w:numId w:val="3"/>
        </w:numPr>
        <w:spacing w:line="625" w:lineRule="exact"/>
        <w:ind w:firstLine="700" w:firstLineChars="200"/>
        <w:rPr>
          <w:rFonts w:ascii="仿宋" w:hAnsi="仿宋" w:eastAsia="仿宋" w:cs="仿宋"/>
          <w:spacing w:val="20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项目过程情况。</w:t>
      </w:r>
    </w:p>
    <w:p>
      <w:pPr>
        <w:numPr>
          <w:numId w:val="0"/>
        </w:numPr>
        <w:spacing w:line="625" w:lineRule="exact"/>
        <w:ind w:firstLine="64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依据</w:t>
      </w:r>
      <w:r>
        <w:rPr>
          <w:rFonts w:hint="eastAsia" w:ascii="仿宋" w:hAnsi="仿宋" w:eastAsia="仿宋" w:cs="仿宋"/>
          <w:sz w:val="32"/>
          <w:szCs w:val="32"/>
        </w:rPr>
        <w:t>《市场监管部门食品药品监管补助资金（食品部分）绩效管理实施细则（试行）》（市监科财〔2019〕71号）；湖南省财政厅 湖南省市场监督管理局《湖南省市场监督管理专项资金管理办法》（湘财行〔2019〕9号）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相关文件规定开展资金管理使用。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360" w:lineRule="auto"/>
        <w:ind w:left="0" w:leftChars="0" w:firstLine="70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0"/>
          <w:sz w:val="31"/>
          <w:szCs w:val="31"/>
        </w:rPr>
        <w:t>项目产出情况。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360" w:lineRule="auto"/>
        <w:ind w:firstLine="67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完成食品安全宣传</w:t>
      </w: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1次，监管队伍及监管对象进行专业知识培训各1次。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抽检食品及食用农产品1084批次（包括检测中心304批次），合格1065批次，食品安全评价性抽检整体合格率98.25%。国家食品抽检不合格食品核查处置率100%</w:t>
      </w:r>
    </w:p>
    <w:p>
      <w:pPr>
        <w:numPr>
          <w:ilvl w:val="0"/>
          <w:numId w:val="3"/>
        </w:numPr>
        <w:ind w:left="0" w:leftChars="0" w:firstLine="700" w:firstLineChars="200"/>
        <w:rPr>
          <w:rFonts w:ascii="仿宋" w:hAnsi="仿宋" w:eastAsia="仿宋" w:cs="仿宋"/>
          <w:spacing w:val="20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项目效益情况。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年来，在上级党委、政府的坚强领导和各部门的积极配合下，牢固树立“以人为本、执政为民、食安为先”理念，以创建省级食品安全示范县为抓手，认真贯彻落实《食品安全法》、《食品安全法实施条例》，积极落实各项目标任务，切实提高食品安全监管能力水平。连续六年确保了食品安全“零”事故。</w:t>
      </w:r>
    </w:p>
    <w:p>
      <w:pPr>
        <w:spacing w:before="199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五、</w:t>
      </w:r>
      <w:r>
        <w:rPr>
          <w:rFonts w:ascii="宋体" w:hAnsi="宋体" w:eastAsia="宋体" w:cs="宋体"/>
          <w:spacing w:val="-5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</w:rPr>
        <w:t>主要经验及做法、存在的问题及原因分析</w:t>
      </w:r>
    </w:p>
    <w:p>
      <w:pPr>
        <w:spacing w:before="183" w:line="220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9"/>
          <w:sz w:val="31"/>
          <w:szCs w:val="31"/>
        </w:rPr>
        <w:t>六、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9"/>
          <w:sz w:val="31"/>
          <w:szCs w:val="31"/>
        </w:rPr>
        <w:t>有关建议</w:t>
      </w:r>
    </w:p>
    <w:p>
      <w:pPr>
        <w:spacing w:before="180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七、其他需要说明的问题</w:t>
      </w:r>
    </w:p>
    <w:p>
      <w:pPr>
        <w:spacing w:line="311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before="101" w:line="633" w:lineRule="exact"/>
        <w:ind w:firstLine="5820" w:firstLineChars="15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9"/>
          <w:position w:val="24"/>
          <w:sz w:val="31"/>
          <w:szCs w:val="31"/>
        </w:rPr>
        <w:t>项目单位(签)</w:t>
      </w:r>
    </w:p>
    <w:p>
      <w:pPr>
        <w:spacing w:line="222" w:lineRule="auto"/>
        <w:ind w:firstLine="5628" w:firstLineChars="2100"/>
        <w:rPr>
          <w:rFonts w:hint="eastAsia" w:eastAsia="仿宋"/>
          <w:lang w:val="en-US" w:eastAsia="zh-CN"/>
        </w:rPr>
        <w:sectPr>
          <w:footerReference r:id="rId8" w:type="default"/>
          <w:pgSz w:w="11910" w:h="16840"/>
          <w:pgMar w:top="1431" w:right="1567" w:bottom="1126" w:left="1539" w:header="0" w:footer="947" w:gutter="0"/>
          <w:cols w:space="720" w:num="1"/>
        </w:sectPr>
      </w:pP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>2023</w:t>
      </w:r>
      <w:r>
        <w:rPr>
          <w:rFonts w:ascii="仿宋" w:hAnsi="仿宋" w:eastAsia="仿宋" w:cs="仿宋"/>
          <w:spacing w:val="-21"/>
          <w:sz w:val="31"/>
          <w:szCs w:val="31"/>
        </w:rPr>
        <w:t>年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17"/>
          <w:sz w:val="31"/>
          <w:szCs w:val="31"/>
          <w:lang w:val="en-US" w:eastAsia="zh-CN"/>
        </w:rPr>
        <w:t>6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1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 xml:space="preserve"> 3 </w:t>
      </w:r>
      <w:r>
        <w:rPr>
          <w:rFonts w:hint="eastAsia" w:ascii="仿宋" w:hAnsi="仿宋" w:eastAsia="仿宋" w:cs="仿宋"/>
          <w:spacing w:val="-21"/>
          <w:sz w:val="31"/>
          <w:szCs w:val="31"/>
          <w:lang w:eastAsia="zh-CN"/>
        </w:rPr>
        <w:t>日</w:t>
      </w:r>
    </w:p>
    <w:p>
      <w:pPr>
        <w:spacing w:before="86" w:line="256" w:lineRule="auto"/>
        <w:ind w:right="779"/>
        <w:rPr>
          <w:rFonts w:ascii="仿宋" w:hAnsi="仿宋" w:eastAsia="仿宋" w:cs="仿宋"/>
          <w:sz w:val="25"/>
          <w:szCs w:val="25"/>
        </w:rPr>
      </w:pPr>
    </w:p>
    <w:sectPr>
      <w:footerReference r:id="rId9" w:type="default"/>
      <w:pgSz w:w="11910" w:h="16840"/>
      <w:pgMar w:top="1431" w:right="1214" w:bottom="1126" w:left="1205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764"/>
      <w:rPr>
        <w:rFonts w:ascii="宋体" w:hAnsi="宋体" w:eastAsia="宋体" w:cs="宋体"/>
        <w:sz w:val="19"/>
        <w:szCs w:val="19"/>
      </w:rPr>
    </w:pPr>
    <w:r>
      <w:rPr>
        <w:rFonts w:ascii="宋体" w:hAnsi="宋体" w:eastAsia="宋体" w:cs="宋体"/>
        <w:spacing w:val="-6"/>
        <w:sz w:val="19"/>
        <w:szCs w:val="19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2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34"/>
      <w:rPr>
        <w:rFonts w:ascii="宋体" w:hAnsi="宋体" w:eastAsia="宋体" w:cs="宋体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89"/>
      <w:rPr>
        <w:rFonts w:ascii="宋体" w:hAnsi="宋体" w:eastAsia="宋体" w:cs="宋体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634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05E48F"/>
    <w:multiLevelType w:val="singleLevel"/>
    <w:tmpl w:val="FE05E48F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0E8B8292"/>
    <w:multiLevelType w:val="singleLevel"/>
    <w:tmpl w:val="0E8B8292"/>
    <w:lvl w:ilvl="0" w:tentative="0">
      <w:start w:val="3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395CFC17"/>
    <w:multiLevelType w:val="singleLevel"/>
    <w:tmpl w:val="395CFC17"/>
    <w:lvl w:ilvl="0" w:tentative="0">
      <w:start w:val="3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Y0NTc3NmZjZDdiMWJhZWYxOTcyNDRiZmVkYzQ0ZmIifQ=="/>
  </w:docVars>
  <w:rsids>
    <w:rsidRoot w:val="00000000"/>
    <w:rsid w:val="12AC208B"/>
    <w:rsid w:val="15861753"/>
    <w:rsid w:val="1E4B3E2D"/>
    <w:rsid w:val="306278E5"/>
    <w:rsid w:val="33490893"/>
    <w:rsid w:val="373346D3"/>
    <w:rsid w:val="476160D2"/>
    <w:rsid w:val="4A291C66"/>
    <w:rsid w:val="57241254"/>
    <w:rsid w:val="774301E7"/>
    <w:rsid w:val="7B356871"/>
    <w:rsid w:val="7DA57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31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2515</Words>
  <Characters>2748</Characters>
  <TotalTime>5</TotalTime>
  <ScaleCrop>false</ScaleCrop>
  <LinksUpToDate>false</LinksUpToDate>
  <CharactersWithSpaces>2900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2023-05-17T22:03:00Z</dcterms:created>
  <dc:creator>Kingsoft-PDF</dc:creator>
  <cp:lastModifiedBy>Administrator</cp:lastModifiedBy>
  <dcterms:modified xsi:type="dcterms:W3CDTF">2023-06-03T08:01:30Z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2023-05-17T22:03:07Z</vt:filetime>
  </property>
  <property fmtid="{D5CDD505-2E9C-101B-9397-08002B2CF9AE}" pid="4" name="UsrData">
    <vt:lpwstr>6464de8a08722f001ec8f80d</vt:lpwstr>
  </property>
  <property fmtid="{D5CDD505-2E9C-101B-9397-08002B2CF9AE}" pid="5" name="KSOProductBuildVer">
    <vt:lpwstr>2052-11.1.0.14309</vt:lpwstr>
  </property>
  <property fmtid="{D5CDD505-2E9C-101B-9397-08002B2CF9AE}" pid="6" name="ICV">
    <vt:lpwstr>FA19AC3EC51A439C8817C71AD71CF44E_12</vt:lpwstr>
  </property>
</Properties>
</file>