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ind w:left="150"/>
        <w:spacing w:before="403" w:line="219" w:lineRule="auto"/>
        <w:rPr>
          <w:rFonts w:ascii="SimSun" w:hAnsi="SimSun" w:eastAsia="SimSun" w:cs="SimSun"/>
          <w:sz w:val="124"/>
          <w:szCs w:val="124"/>
        </w:rPr>
      </w:pPr>
      <w:r>
        <w:rPr>
          <w:rFonts w:ascii="SimSun" w:hAnsi="SimSun" w:eastAsia="SimSun" w:cs="SimSun"/>
          <w:sz w:val="124"/>
          <w:szCs w:val="124"/>
          <w:b/>
          <w:bCs/>
          <w:color w:val="FF2100"/>
          <w:spacing w:val="-84"/>
          <w:w w:val="63"/>
        </w:rPr>
        <w:t>新晃侗族自治县财政局文件</w:t>
      </w:r>
    </w:p>
    <w:p>
      <w:pPr>
        <w:spacing w:line="394" w:lineRule="auto"/>
        <w:rPr>
          <w:rFonts w:ascii="Arial"/>
          <w:sz w:val="21"/>
        </w:rPr>
      </w:pPr>
      <w:r/>
    </w:p>
    <w:p>
      <w:pPr>
        <w:ind w:left="2940"/>
        <w:spacing w:before="111" w:line="223" w:lineRule="auto"/>
        <w:rPr>
          <w:rFonts w:ascii="FangSong" w:hAnsi="FangSong" w:eastAsia="FangSong" w:cs="FangSong"/>
          <w:sz w:val="34"/>
          <w:szCs w:val="34"/>
        </w:rPr>
      </w:pPr>
      <w:r>
        <w:rPr>
          <w:rFonts w:ascii="FangSong" w:hAnsi="FangSong" w:eastAsia="FangSong" w:cs="FangSong"/>
          <w:sz w:val="34"/>
          <w:szCs w:val="34"/>
          <w:spacing w:val="-18"/>
        </w:rPr>
        <w:t>晃财绩〔2023〕24</w:t>
      </w:r>
      <w:r>
        <w:rPr>
          <w:rFonts w:ascii="FangSong" w:hAnsi="FangSong" w:eastAsia="FangSong" w:cs="FangSong"/>
          <w:sz w:val="34"/>
          <w:szCs w:val="34"/>
          <w:spacing w:val="-46"/>
        </w:rPr>
        <w:t xml:space="preserve"> </w:t>
      </w:r>
      <w:r>
        <w:rPr>
          <w:rFonts w:ascii="FangSong" w:hAnsi="FangSong" w:eastAsia="FangSong" w:cs="FangSong"/>
          <w:sz w:val="34"/>
          <w:szCs w:val="34"/>
          <w:spacing w:val="-18"/>
        </w:rPr>
        <w:t>号</w:t>
      </w:r>
    </w:p>
    <w:p>
      <w:pPr>
        <w:spacing w:line="304" w:lineRule="auto"/>
        <w:rPr>
          <w:rFonts w:ascii="Arial"/>
          <w:sz w:val="21"/>
        </w:rPr>
      </w:pPr>
      <w:r/>
    </w:p>
    <w:p>
      <w:pPr>
        <w:spacing w:line="60" w:lineRule="exact"/>
        <w:textAlignment w:val="center"/>
        <w:rPr/>
      </w:pPr>
      <w:r>
        <w:drawing>
          <wp:inline distT="0" distB="0" distL="0" distR="0">
            <wp:extent cx="5607096" cy="38068"/>
            <wp:effectExtent l="0" t="0" r="0" b="0"/>
            <wp:docPr id="1" name="IM 1"/>
            <wp:cNvGraphicFramePr/>
            <a:graphic>
              <a:graphicData uri="http://schemas.openxmlformats.org/drawingml/2006/picture">
                <pic:pic>
                  <pic:nvPicPr>
                    <pic:cNvPr id="1" name="IM 1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607096" cy="38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196"/>
        <w:spacing w:before="313" w:line="220" w:lineRule="auto"/>
        <w:rPr>
          <w:rFonts w:ascii="SimSun" w:hAnsi="SimSun" w:eastAsia="SimSun" w:cs="SimSun"/>
          <w:sz w:val="44"/>
          <w:szCs w:val="44"/>
        </w:rPr>
      </w:pPr>
      <w:r>
        <w:rPr>
          <w:rFonts w:ascii="SimSun" w:hAnsi="SimSun" w:eastAsia="SimSun" w:cs="SimSun"/>
          <w:sz w:val="44"/>
          <w:szCs w:val="44"/>
          <w:b/>
          <w:bCs/>
          <w:spacing w:val="-7"/>
        </w:rPr>
        <w:t>新晃侗族自治县财政局</w:t>
      </w:r>
    </w:p>
    <w:p>
      <w:pPr>
        <w:ind w:left="766"/>
        <w:spacing w:before="94" w:line="219" w:lineRule="auto"/>
        <w:rPr>
          <w:rFonts w:ascii="SimSun" w:hAnsi="SimSun" w:eastAsia="SimSun" w:cs="SimSun"/>
          <w:sz w:val="44"/>
          <w:szCs w:val="44"/>
        </w:rPr>
      </w:pPr>
      <w:r>
        <w:rPr>
          <w:rFonts w:ascii="SimSun" w:hAnsi="SimSun" w:eastAsia="SimSun" w:cs="SimSun"/>
          <w:sz w:val="44"/>
          <w:szCs w:val="44"/>
          <w:b/>
          <w:bCs/>
          <w:spacing w:val="7"/>
        </w:rPr>
        <w:t>关于开展2022年度部门预算支出绩效</w:t>
      </w:r>
    </w:p>
    <w:p>
      <w:pPr>
        <w:ind w:left="2926"/>
        <w:spacing w:before="99" w:line="220" w:lineRule="auto"/>
        <w:rPr>
          <w:rFonts w:ascii="SimSun" w:hAnsi="SimSun" w:eastAsia="SimSun" w:cs="SimSun"/>
          <w:sz w:val="44"/>
          <w:szCs w:val="44"/>
        </w:rPr>
      </w:pPr>
      <w:r>
        <w:rPr>
          <w:rFonts w:ascii="SimSun" w:hAnsi="SimSun" w:eastAsia="SimSun" w:cs="SimSun"/>
          <w:sz w:val="44"/>
          <w:szCs w:val="44"/>
          <w:b/>
          <w:bCs/>
          <w:spacing w:val="-11"/>
        </w:rPr>
        <w:t>自评工作的通知</w:t>
      </w:r>
    </w:p>
    <w:p>
      <w:pPr>
        <w:spacing w:line="265" w:lineRule="auto"/>
        <w:rPr>
          <w:rFonts w:ascii="Arial"/>
          <w:sz w:val="21"/>
        </w:rPr>
      </w:pPr>
      <w:r/>
    </w:p>
    <w:p>
      <w:pPr>
        <w:spacing w:line="265" w:lineRule="auto"/>
        <w:rPr>
          <w:rFonts w:ascii="Arial"/>
          <w:sz w:val="21"/>
        </w:rPr>
      </w:pPr>
      <w:r/>
    </w:p>
    <w:p>
      <w:pPr>
        <w:spacing w:line="265" w:lineRule="auto"/>
        <w:rPr>
          <w:rFonts w:ascii="Arial"/>
          <w:sz w:val="21"/>
        </w:rPr>
      </w:pPr>
      <w:r/>
    </w:p>
    <w:p>
      <w:pPr>
        <w:ind w:left="140"/>
        <w:spacing w:before="111" w:line="221" w:lineRule="auto"/>
        <w:rPr>
          <w:rFonts w:ascii="FangSong" w:hAnsi="FangSong" w:eastAsia="FangSong" w:cs="FangSong"/>
          <w:sz w:val="34"/>
          <w:szCs w:val="34"/>
        </w:rPr>
      </w:pPr>
      <w:r>
        <w:rPr>
          <w:rFonts w:ascii="FangSong" w:hAnsi="FangSong" w:eastAsia="FangSong" w:cs="FangSong"/>
          <w:sz w:val="34"/>
          <w:szCs w:val="34"/>
          <w:spacing w:val="-26"/>
        </w:rPr>
        <w:t>县属各预算单位：</w:t>
      </w:r>
    </w:p>
    <w:p>
      <w:pPr>
        <w:ind w:left="140" w:right="280" w:firstLine="789"/>
        <w:spacing w:before="268" w:line="348" w:lineRule="auto"/>
        <w:rPr>
          <w:rFonts w:ascii="FangSong" w:hAnsi="FangSong" w:eastAsia="FangSong" w:cs="FangSong"/>
          <w:sz w:val="34"/>
          <w:szCs w:val="34"/>
        </w:rPr>
      </w:pPr>
      <w:r>
        <w:rPr>
          <w:rFonts w:ascii="FangSong" w:hAnsi="FangSong" w:eastAsia="FangSong" w:cs="FangSong"/>
          <w:sz w:val="34"/>
          <w:szCs w:val="34"/>
          <w:spacing w:val="-24"/>
        </w:rPr>
        <w:t>为进一步规范财政资金管理，强化部门支出责任意识，</w:t>
      </w:r>
      <w:r>
        <w:rPr>
          <w:rFonts w:ascii="FangSong" w:hAnsi="FangSong" w:eastAsia="FangSong" w:cs="FangSong"/>
          <w:sz w:val="34"/>
          <w:szCs w:val="34"/>
          <w:spacing w:val="5"/>
        </w:rPr>
        <w:t xml:space="preserve"> </w:t>
      </w:r>
      <w:r>
        <w:rPr>
          <w:rFonts w:ascii="FangSong" w:hAnsi="FangSong" w:eastAsia="FangSong" w:cs="FangSong"/>
          <w:sz w:val="34"/>
          <w:szCs w:val="34"/>
          <w:spacing w:val="-9"/>
        </w:rPr>
        <w:t>提高财政资源配置效率和使用效益，根据《中共中央国务</w:t>
      </w:r>
      <w:r>
        <w:rPr>
          <w:rFonts w:ascii="FangSong" w:hAnsi="FangSong" w:eastAsia="FangSong" w:cs="FangSong"/>
          <w:sz w:val="34"/>
          <w:szCs w:val="34"/>
          <w:spacing w:val="14"/>
        </w:rPr>
        <w:t xml:space="preserve"> </w:t>
      </w:r>
      <w:r>
        <w:rPr>
          <w:rFonts w:ascii="FangSong" w:hAnsi="FangSong" w:eastAsia="FangSong" w:cs="FangSong"/>
          <w:sz w:val="34"/>
          <w:szCs w:val="34"/>
          <w:spacing w:val="-25"/>
        </w:rPr>
        <w:t>院关于全面实施预算绩效管理的意见》(中发〔2018〕34号)、</w:t>
      </w:r>
      <w:r>
        <w:rPr>
          <w:rFonts w:ascii="FangSong" w:hAnsi="FangSong" w:eastAsia="FangSong" w:cs="FangSong"/>
          <w:sz w:val="34"/>
          <w:szCs w:val="34"/>
          <w:spacing w:val="3"/>
        </w:rPr>
        <w:t xml:space="preserve"> </w:t>
      </w:r>
      <w:r>
        <w:rPr>
          <w:rFonts w:ascii="FangSong" w:hAnsi="FangSong" w:eastAsia="FangSong" w:cs="FangSong"/>
          <w:sz w:val="34"/>
          <w:szCs w:val="34"/>
          <w:spacing w:val="-5"/>
        </w:rPr>
        <w:t>《中共湖南省委办公厅湖南省人民政府办公厅</w:t>
      </w:r>
      <w:r>
        <w:rPr>
          <w:rFonts w:ascii="FangSong" w:hAnsi="FangSong" w:eastAsia="FangSong" w:cs="FangSong"/>
          <w:sz w:val="34"/>
          <w:szCs w:val="34"/>
          <w:spacing w:val="-6"/>
        </w:rPr>
        <w:t>关于全面实</w:t>
      </w:r>
      <w:r>
        <w:rPr>
          <w:rFonts w:ascii="FangSong" w:hAnsi="FangSong" w:eastAsia="FangSong" w:cs="FangSong"/>
          <w:sz w:val="34"/>
          <w:szCs w:val="34"/>
        </w:rPr>
        <w:t xml:space="preserve"> </w:t>
      </w:r>
      <w:r>
        <w:rPr>
          <w:rFonts w:ascii="FangSong" w:hAnsi="FangSong" w:eastAsia="FangSong" w:cs="FangSong"/>
          <w:sz w:val="34"/>
          <w:szCs w:val="34"/>
          <w:spacing w:val="-18"/>
        </w:rPr>
        <w:t>施预算绩效管理的实施意见》(湘办发〔2019〕10号)、</w:t>
      </w:r>
      <w:r>
        <w:rPr>
          <w:rFonts w:ascii="FangSong" w:hAnsi="FangSong" w:eastAsia="FangSong" w:cs="FangSong"/>
          <w:sz w:val="34"/>
          <w:szCs w:val="34"/>
          <w:spacing w:val="-19"/>
        </w:rPr>
        <w:t>《湖</w:t>
      </w:r>
      <w:r>
        <w:rPr>
          <w:rFonts w:ascii="FangSong" w:hAnsi="FangSong" w:eastAsia="FangSong" w:cs="FangSong"/>
          <w:sz w:val="34"/>
          <w:szCs w:val="34"/>
        </w:rPr>
        <w:t xml:space="preserve"> </w:t>
      </w:r>
      <w:r>
        <w:rPr>
          <w:rFonts w:ascii="FangSong" w:hAnsi="FangSong" w:eastAsia="FangSong" w:cs="FangSong"/>
          <w:sz w:val="34"/>
          <w:szCs w:val="34"/>
          <w:spacing w:val="-21"/>
        </w:rPr>
        <w:t>南省财政厅关于印发〈湖南省预算支出绩效评价管理办法〉</w:t>
      </w:r>
      <w:r>
        <w:rPr>
          <w:rFonts w:ascii="FangSong" w:hAnsi="FangSong" w:eastAsia="FangSong" w:cs="FangSong"/>
          <w:sz w:val="34"/>
          <w:szCs w:val="34"/>
          <w:spacing w:val="15"/>
        </w:rPr>
        <w:t xml:space="preserve"> </w:t>
      </w:r>
      <w:r>
        <w:rPr>
          <w:rFonts w:ascii="FangSong" w:hAnsi="FangSong" w:eastAsia="FangSong" w:cs="FangSong"/>
          <w:sz w:val="34"/>
          <w:szCs w:val="34"/>
          <w:spacing w:val="-2"/>
        </w:rPr>
        <w:t>的通知》(湘财绩〔2020〕7号)等有关规定，决定组织对</w:t>
      </w:r>
    </w:p>
    <w:p>
      <w:pPr>
        <w:ind w:left="140"/>
        <w:spacing w:before="1" w:line="221" w:lineRule="auto"/>
        <w:rPr>
          <w:rFonts w:ascii="FangSong" w:hAnsi="FangSong" w:eastAsia="FangSong" w:cs="FangSong"/>
          <w:sz w:val="34"/>
          <w:szCs w:val="34"/>
        </w:rPr>
      </w:pPr>
      <w:r>
        <w:rPr>
          <w:rFonts w:ascii="FangSong" w:hAnsi="FangSong" w:eastAsia="FangSong" w:cs="FangSong"/>
          <w:sz w:val="34"/>
          <w:szCs w:val="34"/>
          <w:spacing w:val="-19"/>
        </w:rPr>
        <w:t>2022年度部门预算支出开展绩效自评，现就有关事项通知如</w:t>
      </w:r>
    </w:p>
    <w:p>
      <w:pPr>
        <w:ind w:left="140"/>
        <w:spacing w:before="292" w:line="222" w:lineRule="auto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spacing w:val="-8"/>
        </w:rPr>
        <w:t>下：</w:t>
      </w:r>
    </w:p>
    <w:p>
      <w:pPr>
        <w:sectPr>
          <w:pgSz w:w="11910" w:h="16840"/>
          <w:pgMar w:top="1431" w:right="1579" w:bottom="0" w:left="1499" w:header="0" w:footer="0" w:gutter="0"/>
        </w:sectPr>
        <w:rPr/>
      </w:pPr>
    </w:p>
    <w:p>
      <w:pPr>
        <w:ind w:left="647"/>
        <w:spacing w:before="224" w:line="221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b/>
          <w:bCs/>
          <w:spacing w:val="5"/>
        </w:rPr>
        <w:t>一、绩效自评对象</w:t>
      </w:r>
    </w:p>
    <w:p>
      <w:pPr>
        <w:ind w:left="643"/>
        <w:spacing w:before="28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2022年度纳入政府预算管理的所有预算支出。</w:t>
      </w:r>
    </w:p>
    <w:p>
      <w:pPr>
        <w:ind w:left="647"/>
        <w:spacing w:before="234" w:line="221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b/>
          <w:bCs/>
          <w:spacing w:val="-5"/>
        </w:rPr>
        <w:t>二、</w:t>
      </w:r>
      <w:r>
        <w:rPr>
          <w:rFonts w:ascii="SimHei" w:hAnsi="SimHei" w:eastAsia="SimHei" w:cs="SimHei"/>
          <w:sz w:val="31"/>
          <w:szCs w:val="31"/>
          <w:spacing w:val="-43"/>
        </w:rPr>
        <w:t xml:space="preserve"> </w:t>
      </w:r>
      <w:r>
        <w:rPr>
          <w:rFonts w:ascii="SimHei" w:hAnsi="SimHei" w:eastAsia="SimHei" w:cs="SimHei"/>
          <w:sz w:val="31"/>
          <w:szCs w:val="31"/>
          <w:b/>
          <w:bCs/>
          <w:spacing w:val="-5"/>
        </w:rPr>
        <w:t>绩效自评主要内容</w:t>
      </w:r>
    </w:p>
    <w:p>
      <w:pPr>
        <w:ind w:left="643"/>
        <w:spacing w:before="271" w:line="65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9"/>
          <w:position w:val="25"/>
        </w:rPr>
        <w:t>根据2022年度部门决算对照年度绩效目标分别开展部</w:t>
      </w:r>
    </w:p>
    <w:p>
      <w:pPr>
        <w:ind w:left="33"/>
        <w:spacing w:before="1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门(单位)整体支出、项目支出绩效自评。</w:t>
      </w:r>
    </w:p>
    <w:p>
      <w:pPr>
        <w:ind w:left="647"/>
        <w:spacing w:before="257" w:line="221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b/>
          <w:bCs/>
          <w:spacing w:val="-8"/>
        </w:rPr>
        <w:t>三、</w:t>
      </w:r>
      <w:r>
        <w:rPr>
          <w:rFonts w:ascii="SimHei" w:hAnsi="SimHei" w:eastAsia="SimHei" w:cs="SimHei"/>
          <w:sz w:val="31"/>
          <w:szCs w:val="31"/>
          <w:spacing w:val="-45"/>
        </w:rPr>
        <w:t xml:space="preserve"> </w:t>
      </w:r>
      <w:r>
        <w:rPr>
          <w:rFonts w:ascii="SimHei" w:hAnsi="SimHei" w:eastAsia="SimHei" w:cs="SimHei"/>
          <w:sz w:val="31"/>
          <w:szCs w:val="31"/>
          <w:b/>
          <w:bCs/>
          <w:spacing w:val="-8"/>
        </w:rPr>
        <w:t>绩效自评方式</w:t>
      </w:r>
    </w:p>
    <w:p>
      <w:pPr>
        <w:ind w:left="33" w:right="15" w:firstLine="754"/>
        <w:spacing w:before="275" w:line="38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b/>
          <w:bCs/>
          <w:spacing w:val="23"/>
        </w:rPr>
        <w:t>(</w:t>
      </w:r>
      <w:r>
        <w:rPr>
          <w:rFonts w:ascii="FangSong" w:hAnsi="FangSong" w:eastAsia="FangSong" w:cs="FangSong"/>
          <w:sz w:val="31"/>
          <w:szCs w:val="31"/>
          <w:spacing w:val="-54"/>
        </w:rPr>
        <w:t xml:space="preserve"> </w:t>
      </w:r>
      <w:r>
        <w:rPr>
          <w:rFonts w:ascii="FangSong" w:hAnsi="FangSong" w:eastAsia="FangSong" w:cs="FangSong"/>
          <w:sz w:val="31"/>
          <w:szCs w:val="31"/>
          <w:b/>
          <w:bCs/>
          <w:spacing w:val="23"/>
        </w:rPr>
        <w:t>一</w:t>
      </w:r>
      <w:r>
        <w:rPr>
          <w:rFonts w:ascii="FangSong" w:hAnsi="FangSong" w:eastAsia="FangSong" w:cs="FangSong"/>
          <w:sz w:val="31"/>
          <w:szCs w:val="31"/>
          <w:spacing w:val="-84"/>
        </w:rPr>
        <w:t xml:space="preserve"> </w:t>
      </w:r>
      <w:r>
        <w:rPr>
          <w:rFonts w:ascii="FangSong" w:hAnsi="FangSong" w:eastAsia="FangSong" w:cs="FangSong"/>
          <w:sz w:val="31"/>
          <w:szCs w:val="31"/>
          <w:b/>
          <w:bCs/>
          <w:spacing w:val="23"/>
        </w:rPr>
        <w:t>)部门(单位)整体支出。</w:t>
      </w:r>
      <w:r>
        <w:rPr>
          <w:rFonts w:ascii="FangSong" w:hAnsi="FangSong" w:eastAsia="FangSong" w:cs="FangSong"/>
          <w:sz w:val="31"/>
          <w:szCs w:val="31"/>
          <w:spacing w:val="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3"/>
        </w:rPr>
        <w:t>根据2022年预算批复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1"/>
        </w:rPr>
        <w:t>(包括新增或调整数)的部门(单位)整体支出绩效目标完</w:t>
      </w:r>
      <w:r>
        <w:rPr>
          <w:rFonts w:ascii="FangSong" w:hAnsi="FangSong" w:eastAsia="FangSong" w:cs="FangSong"/>
          <w:sz w:val="31"/>
          <w:szCs w:val="31"/>
          <w:spacing w:val="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6"/>
        </w:rPr>
        <w:t>成情况，填写《2022年度新晃县</w:t>
      </w:r>
      <w:r>
        <w:rPr>
          <w:rFonts w:ascii="FangSong" w:hAnsi="FangSong" w:eastAsia="FangSong" w:cs="FangSong"/>
          <w:sz w:val="31"/>
          <w:szCs w:val="31"/>
        </w:rPr>
        <w:t>xx</w:t>
      </w:r>
      <w:r>
        <w:rPr>
          <w:rFonts w:ascii="FangSong" w:hAnsi="FangSong" w:eastAsia="FangSong" w:cs="FangSong"/>
          <w:sz w:val="31"/>
          <w:szCs w:val="31"/>
          <w:spacing w:val="-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6"/>
        </w:rPr>
        <w:t>部门(单位)整体支出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7"/>
        </w:rPr>
        <w:t>绩效自评表》(附件1-1),撰写《2022年度</w:t>
      </w:r>
      <w:r>
        <w:rPr>
          <w:rFonts w:ascii="FangSong" w:hAnsi="FangSong" w:eastAsia="FangSong" w:cs="FangSong"/>
          <w:sz w:val="31"/>
          <w:szCs w:val="31"/>
        </w:rPr>
        <w:t>xx</w:t>
      </w:r>
      <w:r>
        <w:rPr>
          <w:rFonts w:ascii="FangSong" w:hAnsi="FangSong" w:eastAsia="FangSong" w:cs="FangSong"/>
          <w:sz w:val="31"/>
          <w:szCs w:val="31"/>
          <w:spacing w:val="-3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7"/>
        </w:rPr>
        <w:t>部门(单位)</w:t>
      </w:r>
    </w:p>
    <w:p>
      <w:pPr>
        <w:ind w:left="33"/>
        <w:spacing w:before="1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整体支出绩效自评报告》</w:t>
      </w:r>
      <w:r>
        <w:rPr>
          <w:rFonts w:ascii="FangSong" w:hAnsi="FangSong" w:eastAsia="FangSong" w:cs="FangSong"/>
          <w:sz w:val="31"/>
          <w:szCs w:val="31"/>
          <w:spacing w:val="12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(参考格式详见附件1-2)</w:t>
      </w:r>
      <w:r>
        <w:rPr>
          <w:rFonts w:ascii="FangSong" w:hAnsi="FangSong" w:eastAsia="FangSong" w:cs="FangSong"/>
          <w:sz w:val="31"/>
          <w:szCs w:val="31"/>
          <w:spacing w:val="7"/>
        </w:rPr>
        <w:t>。</w:t>
      </w:r>
    </w:p>
    <w:p>
      <w:pPr>
        <w:ind w:left="33" w:right="106" w:firstLine="754"/>
        <w:spacing w:before="270" w:line="38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b/>
          <w:bCs/>
          <w:spacing w:val="24"/>
        </w:rPr>
        <w:t>(二)项目支出。</w:t>
      </w:r>
      <w:r>
        <w:rPr>
          <w:rFonts w:ascii="FangSong" w:hAnsi="FangSong" w:eastAsia="FangSong" w:cs="FangSong"/>
          <w:sz w:val="31"/>
          <w:szCs w:val="31"/>
          <w:spacing w:val="5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4"/>
        </w:rPr>
        <w:t>根据2022年预算批复(包括新增或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4"/>
        </w:rPr>
        <w:t>调整数)的项目支出绩效目标完成情况，对照2022年度新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6"/>
        </w:rPr>
        <w:t>晃县项目绩效自评计分标准(附件2-2),填写《2022年度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新晃县项目支出绩效自评表》</w:t>
      </w:r>
      <w:r>
        <w:rPr>
          <w:rFonts w:ascii="FangSong" w:hAnsi="FangSong" w:eastAsia="FangSong" w:cs="FangSong"/>
          <w:sz w:val="31"/>
          <w:szCs w:val="31"/>
          <w:spacing w:val="11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(附件2-</w:t>
      </w:r>
      <w:r>
        <w:rPr>
          <w:rFonts w:ascii="FangSong" w:hAnsi="FangSong" w:eastAsia="FangSong" w:cs="FangSong"/>
          <w:sz w:val="31"/>
          <w:szCs w:val="31"/>
          <w:spacing w:val="-8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1),撰写《2022年</w:t>
      </w:r>
    </w:p>
    <w:p>
      <w:pPr>
        <w:ind w:left="33"/>
        <w:spacing w:before="2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度新晃县项目支出绩效自评报告》(参考格式详见附件2-3)。</w:t>
      </w:r>
    </w:p>
    <w:p>
      <w:pPr>
        <w:ind w:left="647"/>
        <w:spacing w:before="257" w:line="221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b/>
          <w:bCs/>
          <w:spacing w:val="-5"/>
        </w:rPr>
        <w:t>四、</w:t>
      </w:r>
      <w:r>
        <w:rPr>
          <w:rFonts w:ascii="SimHei" w:hAnsi="SimHei" w:eastAsia="SimHei" w:cs="SimHei"/>
          <w:sz w:val="31"/>
          <w:szCs w:val="31"/>
          <w:spacing w:val="-60"/>
        </w:rPr>
        <w:t xml:space="preserve"> </w:t>
      </w:r>
      <w:r>
        <w:rPr>
          <w:rFonts w:ascii="SimHei" w:hAnsi="SimHei" w:eastAsia="SimHei" w:cs="SimHei"/>
          <w:sz w:val="31"/>
          <w:szCs w:val="31"/>
          <w:b/>
          <w:bCs/>
          <w:spacing w:val="-5"/>
        </w:rPr>
        <w:t>绩效评价结果报送</w:t>
      </w:r>
    </w:p>
    <w:p>
      <w:pPr>
        <w:ind w:left="28" w:right="104" w:firstLine="614"/>
        <w:spacing w:before="270" w:line="381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0"/>
        </w:rPr>
        <w:t>预算单位对各项目支出绩效自评进行审核汇总，填写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《2022年度绩效自评完成情况汇总表》</w:t>
      </w:r>
      <w:r>
        <w:rPr>
          <w:rFonts w:ascii="FangSong" w:hAnsi="FangSong" w:eastAsia="FangSong" w:cs="FangSong"/>
          <w:sz w:val="31"/>
          <w:szCs w:val="31"/>
          <w:spacing w:val="12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(详见附</w:t>
      </w:r>
      <w:r>
        <w:rPr>
          <w:rFonts w:ascii="FangSong" w:hAnsi="FangSong" w:eastAsia="FangSong" w:cs="FangSong"/>
          <w:sz w:val="31"/>
          <w:szCs w:val="31"/>
          <w:spacing w:val="11"/>
        </w:rPr>
        <w:t>件3-</w:t>
      </w:r>
      <w:r>
        <w:rPr>
          <w:rFonts w:ascii="FangSong" w:hAnsi="FangSong" w:eastAsia="FangSong" w:cs="FangSong"/>
          <w:sz w:val="31"/>
          <w:szCs w:val="31"/>
          <w:spacing w:val="-8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1),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0"/>
        </w:rPr>
        <w:t>连同部门(单位)整体支出、项目支出《绩效自</w:t>
      </w:r>
      <w:r>
        <w:rPr>
          <w:rFonts w:ascii="FangSong" w:hAnsi="FangSong" w:eastAsia="FangSong" w:cs="FangSong"/>
          <w:sz w:val="31"/>
          <w:szCs w:val="31"/>
          <w:spacing w:val="19"/>
        </w:rPr>
        <w:t>评表》、绩</w:t>
      </w:r>
    </w:p>
    <w:p>
      <w:pPr>
        <w:ind w:left="33"/>
        <w:spacing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效自评报告及相关佐证资料于5月19日前报送财政部门(部</w:t>
      </w:r>
    </w:p>
    <w:p>
      <w:pPr>
        <w:sectPr>
          <w:footerReference w:type="default" r:id="rId2"/>
          <w:pgSz w:w="11910" w:h="16840"/>
          <w:pgMar w:top="1431" w:right="1725" w:bottom="1126" w:left="1786" w:header="0" w:footer="947" w:gutter="0"/>
        </w:sectPr>
        <w:rPr/>
      </w:pPr>
    </w:p>
    <w:p>
      <w:pPr>
        <w:ind w:left="13" w:right="100"/>
        <w:spacing w:before="209" w:line="368" w:lineRule="auto"/>
        <w:jc w:val="right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4"/>
        </w:rPr>
        <w:t>门预算管理股室)审核，再报送第三方会审通过后，将部门</w:t>
      </w:r>
      <w:r>
        <w:rPr>
          <w:rFonts w:ascii="FangSong" w:hAnsi="FangSong" w:eastAsia="FangSong" w:cs="FangSong"/>
          <w:sz w:val="32"/>
          <w:szCs w:val="32"/>
        </w:rPr>
        <w:t xml:space="preserve"> </w:t>
      </w:r>
      <w:r>
        <w:rPr>
          <w:rFonts w:ascii="FangSong" w:hAnsi="FangSong" w:eastAsia="FangSong" w:cs="FangSong"/>
          <w:sz w:val="32"/>
          <w:szCs w:val="32"/>
          <w:spacing w:val="4"/>
        </w:rPr>
        <w:t>(单位)整体支出、项目支出《绩效自评表》、绩效自评报</w:t>
      </w:r>
    </w:p>
    <w:p>
      <w:pPr>
        <w:ind w:left="13"/>
        <w:spacing w:line="22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3"/>
        </w:rPr>
        <w:t>告、佐证资料以及《绩效自评完成情况汇总表》,由预算单</w:t>
      </w:r>
    </w:p>
    <w:p>
      <w:pPr>
        <w:ind w:left="13"/>
        <w:spacing w:before="260" w:line="642" w:lineRule="exact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22"/>
          <w:position w:val="24"/>
        </w:rPr>
        <w:t>位于5月23日前报送县财政局绩效管理股(纸质版、电子</w:t>
      </w:r>
    </w:p>
    <w:p>
      <w:pPr>
        <w:ind w:left="13"/>
        <w:spacing w:line="222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45"/>
        </w:rPr>
        <w:t>版各1份)。</w:t>
      </w:r>
    </w:p>
    <w:p>
      <w:pPr>
        <w:ind w:left="658"/>
        <w:spacing w:before="242" w:line="222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b/>
          <w:bCs/>
          <w:spacing w:val="-21"/>
        </w:rPr>
        <w:t>五、</w:t>
      </w:r>
      <w:r>
        <w:rPr>
          <w:rFonts w:ascii="SimHei" w:hAnsi="SimHei" w:eastAsia="SimHei" w:cs="SimHei"/>
          <w:sz w:val="32"/>
          <w:szCs w:val="32"/>
          <w:spacing w:val="-67"/>
        </w:rPr>
        <w:t xml:space="preserve"> </w:t>
      </w:r>
      <w:r>
        <w:rPr>
          <w:rFonts w:ascii="SimHei" w:hAnsi="SimHei" w:eastAsia="SimHei" w:cs="SimHei"/>
          <w:sz w:val="32"/>
          <w:szCs w:val="32"/>
          <w:b/>
          <w:bCs/>
          <w:spacing w:val="-21"/>
        </w:rPr>
        <w:t>有关要求</w:t>
      </w:r>
    </w:p>
    <w:p>
      <w:pPr>
        <w:ind w:left="13" w:firstLine="784"/>
        <w:spacing w:before="258" w:line="364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b/>
          <w:bCs/>
          <w:spacing w:val="-11"/>
        </w:rPr>
        <w:t>(一)高度重视，落实责任。</w:t>
      </w:r>
      <w:r>
        <w:rPr>
          <w:rFonts w:ascii="FangSong" w:hAnsi="FangSong" w:eastAsia="FangSong" w:cs="FangSong"/>
          <w:sz w:val="32"/>
          <w:szCs w:val="32"/>
          <w:spacing w:val="-5"/>
        </w:rPr>
        <w:t xml:space="preserve"> </w:t>
      </w:r>
      <w:r>
        <w:rPr>
          <w:rFonts w:ascii="FangSong" w:hAnsi="FangSong" w:eastAsia="FangSong" w:cs="FangSong"/>
          <w:sz w:val="32"/>
          <w:szCs w:val="32"/>
          <w:spacing w:val="-11"/>
        </w:rPr>
        <w:t>预算单位要提高政治站位，</w:t>
      </w:r>
      <w:r>
        <w:rPr>
          <w:rFonts w:ascii="FangSong" w:hAnsi="FangSong" w:eastAsia="FangSong" w:cs="FangSong"/>
          <w:sz w:val="32"/>
          <w:szCs w:val="32"/>
        </w:rPr>
        <w:t xml:space="preserve"> </w:t>
      </w:r>
      <w:r>
        <w:rPr>
          <w:rFonts w:ascii="FangSong" w:hAnsi="FangSong" w:eastAsia="FangSong" w:cs="FangSong"/>
          <w:sz w:val="32"/>
          <w:szCs w:val="32"/>
          <w:spacing w:val="-5"/>
        </w:rPr>
        <w:t>增强"四个意识",高度认识绩效评价工作的重要性与必要性，</w:t>
      </w:r>
      <w:r>
        <w:rPr>
          <w:rFonts w:ascii="FangSong" w:hAnsi="FangSong" w:eastAsia="FangSong" w:cs="FangSong"/>
          <w:sz w:val="32"/>
          <w:szCs w:val="32"/>
          <w:spacing w:val="8"/>
        </w:rPr>
        <w:t xml:space="preserve"> </w:t>
      </w:r>
      <w:r>
        <w:rPr>
          <w:rFonts w:ascii="FangSong" w:hAnsi="FangSong" w:eastAsia="FangSong" w:cs="FangSong"/>
          <w:sz w:val="32"/>
          <w:szCs w:val="32"/>
          <w:spacing w:val="-3"/>
        </w:rPr>
        <w:t>切实加强组织领导，明确绩效评价的责任主体和责任人，按</w:t>
      </w:r>
      <w:r>
        <w:rPr>
          <w:rFonts w:ascii="FangSong" w:hAnsi="FangSong" w:eastAsia="FangSong" w:cs="FangSong"/>
          <w:sz w:val="32"/>
          <w:szCs w:val="32"/>
          <w:spacing w:val="11"/>
        </w:rPr>
        <w:t xml:space="preserve"> </w:t>
      </w:r>
      <w:r>
        <w:rPr>
          <w:rFonts w:ascii="FangSong" w:hAnsi="FangSong" w:eastAsia="FangSong" w:cs="FangSong"/>
          <w:sz w:val="32"/>
          <w:szCs w:val="32"/>
          <w:spacing w:val="-3"/>
        </w:rPr>
        <w:t>照"谁支出、谁负责"、"谁使用、谁评价"的原则和内部职责</w:t>
      </w:r>
      <w:r>
        <w:rPr>
          <w:rFonts w:ascii="FangSong" w:hAnsi="FangSong" w:eastAsia="FangSong" w:cs="FangSong"/>
          <w:sz w:val="32"/>
          <w:szCs w:val="32"/>
        </w:rPr>
        <w:t xml:space="preserve">  </w:t>
      </w:r>
      <w:r>
        <w:rPr>
          <w:rFonts w:ascii="FangSong" w:hAnsi="FangSong" w:eastAsia="FangSong" w:cs="FangSong"/>
          <w:sz w:val="32"/>
          <w:szCs w:val="32"/>
          <w:spacing w:val="3"/>
        </w:rPr>
        <w:t>分工，组织开展绩效自评工作。主动与财政部门(部门预算</w:t>
      </w:r>
      <w:r>
        <w:rPr>
          <w:rFonts w:ascii="FangSong" w:hAnsi="FangSong" w:eastAsia="FangSong" w:cs="FangSong"/>
          <w:sz w:val="32"/>
          <w:szCs w:val="32"/>
          <w:spacing w:val="16"/>
        </w:rPr>
        <w:t xml:space="preserve"> </w:t>
      </w:r>
      <w:r>
        <w:rPr>
          <w:rFonts w:ascii="FangSong" w:hAnsi="FangSong" w:eastAsia="FangSong" w:cs="FangSong"/>
          <w:sz w:val="32"/>
          <w:szCs w:val="32"/>
          <w:spacing w:val="3"/>
        </w:rPr>
        <w:t>管理股室)工作对接，加强沟通联系和协同配合，确保绩效</w:t>
      </w:r>
    </w:p>
    <w:p>
      <w:pPr>
        <w:ind w:left="93"/>
        <w:spacing w:line="22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8"/>
        </w:rPr>
        <w:t>自评工作有序、有力、有效开展。</w:t>
      </w:r>
    </w:p>
    <w:p>
      <w:pPr>
        <w:ind w:left="13" w:right="123" w:firstLine="784"/>
        <w:spacing w:before="243" w:line="364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b/>
          <w:bCs/>
          <w:spacing w:val="-6"/>
        </w:rPr>
        <w:t>(二)真实客观，按时报送。</w:t>
      </w:r>
      <w:r>
        <w:rPr>
          <w:rFonts w:ascii="FangSong" w:hAnsi="FangSong" w:eastAsia="FangSong" w:cs="FangSong"/>
          <w:sz w:val="32"/>
          <w:szCs w:val="32"/>
          <w:spacing w:val="61"/>
        </w:rPr>
        <w:t xml:space="preserve"> </w:t>
      </w:r>
      <w:r>
        <w:rPr>
          <w:rFonts w:ascii="FangSong" w:hAnsi="FangSong" w:eastAsia="FangSong" w:cs="FangSong"/>
          <w:sz w:val="32"/>
          <w:szCs w:val="32"/>
          <w:spacing w:val="-6"/>
        </w:rPr>
        <w:t>预算单位要按照通知明确</w:t>
      </w:r>
      <w:r>
        <w:rPr>
          <w:rFonts w:ascii="FangSong" w:hAnsi="FangSong" w:eastAsia="FangSong" w:cs="FangSong"/>
          <w:sz w:val="32"/>
          <w:szCs w:val="32"/>
        </w:rPr>
        <w:t xml:space="preserve"> </w:t>
      </w:r>
      <w:r>
        <w:rPr>
          <w:rFonts w:ascii="FangSong" w:hAnsi="FangSong" w:eastAsia="FangSong" w:cs="FangSong"/>
          <w:sz w:val="32"/>
          <w:szCs w:val="32"/>
          <w:spacing w:val="-4"/>
        </w:rPr>
        <w:t>的内容、步骤、时间等要求做好绩效自评工作，确保各项数</w:t>
      </w:r>
      <w:r>
        <w:rPr>
          <w:rFonts w:ascii="FangSong" w:hAnsi="FangSong" w:eastAsia="FangSong" w:cs="FangSong"/>
          <w:sz w:val="32"/>
          <w:szCs w:val="32"/>
          <w:spacing w:val="12"/>
        </w:rPr>
        <w:t xml:space="preserve"> </w:t>
      </w:r>
      <w:r>
        <w:rPr>
          <w:rFonts w:ascii="FangSong" w:hAnsi="FangSong" w:eastAsia="FangSong" w:cs="FangSong"/>
          <w:sz w:val="32"/>
          <w:szCs w:val="32"/>
          <w:spacing w:val="10"/>
        </w:rPr>
        <w:t>据和绩效自评佐证资料符合实际情况和工作要求，全面</w:t>
      </w:r>
      <w:r>
        <w:rPr>
          <w:rFonts w:ascii="FangSong" w:hAnsi="FangSong" w:eastAsia="FangSong" w:cs="FangSong"/>
          <w:sz w:val="32"/>
          <w:szCs w:val="32"/>
          <w:spacing w:val="9"/>
        </w:rPr>
        <w:t>准</w:t>
      </w:r>
      <w:r>
        <w:rPr>
          <w:rFonts w:ascii="FangSong" w:hAnsi="FangSong" w:eastAsia="FangSong" w:cs="FangSong"/>
          <w:sz w:val="32"/>
          <w:szCs w:val="32"/>
        </w:rPr>
        <w:t xml:space="preserve"> </w:t>
      </w:r>
      <w:r>
        <w:rPr>
          <w:rFonts w:ascii="FangSong" w:hAnsi="FangSong" w:eastAsia="FangSong" w:cs="FangSong"/>
          <w:sz w:val="32"/>
          <w:szCs w:val="32"/>
          <w:spacing w:val="-3"/>
        </w:rPr>
        <w:t>确、客观真实地反映资金使用的绩效水平和预期目标实现程</w:t>
      </w:r>
      <w:r>
        <w:rPr>
          <w:rFonts w:ascii="FangSong" w:hAnsi="FangSong" w:eastAsia="FangSong" w:cs="FangSong"/>
          <w:sz w:val="32"/>
          <w:szCs w:val="32"/>
          <w:spacing w:val="10"/>
        </w:rPr>
        <w:t xml:space="preserve"> </w:t>
      </w:r>
      <w:r>
        <w:rPr>
          <w:rFonts w:ascii="FangSong" w:hAnsi="FangSong" w:eastAsia="FangSong" w:cs="FangSong"/>
          <w:sz w:val="32"/>
          <w:szCs w:val="32"/>
          <w:spacing w:val="-3"/>
        </w:rPr>
        <w:t>度。在绩效评价过程中不得弄虚作假、隐瞒实情，要对报送</w:t>
      </w:r>
      <w:r>
        <w:rPr>
          <w:rFonts w:ascii="FangSong" w:hAnsi="FangSong" w:eastAsia="FangSong" w:cs="FangSong"/>
          <w:sz w:val="32"/>
          <w:szCs w:val="32"/>
          <w:spacing w:val="13"/>
        </w:rPr>
        <w:t xml:space="preserve"> </w:t>
      </w:r>
      <w:r>
        <w:rPr>
          <w:rFonts w:ascii="FangSong" w:hAnsi="FangSong" w:eastAsia="FangSong" w:cs="FangSong"/>
          <w:sz w:val="32"/>
          <w:szCs w:val="32"/>
          <w:spacing w:val="-3"/>
        </w:rPr>
        <w:t>数据和材料的真实性、客观性和准确性负责，合理安排工作</w:t>
      </w:r>
    </w:p>
    <w:p>
      <w:pPr>
        <w:ind w:left="13"/>
        <w:spacing w:line="22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6"/>
        </w:rPr>
        <w:t>进度，按时报送相关材料。</w:t>
      </w:r>
    </w:p>
    <w:p>
      <w:pPr>
        <w:ind w:left="798"/>
        <w:spacing w:before="247" w:line="22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b/>
          <w:bCs/>
          <w:spacing w:val="-6"/>
        </w:rPr>
        <w:t>(三)强化应用，突出实效。</w:t>
      </w:r>
      <w:r>
        <w:rPr>
          <w:rFonts w:ascii="FangSong" w:hAnsi="FangSong" w:eastAsia="FangSong" w:cs="FangSong"/>
          <w:sz w:val="32"/>
          <w:szCs w:val="32"/>
          <w:spacing w:val="53"/>
        </w:rPr>
        <w:t xml:space="preserve"> </w:t>
      </w:r>
      <w:r>
        <w:rPr>
          <w:rFonts w:ascii="FangSong" w:hAnsi="FangSong" w:eastAsia="FangSong" w:cs="FangSong"/>
          <w:sz w:val="32"/>
          <w:szCs w:val="32"/>
          <w:spacing w:val="-6"/>
        </w:rPr>
        <w:t>预算单位要加强自评结果</w:t>
      </w:r>
    </w:p>
    <w:p>
      <w:pPr>
        <w:sectPr>
          <w:footerReference w:type="default" r:id="rId3"/>
          <w:pgSz w:w="11910" w:h="16840"/>
          <w:pgMar w:top="1431" w:right="1720" w:bottom="1126" w:left="1786" w:header="0" w:footer="947" w:gutter="0"/>
        </w:sectPr>
        <w:rPr/>
      </w:pPr>
    </w:p>
    <w:p>
      <w:pPr>
        <w:ind w:left="33" w:right="110"/>
        <w:spacing w:before="227" w:line="37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9"/>
        </w:rPr>
        <w:t>的整理、分析，将自评结果作为本部门(单位)完善政策和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改进管理的重要依据。全面公开绩效自评报告，接受社会</w:t>
      </w:r>
      <w:r>
        <w:rPr>
          <w:rFonts w:ascii="FangSong" w:hAnsi="FangSong" w:eastAsia="FangSong" w:cs="FangSong"/>
          <w:sz w:val="31"/>
          <w:szCs w:val="31"/>
          <w:spacing w:val="6"/>
        </w:rPr>
        <w:t>公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众监督。对预算执行率偏低、自评结果较差的预算</w:t>
      </w:r>
      <w:r>
        <w:rPr>
          <w:rFonts w:ascii="FangSong" w:hAnsi="FangSong" w:eastAsia="FangSong" w:cs="FangSong"/>
          <w:sz w:val="31"/>
          <w:szCs w:val="31"/>
          <w:spacing w:val="7"/>
        </w:rPr>
        <w:t>支出，要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单独说明原因，提出整改措施。对使用财政资金低效无效</w:t>
      </w:r>
      <w:r>
        <w:rPr>
          <w:rFonts w:ascii="FangSong" w:hAnsi="FangSong" w:eastAsia="FangSong" w:cs="FangSong"/>
          <w:sz w:val="31"/>
          <w:szCs w:val="31"/>
          <w:spacing w:val="6"/>
        </w:rPr>
        <w:t>造</w:t>
      </w:r>
    </w:p>
    <w:p>
      <w:pPr>
        <w:ind w:left="33"/>
        <w:spacing w:before="1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</w:rPr>
        <w:t>成重大浪费、损失的责任人，将按照相关规定进行追责问责。</w:t>
      </w:r>
    </w:p>
    <w:p>
      <w:pPr>
        <w:ind w:left="657"/>
        <w:spacing w:before="287" w:line="222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b/>
          <w:bCs/>
          <w:spacing w:val="-11"/>
        </w:rPr>
        <w:t>六、</w:t>
      </w:r>
      <w:r>
        <w:rPr>
          <w:rFonts w:ascii="SimHei" w:hAnsi="SimHei" w:eastAsia="SimHei" w:cs="SimHei"/>
          <w:sz w:val="31"/>
          <w:szCs w:val="31"/>
          <w:spacing w:val="-60"/>
        </w:rPr>
        <w:t xml:space="preserve"> </w:t>
      </w:r>
      <w:r>
        <w:rPr>
          <w:rFonts w:ascii="SimHei" w:hAnsi="SimHei" w:eastAsia="SimHei" w:cs="SimHei"/>
          <w:sz w:val="31"/>
          <w:szCs w:val="31"/>
          <w:b/>
          <w:bCs/>
          <w:spacing w:val="-11"/>
        </w:rPr>
        <w:t>其他事项</w:t>
      </w:r>
    </w:p>
    <w:p>
      <w:pPr>
        <w:ind w:left="653"/>
        <w:spacing w:before="266" w:line="641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2"/>
          <w:position w:val="24"/>
        </w:rPr>
        <w:t>1.</w:t>
      </w:r>
      <w:r>
        <w:rPr>
          <w:rFonts w:ascii="Times New Roman" w:hAnsi="Times New Roman" w:eastAsia="Times New Roman" w:cs="Times New Roman"/>
          <w:sz w:val="31"/>
          <w:szCs w:val="31"/>
          <w:spacing w:val="19"/>
          <w:position w:val="24"/>
        </w:rPr>
        <w:t xml:space="preserve">   </w:t>
      </w:r>
      <w:r>
        <w:rPr>
          <w:rFonts w:ascii="FangSong" w:hAnsi="FangSong" w:eastAsia="FangSong" w:cs="FangSong"/>
          <w:sz w:val="31"/>
          <w:szCs w:val="31"/>
          <w:b/>
          <w:bCs/>
          <w:spacing w:val="2"/>
          <w:position w:val="24"/>
        </w:rPr>
        <w:t>财政抽查复核。</w:t>
      </w:r>
      <w:r>
        <w:rPr>
          <w:rFonts w:ascii="FangSong" w:hAnsi="FangSong" w:eastAsia="FangSong" w:cs="FangSong"/>
          <w:sz w:val="31"/>
          <w:szCs w:val="31"/>
          <w:spacing w:val="70"/>
          <w:position w:val="2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  <w:position w:val="24"/>
        </w:rPr>
        <w:t>财政部门对项目支出绩效自评抽查</w:t>
      </w:r>
    </w:p>
    <w:p>
      <w:pPr>
        <w:ind w:left="33"/>
        <w:spacing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复核，主要复核绩效自评内容的真实性、合理性、合规性。</w:t>
      </w:r>
    </w:p>
    <w:p>
      <w:pPr>
        <w:ind w:left="653"/>
        <w:spacing w:before="269" w:line="644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2"/>
          <w:position w:val="25"/>
        </w:rPr>
        <w:t>2.</w:t>
      </w:r>
      <w:r>
        <w:rPr>
          <w:rFonts w:ascii="Times New Roman" w:hAnsi="Times New Roman" w:eastAsia="Times New Roman" w:cs="Times New Roman"/>
          <w:sz w:val="31"/>
          <w:szCs w:val="31"/>
          <w:spacing w:val="8"/>
          <w:position w:val="25"/>
        </w:rPr>
        <w:t xml:space="preserve">   </w:t>
      </w:r>
      <w:r>
        <w:rPr>
          <w:rFonts w:ascii="FangSong" w:hAnsi="FangSong" w:eastAsia="FangSong" w:cs="FangSong"/>
          <w:sz w:val="31"/>
          <w:szCs w:val="31"/>
          <w:b/>
          <w:bCs/>
          <w:spacing w:val="2"/>
          <w:position w:val="25"/>
        </w:rPr>
        <w:t>财政绩效评价。</w:t>
      </w:r>
      <w:r>
        <w:rPr>
          <w:rFonts w:ascii="FangSong" w:hAnsi="FangSong" w:eastAsia="FangSong" w:cs="FangSong"/>
          <w:sz w:val="31"/>
          <w:szCs w:val="31"/>
          <w:spacing w:val="61"/>
          <w:position w:val="2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  <w:position w:val="25"/>
        </w:rPr>
        <w:t>在预算单位自评基础上，将按</w:t>
      </w:r>
      <w:r>
        <w:rPr>
          <w:rFonts w:ascii="FangSong" w:hAnsi="FangSong" w:eastAsia="FangSong" w:cs="FangSong"/>
          <w:sz w:val="31"/>
          <w:szCs w:val="31"/>
          <w:spacing w:val="1"/>
          <w:position w:val="25"/>
        </w:rPr>
        <w:t>省、</w:t>
      </w:r>
    </w:p>
    <w:p>
      <w:pPr>
        <w:ind w:left="33"/>
        <w:spacing w:before="1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市文件要求，组织开展部门绩效评价和重点绩效评价。</w:t>
      </w:r>
    </w:p>
    <w:p>
      <w:pPr>
        <w:ind w:left="33" w:right="130" w:firstLine="620"/>
        <w:spacing w:before="266" w:line="38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4"/>
        </w:rPr>
        <w:t>3.</w:t>
      </w:r>
      <w:r>
        <w:rPr>
          <w:rFonts w:ascii="Times New Roman" w:hAnsi="Times New Roman" w:eastAsia="Times New Roman" w:cs="Times New Roman"/>
          <w:sz w:val="31"/>
          <w:szCs w:val="31"/>
          <w:spacing w:val="9"/>
        </w:rPr>
        <w:t xml:space="preserve">   </w:t>
      </w:r>
      <w:r>
        <w:rPr>
          <w:rFonts w:ascii="FangSong" w:hAnsi="FangSong" w:eastAsia="FangSong" w:cs="FangSong"/>
          <w:sz w:val="31"/>
          <w:szCs w:val="31"/>
          <w:b/>
          <w:bCs/>
          <w:spacing w:val="4"/>
        </w:rPr>
        <w:t>高质按时完成。</w:t>
      </w:r>
      <w:r>
        <w:rPr>
          <w:rFonts w:ascii="FangSong" w:hAnsi="FangSong" w:eastAsia="FangSong" w:cs="FangSong"/>
          <w:sz w:val="31"/>
          <w:szCs w:val="31"/>
          <w:spacing w:val="4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今年是全省“绩效管理提升年”,</w:t>
      </w:r>
      <w:r>
        <w:rPr>
          <w:rFonts w:ascii="FangSong" w:hAnsi="FangSong" w:eastAsia="FangSong" w:cs="FangSong"/>
          <w:sz w:val="31"/>
          <w:szCs w:val="31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7"/>
        </w:rPr>
        <w:t>务必高度重视，高质按时完成。根据省、市相关要求，将</w:t>
      </w:r>
      <w:r>
        <w:rPr>
          <w:rFonts w:ascii="FangSong" w:hAnsi="FangSong" w:eastAsia="FangSong" w:cs="FangSong"/>
          <w:sz w:val="31"/>
          <w:szCs w:val="31"/>
          <w:spacing w:val="6"/>
        </w:rPr>
        <w:t>对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“是否按时完成、质量是否达标、工作是否配合”等情况发</w:t>
      </w:r>
    </w:p>
    <w:p>
      <w:pPr>
        <w:ind w:left="33"/>
        <w:spacing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3"/>
        </w:rPr>
        <w:t>文通报(年终考核必检内容之一)。</w:t>
      </w:r>
    </w:p>
    <w:p>
      <w:pPr>
        <w:ind w:left="653"/>
        <w:spacing w:before="276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0"/>
        </w:rPr>
        <w:t>联系人：县财政局绩效管理股(306)</w:t>
      </w:r>
    </w:p>
    <w:p>
      <w:pPr>
        <w:ind w:left="653"/>
        <w:spacing w:before="275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联系电话：0745-6223746</w:t>
      </w:r>
    </w:p>
    <w:p>
      <w:pPr>
        <w:ind w:left="653"/>
        <w:spacing w:before="263" w:line="21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1"/>
        </w:rPr>
        <w:t>电子邮箱：43626948@</w:t>
      </w:r>
      <w:r>
        <w:rPr>
          <w:rFonts w:ascii="FangSong" w:hAnsi="FangSong" w:eastAsia="FangSong" w:cs="FangSong"/>
          <w:sz w:val="31"/>
          <w:szCs w:val="31"/>
        </w:rPr>
        <w:t>qq</w:t>
      </w:r>
      <w:r>
        <w:rPr>
          <w:rFonts w:ascii="FangSong" w:hAnsi="FangSong" w:eastAsia="FangSong" w:cs="FangSong"/>
          <w:sz w:val="31"/>
          <w:szCs w:val="31"/>
          <w:spacing w:val="11"/>
        </w:rPr>
        <w:t>.</w:t>
      </w:r>
      <w:r>
        <w:rPr>
          <w:rFonts w:ascii="FangSong" w:hAnsi="FangSong" w:eastAsia="FangSong" w:cs="FangSong"/>
          <w:sz w:val="31"/>
          <w:szCs w:val="31"/>
        </w:rPr>
        <w:t>com</w:t>
      </w:r>
    </w:p>
    <w:p>
      <w:pPr>
        <w:ind w:left="653"/>
        <w:spacing w:before="265" w:line="64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1"/>
          <w:position w:val="24"/>
        </w:rPr>
        <w:t>报送资料要求：报送资料电子版要单独形成一个文件</w:t>
      </w:r>
    </w:p>
    <w:p>
      <w:pPr>
        <w:ind w:left="33"/>
        <w:spacing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9"/>
        </w:rPr>
        <w:t>夹，并统一以“2022年度XX</w:t>
      </w:r>
      <w:r>
        <w:rPr>
          <w:rFonts w:ascii="FangSong" w:hAnsi="FangSong" w:eastAsia="FangSong" w:cs="FangSong"/>
          <w:sz w:val="31"/>
          <w:szCs w:val="31"/>
          <w:spacing w:val="9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单位绩效自评报告”的格式命名。</w:t>
      </w:r>
    </w:p>
    <w:p>
      <w:pPr>
        <w:ind w:left="37"/>
        <w:spacing w:before="270" w:line="642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b/>
          <w:bCs/>
          <w:spacing w:val="-13"/>
          <w:position w:val="24"/>
        </w:rPr>
        <w:t>附件：</w:t>
      </w:r>
      <w:r>
        <w:rPr>
          <w:rFonts w:ascii="FangSong" w:hAnsi="FangSong" w:eastAsia="FangSong" w:cs="FangSong"/>
          <w:sz w:val="31"/>
          <w:szCs w:val="31"/>
          <w:spacing w:val="-21"/>
          <w:position w:val="2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3"/>
          <w:position w:val="24"/>
        </w:rPr>
        <w:t>1-1.2022年度新晃县</w:t>
      </w:r>
      <w:r>
        <w:rPr>
          <w:rFonts w:ascii="Times New Roman" w:hAnsi="Times New Roman" w:eastAsia="Times New Roman" w:cs="Times New Roman"/>
          <w:sz w:val="31"/>
          <w:szCs w:val="31"/>
          <w:spacing w:val="-13"/>
          <w:position w:val="24"/>
        </w:rPr>
        <w:t>XX</w:t>
      </w:r>
      <w:r>
        <w:rPr>
          <w:rFonts w:ascii="Times New Roman" w:hAnsi="Times New Roman" w:eastAsia="Times New Roman" w:cs="Times New Roman"/>
          <w:sz w:val="31"/>
          <w:szCs w:val="31"/>
          <w:spacing w:val="-33"/>
          <w:position w:val="2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3"/>
          <w:position w:val="24"/>
        </w:rPr>
        <w:t>部门(单位)整体支出绩效自评表</w:t>
      </w:r>
    </w:p>
    <w:p>
      <w:pPr>
        <w:ind w:left="1003"/>
        <w:spacing w:before="1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7"/>
        </w:rPr>
        <w:t>1-2.2022年度XX</w:t>
      </w:r>
      <w:r>
        <w:rPr>
          <w:rFonts w:ascii="FangSong" w:hAnsi="FangSong" w:eastAsia="FangSong" w:cs="FangSong"/>
          <w:sz w:val="31"/>
          <w:szCs w:val="31"/>
          <w:spacing w:val="4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部门(单位)整体支出绩效自评报</w:t>
      </w:r>
      <w:r>
        <w:rPr>
          <w:rFonts w:ascii="FangSong" w:hAnsi="FangSong" w:eastAsia="FangSong" w:cs="FangSong"/>
          <w:sz w:val="31"/>
          <w:szCs w:val="31"/>
          <w:spacing w:val="-8"/>
        </w:rPr>
        <w:t>告</w:t>
      </w:r>
    </w:p>
    <w:p>
      <w:pPr>
        <w:sectPr>
          <w:footerReference w:type="default" r:id="rId4"/>
          <w:pgSz w:w="11910" w:h="16840"/>
          <w:pgMar w:top="1431" w:right="1714" w:bottom="1126" w:left="1786" w:header="0" w:footer="947" w:gutter="0"/>
        </w:sectPr>
        <w:rPr/>
      </w:pPr>
    </w:p>
    <w:p>
      <w:pPr>
        <w:ind w:left="963"/>
        <w:spacing w:before="329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2-1.2022年度新晃县项目支出绩效自评表</w:t>
      </w:r>
    </w:p>
    <w:p>
      <w:pPr>
        <w:ind w:left="963" w:right="1271"/>
        <w:spacing w:before="257" w:line="37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2-2.2022年度新晃县项目绩效自评计分标准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2-3.2022年度新晃县项目支出绩效自评报告</w:t>
      </w:r>
    </w:p>
    <w:p>
      <w:pPr>
        <w:ind w:left="963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3-1.2022年度绩效自评完成情况汇总表</w:t>
      </w:r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ind w:right="333"/>
        <w:spacing w:before="101" w:line="222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3297855</wp:posOffset>
            </wp:positionH>
            <wp:positionV relativeFrom="paragraph">
              <wp:posOffset>-602718</wp:posOffset>
            </wp:positionV>
            <wp:extent cx="1504931" cy="1517713"/>
            <wp:effectExtent l="0" t="0" r="0" b="0"/>
            <wp:wrapNone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04931" cy="15177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FangSong" w:hAnsi="FangSong" w:eastAsia="FangSong" w:cs="FangSong"/>
          <w:sz w:val="31"/>
          <w:szCs w:val="31"/>
          <w:spacing w:val="6"/>
        </w:rPr>
        <w:t>新晃侗族自治县财政局</w:t>
      </w:r>
    </w:p>
    <w:p>
      <w:pPr>
        <w:ind w:left="5263"/>
        <w:spacing w:before="257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7"/>
        </w:rPr>
        <w:t>2023年4月13日</w:t>
      </w:r>
    </w:p>
    <w:p>
      <w:pPr>
        <w:sectPr>
          <w:footerReference w:type="default" r:id="rId5"/>
          <w:pgSz w:w="11910" w:h="16840"/>
          <w:pgMar w:top="1431" w:right="1786" w:bottom="966" w:left="1786" w:header="0" w:footer="730" w:gutter="0"/>
        </w:sectPr>
        <w:rPr/>
      </w:pPr>
    </w:p>
    <w:p>
      <w:pPr>
        <w:spacing w:line="474" w:lineRule="auto"/>
        <w:rPr>
          <w:rFonts w:ascii="Arial"/>
          <w:sz w:val="21"/>
        </w:rPr>
      </w:pPr>
      <w:r/>
    </w:p>
    <w:p>
      <w:pPr>
        <w:ind w:left="429"/>
        <w:spacing w:before="107" w:line="222" w:lineRule="auto"/>
        <w:rPr>
          <w:rFonts w:ascii="FangSong" w:hAnsi="FangSong" w:eastAsia="FangSong" w:cs="FangSong"/>
          <w:sz w:val="33"/>
          <w:szCs w:val="33"/>
        </w:rPr>
      </w:pPr>
      <w:r>
        <w:rPr>
          <w:rFonts w:ascii="FangSong" w:hAnsi="FangSong" w:eastAsia="FangSong" w:cs="FangSong"/>
          <w:sz w:val="33"/>
          <w:szCs w:val="33"/>
          <w:b/>
          <w:bCs/>
          <w:spacing w:val="7"/>
        </w:rPr>
        <w:t>附件1-1</w:t>
      </w:r>
    </w:p>
    <w:p>
      <w:pPr>
        <w:ind w:left="3749"/>
        <w:spacing w:before="105" w:line="219" w:lineRule="auto"/>
        <w:rPr>
          <w:rFonts w:ascii="SimSun" w:hAnsi="SimSun" w:eastAsia="SimSun" w:cs="SimSun"/>
          <w:sz w:val="33"/>
          <w:szCs w:val="33"/>
        </w:rPr>
      </w:pPr>
      <w:r>
        <w:rPr>
          <w:rFonts w:ascii="SimSun" w:hAnsi="SimSun" w:eastAsia="SimSun" w:cs="SimSun"/>
          <w:sz w:val="33"/>
          <w:szCs w:val="33"/>
          <w:b/>
          <w:bCs/>
          <w:spacing w:val="-7"/>
        </w:rPr>
        <w:t>2022年度新晃县XX</w:t>
      </w:r>
      <w:r>
        <w:rPr>
          <w:rFonts w:ascii="SimSun" w:hAnsi="SimSun" w:eastAsia="SimSun" w:cs="SimSun"/>
          <w:sz w:val="33"/>
          <w:szCs w:val="33"/>
          <w:spacing w:val="-80"/>
        </w:rPr>
        <w:t xml:space="preserve"> </w:t>
      </w:r>
      <w:r>
        <w:rPr>
          <w:rFonts w:ascii="SimSun" w:hAnsi="SimSun" w:eastAsia="SimSun" w:cs="SimSun"/>
          <w:sz w:val="33"/>
          <w:szCs w:val="33"/>
          <w:b/>
          <w:bCs/>
          <w:spacing w:val="-7"/>
        </w:rPr>
        <w:t>部门(单位)整体支出绩效自评表</w:t>
      </w:r>
    </w:p>
    <w:p>
      <w:pPr>
        <w:spacing w:line="14" w:lineRule="exact"/>
        <w:rPr/>
      </w:pPr>
      <w:r/>
    </w:p>
    <w:tbl>
      <w:tblPr>
        <w:tblStyle w:val="2"/>
        <w:tblW w:w="14730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204"/>
        <w:gridCol w:w="1219"/>
        <w:gridCol w:w="1199"/>
        <w:gridCol w:w="709"/>
        <w:gridCol w:w="5047"/>
        <w:gridCol w:w="3138"/>
        <w:gridCol w:w="1469"/>
        <w:gridCol w:w="745"/>
      </w:tblGrid>
      <w:tr>
        <w:trPr>
          <w:trHeight w:val="784" w:hRule="atLeast"/>
        </w:trPr>
        <w:tc>
          <w:tcPr>
            <w:tcW w:w="120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ind w:left="237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4"/>
              </w:rPr>
              <w:t>一级指标</w:t>
            </w:r>
          </w:p>
        </w:tc>
        <w:tc>
          <w:tcPr>
            <w:tcW w:w="12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ind w:left="243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4"/>
              </w:rPr>
              <w:t>二级指标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ind w:left="234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4"/>
              </w:rPr>
              <w:t>三级指标</w:t>
            </w:r>
          </w:p>
        </w:tc>
        <w:tc>
          <w:tcPr>
            <w:tcW w:w="709" w:type="dxa"/>
            <w:vAlign w:val="top"/>
          </w:tcPr>
          <w:p>
            <w:pPr>
              <w:ind w:left="165"/>
              <w:spacing w:before="29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5"/>
              </w:rPr>
              <w:t>分值</w:t>
            </w:r>
          </w:p>
        </w:tc>
        <w:tc>
          <w:tcPr>
            <w:tcW w:w="5047" w:type="dxa"/>
            <w:vAlign w:val="top"/>
          </w:tcPr>
          <w:p>
            <w:pPr>
              <w:ind w:left="2136"/>
              <w:spacing w:before="29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19"/>
              </w:rPr>
              <w:t>指标内容</w:t>
            </w:r>
          </w:p>
        </w:tc>
        <w:tc>
          <w:tcPr>
            <w:tcW w:w="3138" w:type="dxa"/>
            <w:vAlign w:val="top"/>
          </w:tcPr>
          <w:p>
            <w:pPr>
              <w:ind w:left="489"/>
              <w:spacing w:before="298" w:line="21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16"/>
              </w:rPr>
              <w:t>指标评价标准及对应分值</w:t>
            </w:r>
          </w:p>
        </w:tc>
        <w:tc>
          <w:tcPr>
            <w:tcW w:w="1469" w:type="dxa"/>
            <w:vAlign w:val="top"/>
          </w:tcPr>
          <w:p>
            <w:pPr>
              <w:ind w:left="191"/>
              <w:spacing w:before="18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4"/>
              </w:rPr>
              <w:t>指标实际完成</w:t>
            </w:r>
          </w:p>
          <w:p>
            <w:pPr>
              <w:ind w:left="281"/>
              <w:spacing w:before="14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4"/>
              </w:rPr>
              <w:t>情况及依据</w:t>
            </w:r>
          </w:p>
        </w:tc>
        <w:tc>
          <w:tcPr>
            <w:tcW w:w="745" w:type="dxa"/>
            <w:vAlign w:val="top"/>
          </w:tcPr>
          <w:p>
            <w:pPr>
              <w:ind w:left="242"/>
              <w:spacing w:before="29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4"/>
              </w:rPr>
              <w:t>得分</w:t>
            </w:r>
          </w:p>
        </w:tc>
      </w:tr>
      <w:tr>
        <w:trPr>
          <w:trHeight w:val="1408" w:hRule="atLeast"/>
        </w:trPr>
        <w:tc>
          <w:tcPr>
            <w:tcW w:w="1204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ind w:left="315"/>
              <w:spacing w:before="59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投入</w:t>
            </w:r>
          </w:p>
          <w:p>
            <w:pPr>
              <w:ind w:left="235"/>
              <w:spacing w:before="8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6"/>
              </w:rPr>
              <w:t>(共14分)</w:t>
            </w:r>
          </w:p>
        </w:tc>
        <w:tc>
          <w:tcPr>
            <w:tcW w:w="1219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ind w:left="280" w:right="232" w:hanging="39"/>
              <w:spacing w:before="58" w:line="26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3"/>
              </w:rPr>
              <w:t>预算编制</w:t>
            </w: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7"/>
              </w:rPr>
              <w:t>(共5分)</w:t>
            </w:r>
          </w:p>
        </w:tc>
        <w:tc>
          <w:tcPr>
            <w:tcW w:w="1199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  <w:r/>
          </w:p>
          <w:p>
            <w:pPr>
              <w:ind w:left="232" w:right="225"/>
              <w:spacing w:before="58" w:line="25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整体绩效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>目标设定</w:t>
            </w:r>
          </w:p>
        </w:tc>
        <w:tc>
          <w:tcPr>
            <w:tcW w:w="709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ind w:left="213"/>
              <w:spacing w:before="59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2.5</w:t>
            </w:r>
          </w:p>
        </w:tc>
        <w:tc>
          <w:tcPr>
            <w:tcW w:w="5047" w:type="dxa"/>
            <w:vAlign w:val="top"/>
          </w:tcPr>
          <w:p>
            <w:pPr>
              <w:ind w:left="124"/>
              <w:spacing w:before="186" w:line="300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4"/>
              </w:rPr>
              <w:t>部门(含所属二级预算单位，下同)或单位是否制定了年度预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算整体绩效目标；整体绩效目标制定依据是否充分，是否与部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门履职、年度工作任务相符；整体绩效目标是否</w:t>
            </w: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清晰、细化、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4"/>
              </w:rPr>
              <w:t>可衡量</w:t>
            </w:r>
            <w:r>
              <w:rPr>
                <w:rFonts w:ascii="SimSun" w:hAnsi="SimSun" w:eastAsia="SimSun" w:cs="SimSun"/>
                <w:sz w:val="17"/>
                <w:szCs w:val="17"/>
                <w:spacing w:val="-40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4"/>
              </w:rPr>
              <w:t>。</w:t>
            </w:r>
          </w:p>
        </w:tc>
        <w:tc>
          <w:tcPr>
            <w:tcW w:w="3138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ind w:left="127" w:right="31"/>
              <w:spacing w:before="58" w:line="279" w:lineRule="auto"/>
              <w:jc w:val="both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6"/>
              </w:rPr>
              <w:t>设有整体绩效目标1分；目标设定依</w:t>
            </w:r>
            <w:r>
              <w:rPr>
                <w:rFonts w:ascii="SimSun" w:hAnsi="SimSun" w:eastAsia="SimSun" w:cs="SimSun"/>
                <w:sz w:val="18"/>
                <w:szCs w:val="18"/>
                <w:spacing w:val="1"/>
              </w:rPr>
              <w:t xml:space="preserve">  </w:t>
            </w: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>据充分符合客观实际0.5分；目标清</w:t>
            </w: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 xml:space="preserve">  </w:t>
            </w:r>
            <w:r>
              <w:rPr>
                <w:rFonts w:ascii="SimSun" w:hAnsi="SimSun" w:eastAsia="SimSun" w:cs="SimSun"/>
                <w:sz w:val="18"/>
                <w:szCs w:val="18"/>
                <w:spacing w:val="4"/>
              </w:rPr>
              <w:t>晰、细化0.5分；目标可衡量0.5分。</w:t>
            </w:r>
          </w:p>
        </w:tc>
        <w:tc>
          <w:tcPr>
            <w:tcW w:w="146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018" w:hRule="atLeast"/>
        </w:trPr>
        <w:tc>
          <w:tcPr>
            <w:tcW w:w="120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19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9" w:type="dxa"/>
            <w:vAlign w:val="top"/>
          </w:tcPr>
          <w:p>
            <w:pPr>
              <w:ind w:left="232" w:right="225"/>
              <w:spacing w:before="270" w:line="26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项目绩效</w:t>
            </w:r>
            <w:r>
              <w:rPr>
                <w:rFonts w:ascii="SimSun" w:hAnsi="SimSun" w:eastAsia="SimSun" w:cs="SimSun"/>
                <w:sz w:val="18"/>
                <w:szCs w:val="18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>目标设定</w:t>
            </w:r>
          </w:p>
        </w:tc>
        <w:tc>
          <w:tcPr>
            <w:tcW w:w="709" w:type="dxa"/>
            <w:vAlign w:val="top"/>
          </w:tcPr>
          <w:p>
            <w:pPr>
              <w:spacing w:line="405" w:lineRule="auto"/>
              <w:rPr>
                <w:rFonts w:ascii="Arial"/>
                <w:sz w:val="21"/>
              </w:rPr>
            </w:pPr>
            <w:r/>
          </w:p>
          <w:p>
            <w:pPr>
              <w:ind w:left="213"/>
              <w:spacing w:before="59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2.5</w:t>
            </w:r>
          </w:p>
        </w:tc>
        <w:tc>
          <w:tcPr>
            <w:tcW w:w="5047" w:type="dxa"/>
            <w:vAlign w:val="top"/>
          </w:tcPr>
          <w:p>
            <w:pPr>
              <w:ind w:left="124"/>
              <w:spacing w:before="288" w:line="27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是否科学、合理设立了项目绩效目标；目标明确</w:t>
            </w: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；目标细化；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目标量化。</w:t>
            </w:r>
          </w:p>
        </w:tc>
        <w:tc>
          <w:tcPr>
            <w:tcW w:w="3138" w:type="dxa"/>
            <w:vAlign w:val="top"/>
          </w:tcPr>
          <w:p>
            <w:pPr>
              <w:ind w:left="127" w:right="154"/>
              <w:spacing w:before="129" w:line="26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3"/>
              </w:rPr>
              <w:t>项目均设有绩效目标0.5分；目标科</w:t>
            </w:r>
            <w:r>
              <w:rPr>
                <w:rFonts w:ascii="SimSun" w:hAnsi="SimSun" w:eastAsia="SimSun" w:cs="SimSun"/>
                <w:sz w:val="18"/>
                <w:szCs w:val="18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6"/>
              </w:rPr>
              <w:t>学合理0.5分；目标明确0.5分；</w:t>
            </w:r>
          </w:p>
          <w:p>
            <w:pPr>
              <w:ind w:left="127"/>
              <w:spacing w:before="86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5"/>
              </w:rPr>
              <w:t>目标细化0.5分；目标量化0.5分。</w:t>
            </w:r>
          </w:p>
        </w:tc>
        <w:tc>
          <w:tcPr>
            <w:tcW w:w="146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648" w:hRule="atLeast"/>
        </w:trPr>
        <w:tc>
          <w:tcPr>
            <w:tcW w:w="120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19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ind w:left="241"/>
              <w:spacing w:before="59" w:line="310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  <w:position w:val="9"/>
              </w:rPr>
              <w:t>预算配置</w:t>
            </w:r>
          </w:p>
          <w:p>
            <w:pPr>
              <w:ind w:left="281"/>
              <w:spacing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7"/>
              </w:rPr>
              <w:t>(共9分)</w:t>
            </w:r>
          </w:p>
        </w:tc>
        <w:tc>
          <w:tcPr>
            <w:tcW w:w="1199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ind w:left="232"/>
              <w:spacing w:before="59" w:line="221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6"/>
              </w:rPr>
              <w:t>在职人员</w:t>
            </w:r>
          </w:p>
          <w:p>
            <w:pPr>
              <w:ind w:left="322"/>
              <w:spacing w:before="83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控制率</w:t>
            </w:r>
          </w:p>
        </w:tc>
        <w:tc>
          <w:tcPr>
            <w:tcW w:w="709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ind w:left="303"/>
              <w:spacing w:before="59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3</w:t>
            </w:r>
          </w:p>
        </w:tc>
        <w:tc>
          <w:tcPr>
            <w:tcW w:w="5047" w:type="dxa"/>
            <w:vAlign w:val="top"/>
          </w:tcPr>
          <w:p>
            <w:pPr>
              <w:ind w:left="124"/>
              <w:spacing w:before="142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在职人员控制率=[在职人员数/编制数]×100%</w:t>
            </w:r>
          </w:p>
          <w:p>
            <w:pPr>
              <w:ind w:left="124" w:right="37"/>
              <w:spacing w:before="95" w:line="26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在职人员数：部门实际在职人数，以财政确定的部门决算编制</w:t>
            </w:r>
            <w:r>
              <w:rPr>
                <w:rFonts w:ascii="SimSun" w:hAnsi="SimSun" w:eastAsia="SimSun" w:cs="SimSun"/>
                <w:sz w:val="18"/>
                <w:szCs w:val="18"/>
                <w:spacing w:val="1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4"/>
              </w:rPr>
              <w:t>口径为准，结合工资发放表上的年平均人数。</w:t>
            </w:r>
          </w:p>
          <w:p>
            <w:pPr>
              <w:ind w:left="124"/>
              <w:spacing w:before="85" w:line="26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编制数：机构编制部门核定批复的部门的人员编制数(含临时人</w:t>
            </w: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员</w:t>
            </w:r>
            <w:r>
              <w:rPr>
                <w:rFonts w:ascii="SimSun" w:hAnsi="SimSun" w:eastAsia="SimSun" w:cs="SimSun"/>
                <w:sz w:val="17"/>
                <w:szCs w:val="17"/>
                <w:spacing w:val="-1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)</w:t>
            </w:r>
            <w:r>
              <w:rPr>
                <w:rFonts w:ascii="SimSun" w:hAnsi="SimSun" w:eastAsia="SimSun" w:cs="SimSun"/>
                <w:sz w:val="17"/>
                <w:szCs w:val="17"/>
                <w:spacing w:val="-18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。</w:t>
            </w:r>
          </w:p>
        </w:tc>
        <w:tc>
          <w:tcPr>
            <w:tcW w:w="3138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ind w:left="127"/>
              <w:spacing w:before="59" w:line="320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9"/>
                <w:position w:val="10"/>
              </w:rPr>
              <w:t>结果≤100%,得3分；</w:t>
            </w:r>
          </w:p>
          <w:p>
            <w:pPr>
              <w:ind w:left="127"/>
              <w:spacing w:line="21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25"/>
              </w:rPr>
              <w:t>结果&gt;100%,得0分。</w:t>
            </w:r>
          </w:p>
        </w:tc>
        <w:tc>
          <w:tcPr>
            <w:tcW w:w="146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89" w:hRule="atLeast"/>
        </w:trPr>
        <w:tc>
          <w:tcPr>
            <w:tcW w:w="120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19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9" w:type="dxa"/>
            <w:vAlign w:val="top"/>
          </w:tcPr>
          <w:p>
            <w:pPr>
              <w:ind w:left="232"/>
              <w:spacing w:before="154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三公经费</w:t>
            </w:r>
          </w:p>
          <w:p>
            <w:pPr>
              <w:ind w:left="322"/>
              <w:spacing w:before="9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变动率</w:t>
            </w:r>
          </w:p>
        </w:tc>
        <w:tc>
          <w:tcPr>
            <w:tcW w:w="709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ind w:left="303"/>
              <w:spacing w:before="58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3</w:t>
            </w:r>
          </w:p>
        </w:tc>
        <w:tc>
          <w:tcPr>
            <w:tcW w:w="5047" w:type="dxa"/>
            <w:vAlign w:val="top"/>
          </w:tcPr>
          <w:p>
            <w:pPr>
              <w:ind w:left="124"/>
              <w:spacing w:before="153" w:line="2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"三公经费"变动率=[本年度"三公经费”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预算总额/上年度"三公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经费”预算总额]×100%</w:t>
            </w:r>
          </w:p>
        </w:tc>
        <w:tc>
          <w:tcPr>
            <w:tcW w:w="3138" w:type="dxa"/>
            <w:vAlign w:val="top"/>
          </w:tcPr>
          <w:p>
            <w:pPr>
              <w:ind w:left="127"/>
              <w:spacing w:before="171" w:line="300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9"/>
                <w:position w:val="9"/>
              </w:rPr>
              <w:t>结果≤100%,得3分；</w:t>
            </w:r>
          </w:p>
          <w:p>
            <w:pPr>
              <w:ind w:left="127"/>
              <w:spacing w:line="21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25"/>
              </w:rPr>
              <w:t>结果&gt;100%,得0分。</w:t>
            </w:r>
          </w:p>
        </w:tc>
        <w:tc>
          <w:tcPr>
            <w:tcW w:w="146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732" w:hRule="atLeast"/>
        </w:trPr>
        <w:tc>
          <w:tcPr>
            <w:tcW w:w="1204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19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9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ind w:left="142"/>
              <w:spacing w:before="59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重点项目预</w:t>
            </w:r>
          </w:p>
          <w:p>
            <w:pPr>
              <w:ind w:left="232"/>
              <w:spacing w:before="9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算保障率</w:t>
            </w:r>
          </w:p>
        </w:tc>
        <w:tc>
          <w:tcPr>
            <w:tcW w:w="709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ind w:left="303"/>
              <w:spacing w:before="59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3</w:t>
            </w:r>
          </w:p>
        </w:tc>
        <w:tc>
          <w:tcPr>
            <w:tcW w:w="5047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ind w:left="124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3"/>
              </w:rPr>
              <w:t>重点项目预算保障率=(重点项目预算/项目总预算)×100%。</w:t>
            </w:r>
          </w:p>
          <w:p>
            <w:pPr>
              <w:ind w:left="124" w:right="59"/>
              <w:spacing w:before="75" w:line="285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重点项目预算：部门年度预算安排的，与本部门履职和发展密</w:t>
            </w:r>
            <w:r>
              <w:rPr>
                <w:rFonts w:ascii="SimSun" w:hAnsi="SimSun" w:eastAsia="SimSun" w:cs="SimSun"/>
                <w:sz w:val="18"/>
                <w:szCs w:val="18"/>
                <w:spacing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</w:rPr>
              <w:t>切相关、具有明显社会和经济影响、党委政府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关心或社会比较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5"/>
              </w:rPr>
              <w:t>关注的，列入政府重点项目的预算总额。</w:t>
            </w:r>
          </w:p>
        </w:tc>
        <w:tc>
          <w:tcPr>
            <w:tcW w:w="3138" w:type="dxa"/>
            <w:vAlign w:val="top"/>
          </w:tcPr>
          <w:p>
            <w:pPr>
              <w:spacing w:line="431" w:lineRule="auto"/>
              <w:rPr>
                <w:rFonts w:ascii="Arial"/>
                <w:sz w:val="21"/>
              </w:rPr>
            </w:pPr>
            <w:r/>
          </w:p>
          <w:p>
            <w:pPr>
              <w:ind w:left="127"/>
              <w:spacing w:before="59" w:line="21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9"/>
              </w:rPr>
              <w:t>结果≥80%,得3分；</w:t>
            </w:r>
          </w:p>
          <w:p>
            <w:pPr>
              <w:ind w:left="127"/>
              <w:spacing w:before="88" w:line="300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18"/>
                <w:position w:val="9"/>
              </w:rPr>
              <w:t>80%&gt;结果≥60%,得2分；</w:t>
            </w:r>
          </w:p>
          <w:p>
            <w:pPr>
              <w:ind w:left="127"/>
              <w:spacing w:line="21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28"/>
              </w:rPr>
              <w:t>结果&lt;60%,得0分。</w:t>
            </w:r>
          </w:p>
        </w:tc>
        <w:tc>
          <w:tcPr>
            <w:tcW w:w="146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7"/>
          <w:pgSz w:w="16840" w:h="11910"/>
          <w:pgMar w:top="1012" w:right="1074" w:bottom="1116" w:left="1024" w:header="0" w:footer="937" w:gutter="0"/>
        </w:sectPr>
        <w:rPr/>
      </w:pPr>
    </w:p>
    <w:p>
      <w:pPr>
        <w:rPr/>
      </w:pPr>
      <w:r/>
    </w:p>
    <w:p>
      <w:pPr>
        <w:spacing w:line="161" w:lineRule="exact"/>
        <w:rPr/>
      </w:pPr>
      <w:r/>
    </w:p>
    <w:tbl>
      <w:tblPr>
        <w:tblStyle w:val="2"/>
        <w:tblW w:w="14740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184"/>
        <w:gridCol w:w="1239"/>
        <w:gridCol w:w="1209"/>
        <w:gridCol w:w="709"/>
        <w:gridCol w:w="5057"/>
        <w:gridCol w:w="3098"/>
        <w:gridCol w:w="1509"/>
        <w:gridCol w:w="735"/>
      </w:tblGrid>
      <w:tr>
        <w:trPr>
          <w:trHeight w:val="784" w:hRule="atLeast"/>
        </w:trPr>
        <w:tc>
          <w:tcPr>
            <w:tcW w:w="118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ind w:left="227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4"/>
              </w:rPr>
              <w:t>一级指标</w:t>
            </w:r>
          </w:p>
        </w:tc>
        <w:tc>
          <w:tcPr>
            <w:tcW w:w="123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ind w:left="253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4"/>
              </w:rPr>
              <w:t>二级指标</w:t>
            </w: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ind w:left="234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4"/>
              </w:rPr>
              <w:t>三级指标</w:t>
            </w:r>
          </w:p>
        </w:tc>
        <w:tc>
          <w:tcPr>
            <w:tcW w:w="709" w:type="dxa"/>
            <w:vAlign w:val="top"/>
          </w:tcPr>
          <w:p>
            <w:pPr>
              <w:ind w:left="165"/>
              <w:spacing w:before="29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5"/>
              </w:rPr>
              <w:t>分值</w:t>
            </w:r>
          </w:p>
        </w:tc>
        <w:tc>
          <w:tcPr>
            <w:tcW w:w="5057" w:type="dxa"/>
            <w:vAlign w:val="top"/>
          </w:tcPr>
          <w:p>
            <w:pPr>
              <w:ind w:left="2136"/>
              <w:spacing w:before="29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14"/>
              </w:rPr>
              <w:t>指标内容</w:t>
            </w:r>
          </w:p>
        </w:tc>
        <w:tc>
          <w:tcPr>
            <w:tcW w:w="3098" w:type="dxa"/>
            <w:vAlign w:val="top"/>
          </w:tcPr>
          <w:p>
            <w:pPr>
              <w:ind w:left="469"/>
              <w:spacing w:before="298" w:line="21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3"/>
              </w:rPr>
              <w:t>指标评价标准及对应分值</w:t>
            </w:r>
          </w:p>
        </w:tc>
        <w:tc>
          <w:tcPr>
            <w:tcW w:w="1509" w:type="dxa"/>
            <w:vAlign w:val="top"/>
          </w:tcPr>
          <w:p>
            <w:pPr>
              <w:ind w:left="211"/>
              <w:spacing w:before="16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4"/>
              </w:rPr>
              <w:t>指标实际完成</w:t>
            </w:r>
          </w:p>
          <w:p>
            <w:pPr>
              <w:ind w:left="301"/>
              <w:spacing w:before="15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4"/>
              </w:rPr>
              <w:t>情况及依据</w:t>
            </w:r>
          </w:p>
        </w:tc>
        <w:tc>
          <w:tcPr>
            <w:tcW w:w="735" w:type="dxa"/>
            <w:vAlign w:val="top"/>
          </w:tcPr>
          <w:p>
            <w:pPr>
              <w:ind w:left="182"/>
              <w:spacing w:before="29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4"/>
              </w:rPr>
              <w:t>得分</w:t>
            </w:r>
          </w:p>
        </w:tc>
      </w:tr>
      <w:tr>
        <w:trPr>
          <w:trHeight w:val="1758" w:hRule="atLeast"/>
        </w:trPr>
        <w:tc>
          <w:tcPr>
            <w:tcW w:w="1184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405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过程</w:t>
            </w:r>
          </w:p>
          <w:p>
            <w:pPr>
              <w:ind w:left="225"/>
              <w:spacing w:before="9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6"/>
              </w:rPr>
              <w:t>(共26分)</w:t>
            </w:r>
          </w:p>
        </w:tc>
        <w:tc>
          <w:tcPr>
            <w:tcW w:w="1239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250"/>
              <w:spacing w:before="5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预算执行</w:t>
            </w:r>
          </w:p>
          <w:p>
            <w:pPr>
              <w:ind w:left="341"/>
              <w:spacing w:before="96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7"/>
              </w:rPr>
              <w:t>(12分)</w:t>
            </w:r>
          </w:p>
        </w:tc>
        <w:tc>
          <w:tcPr>
            <w:tcW w:w="1209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ind w:left="232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项目预算</w:t>
            </w:r>
          </w:p>
          <w:p>
            <w:pPr>
              <w:ind w:left="322"/>
              <w:spacing w:before="8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执行率</w:t>
            </w:r>
          </w:p>
        </w:tc>
        <w:tc>
          <w:tcPr>
            <w:tcW w:w="709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ind w:left="303"/>
              <w:spacing w:before="59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3</w:t>
            </w:r>
          </w:p>
        </w:tc>
        <w:tc>
          <w:tcPr>
            <w:tcW w:w="5057" w:type="dxa"/>
            <w:vAlign w:val="top"/>
          </w:tcPr>
          <w:p>
            <w:pPr>
              <w:spacing w:line="436" w:lineRule="auto"/>
              <w:rPr>
                <w:rFonts w:ascii="Arial"/>
                <w:sz w:val="21"/>
              </w:rPr>
            </w:pPr>
            <w:r/>
          </w:p>
          <w:p>
            <w:pPr>
              <w:ind w:left="114" w:right="523"/>
              <w:spacing w:before="59" w:line="26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3"/>
              </w:rPr>
              <w:t>项目预算执行率=[项目预算执行数/项目预算]×100%。</w:t>
            </w:r>
            <w:r>
              <w:rPr>
                <w:rFonts w:ascii="SimSun" w:hAnsi="SimSun" w:eastAsia="SimSun" w:cs="SimSun"/>
                <w:sz w:val="18"/>
                <w:szCs w:val="18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4"/>
              </w:rPr>
              <w:t>项目预算执行数：部门本年度实际执行的项目</w:t>
            </w:r>
            <w:r>
              <w:rPr>
                <w:rFonts w:ascii="SimSun" w:hAnsi="SimSun" w:eastAsia="SimSun" w:cs="SimSun"/>
                <w:sz w:val="18"/>
                <w:szCs w:val="18"/>
                <w:spacing w:val="3"/>
              </w:rPr>
              <w:t>预算。</w:t>
            </w:r>
          </w:p>
          <w:p>
            <w:pPr>
              <w:ind w:left="114"/>
              <w:spacing w:before="8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4"/>
              </w:rPr>
              <w:t>项目预算数：财政部门批复的本年度部门项目</w:t>
            </w:r>
            <w:r>
              <w:rPr>
                <w:rFonts w:ascii="SimSun" w:hAnsi="SimSun" w:eastAsia="SimSun" w:cs="SimSun"/>
                <w:sz w:val="18"/>
                <w:szCs w:val="18"/>
                <w:spacing w:val="3"/>
              </w:rPr>
              <w:t>预算。</w:t>
            </w:r>
          </w:p>
        </w:tc>
        <w:tc>
          <w:tcPr>
            <w:tcW w:w="3098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ind w:left="107"/>
              <w:spacing w:before="58" w:line="310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  <w:position w:val="9"/>
              </w:rPr>
              <w:t>95%&lt;结果≤100%,得3分</w:t>
            </w:r>
          </w:p>
          <w:p>
            <w:pPr>
              <w:ind w:left="107"/>
              <w:spacing w:line="21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5"/>
              </w:rPr>
              <w:t>90%≤结果&lt;95%,得2分；</w:t>
            </w:r>
          </w:p>
          <w:p>
            <w:pPr>
              <w:ind w:left="107"/>
              <w:spacing w:before="89" w:line="21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5"/>
              </w:rPr>
              <w:t>80%≤结果&lt;90%,得1分；</w:t>
            </w:r>
          </w:p>
          <w:p>
            <w:pPr>
              <w:ind w:left="107"/>
              <w:spacing w:before="79" w:line="21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8"/>
              </w:rPr>
              <w:t>结果&lt;80%,得0分。</w:t>
            </w:r>
          </w:p>
        </w:tc>
        <w:tc>
          <w:tcPr>
            <w:tcW w:w="15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678" w:hRule="atLeast"/>
        </w:trPr>
        <w:tc>
          <w:tcPr>
            <w:tcW w:w="118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9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9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ind w:left="412"/>
              <w:spacing w:before="58" w:line="320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  <w:position w:val="10"/>
              </w:rPr>
              <w:t>预算</w:t>
            </w:r>
          </w:p>
          <w:p>
            <w:pPr>
              <w:ind w:left="322"/>
              <w:spacing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调整率</w:t>
            </w:r>
          </w:p>
        </w:tc>
        <w:tc>
          <w:tcPr>
            <w:tcW w:w="709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303"/>
              <w:spacing w:before="59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2</w:t>
            </w:r>
          </w:p>
        </w:tc>
        <w:tc>
          <w:tcPr>
            <w:tcW w:w="5057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ind w:left="114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预算调整率=[预算调整数/预算数]×100%</w:t>
            </w:r>
          </w:p>
          <w:p>
            <w:pPr>
              <w:ind w:left="114" w:right="57"/>
              <w:spacing w:before="84" w:line="275" w:lineRule="auto"/>
              <w:jc w:val="both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预算调整数：部门在本年度内涉及预算的追加、追减或结构调</w:t>
            </w:r>
            <w:r>
              <w:rPr>
                <w:rFonts w:ascii="SimSun" w:hAnsi="SimSun" w:eastAsia="SimSun" w:cs="SimSun"/>
                <w:sz w:val="18"/>
                <w:szCs w:val="18"/>
                <w:spacing w:val="13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1"/>
              </w:rPr>
              <w:t>整的资金总和(因落实国家政策、发生不可抗力、上级部门或</w:t>
            </w:r>
            <w:r>
              <w:rPr>
                <w:rFonts w:ascii="SimSun" w:hAnsi="SimSun" w:eastAsia="SimSun" w:cs="SimSun"/>
                <w:sz w:val="18"/>
                <w:szCs w:val="18"/>
                <w:spacing w:val="10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4"/>
              </w:rPr>
              <w:t>党委政府临时交办而产生的调整除外)。</w:t>
            </w:r>
          </w:p>
        </w:tc>
        <w:tc>
          <w:tcPr>
            <w:tcW w:w="3098" w:type="dxa"/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  <w:r/>
          </w:p>
          <w:p>
            <w:pPr>
              <w:ind w:left="107"/>
              <w:spacing w:before="59" w:line="21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9"/>
              </w:rPr>
              <w:t>结果≤5%,得2分；</w:t>
            </w:r>
          </w:p>
          <w:p>
            <w:pPr>
              <w:ind w:left="107"/>
              <w:spacing w:before="98" w:line="300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6"/>
                <w:position w:val="9"/>
              </w:rPr>
              <w:t>5%&lt;结果≤10%,得1分；</w:t>
            </w:r>
          </w:p>
          <w:p>
            <w:pPr>
              <w:ind w:left="107"/>
              <w:spacing w:line="21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8"/>
              </w:rPr>
              <w:t>结果&gt;10%,得0分。</w:t>
            </w:r>
          </w:p>
        </w:tc>
        <w:tc>
          <w:tcPr>
            <w:tcW w:w="15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29" w:hRule="atLeast"/>
        </w:trPr>
        <w:tc>
          <w:tcPr>
            <w:tcW w:w="118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9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9" w:type="dxa"/>
            <w:vAlign w:val="top"/>
          </w:tcPr>
          <w:p>
            <w:pPr>
              <w:ind w:left="232"/>
              <w:spacing w:before="252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>公用经费</w:t>
            </w:r>
          </w:p>
          <w:p>
            <w:pPr>
              <w:ind w:left="322"/>
              <w:spacing w:before="8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控制率</w:t>
            </w:r>
          </w:p>
        </w:tc>
        <w:tc>
          <w:tcPr>
            <w:tcW w:w="709" w:type="dxa"/>
            <w:vAlign w:val="top"/>
          </w:tcPr>
          <w:p>
            <w:pPr>
              <w:spacing w:line="368" w:lineRule="auto"/>
              <w:rPr>
                <w:rFonts w:ascii="Arial"/>
                <w:sz w:val="21"/>
              </w:rPr>
            </w:pPr>
            <w:r/>
          </w:p>
          <w:p>
            <w:pPr>
              <w:ind w:left="303"/>
              <w:spacing w:before="58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3</w:t>
            </w:r>
          </w:p>
        </w:tc>
        <w:tc>
          <w:tcPr>
            <w:tcW w:w="5057" w:type="dxa"/>
            <w:vAlign w:val="top"/>
          </w:tcPr>
          <w:p>
            <w:pPr>
              <w:ind w:left="114" w:right="175"/>
              <w:spacing w:before="251" w:line="26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公用经费控制率=[公用经费实际支出总额/公用经费预算安排</w:t>
            </w:r>
            <w:r>
              <w:rPr>
                <w:rFonts w:ascii="SimSun" w:hAnsi="SimSun" w:eastAsia="SimSun" w:cs="SimSun"/>
                <w:sz w:val="18"/>
                <w:szCs w:val="18"/>
                <w:spacing w:val="1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总额]×100%</w:t>
            </w:r>
          </w:p>
        </w:tc>
        <w:tc>
          <w:tcPr>
            <w:tcW w:w="3098" w:type="dxa"/>
            <w:vAlign w:val="top"/>
          </w:tcPr>
          <w:p>
            <w:pPr>
              <w:ind w:left="107"/>
              <w:spacing w:before="249" w:line="300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7"/>
                <w:position w:val="9"/>
              </w:rPr>
              <w:t>结果≤100%,得3分；</w:t>
            </w:r>
          </w:p>
          <w:p>
            <w:pPr>
              <w:ind w:left="107"/>
              <w:spacing w:line="21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7"/>
              </w:rPr>
              <w:t>结果&gt;100%,得0分。</w:t>
            </w:r>
          </w:p>
        </w:tc>
        <w:tc>
          <w:tcPr>
            <w:tcW w:w="15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028" w:hRule="atLeast"/>
        </w:trPr>
        <w:tc>
          <w:tcPr>
            <w:tcW w:w="118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9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9" w:type="dxa"/>
            <w:vAlign w:val="top"/>
          </w:tcPr>
          <w:p>
            <w:pPr>
              <w:ind w:left="322" w:right="142" w:hanging="180"/>
              <w:spacing w:before="284" w:line="26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>"三公经费"</w:t>
            </w:r>
            <w:r>
              <w:rPr>
                <w:rFonts w:ascii="SimSun" w:hAnsi="SimSun" w:eastAsia="SimSun" w:cs="SimSun"/>
                <w:sz w:val="18"/>
                <w:szCs w:val="18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控制率</w:t>
            </w:r>
          </w:p>
        </w:tc>
        <w:tc>
          <w:tcPr>
            <w:tcW w:w="709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ind w:left="303"/>
              <w:spacing w:before="59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2</w:t>
            </w:r>
          </w:p>
        </w:tc>
        <w:tc>
          <w:tcPr>
            <w:tcW w:w="5057" w:type="dxa"/>
            <w:vAlign w:val="top"/>
          </w:tcPr>
          <w:p>
            <w:pPr>
              <w:ind w:left="114"/>
              <w:spacing w:before="293" w:line="28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"三公经费"控制率=["三公经费"实际支出总额/"三公经费"预算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安排总额]×100%</w:t>
            </w:r>
          </w:p>
        </w:tc>
        <w:tc>
          <w:tcPr>
            <w:tcW w:w="3098" w:type="dxa"/>
            <w:vAlign w:val="top"/>
          </w:tcPr>
          <w:p>
            <w:pPr>
              <w:ind w:left="107"/>
              <w:spacing w:before="290" w:line="300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7"/>
                <w:position w:val="9"/>
              </w:rPr>
              <w:t>结果≤100%,得2分；</w:t>
            </w:r>
          </w:p>
          <w:p>
            <w:pPr>
              <w:ind w:left="107"/>
              <w:spacing w:line="21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7"/>
              </w:rPr>
              <w:t>结果&gt;100%,得0分。</w:t>
            </w:r>
          </w:p>
        </w:tc>
        <w:tc>
          <w:tcPr>
            <w:tcW w:w="15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052" w:hRule="atLeast"/>
        </w:trPr>
        <w:tc>
          <w:tcPr>
            <w:tcW w:w="1184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9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9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232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政府采购</w:t>
            </w:r>
          </w:p>
          <w:p>
            <w:pPr>
              <w:ind w:left="322"/>
              <w:spacing w:before="87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完成率</w:t>
            </w:r>
          </w:p>
        </w:tc>
        <w:tc>
          <w:tcPr>
            <w:tcW w:w="709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ind w:left="303"/>
              <w:spacing w:before="59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2</w:t>
            </w:r>
          </w:p>
        </w:tc>
        <w:tc>
          <w:tcPr>
            <w:tcW w:w="5057" w:type="dxa"/>
            <w:vAlign w:val="top"/>
          </w:tcPr>
          <w:p>
            <w:pPr>
              <w:spacing w:line="443" w:lineRule="auto"/>
              <w:rPr>
                <w:rFonts w:ascii="Arial"/>
                <w:sz w:val="21"/>
              </w:rPr>
            </w:pPr>
            <w:r/>
          </w:p>
          <w:p>
            <w:pPr>
              <w:ind w:left="114" w:right="33"/>
              <w:spacing w:before="59" w:line="261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1"/>
              </w:rPr>
              <w:t>政府采购完成率=(政府采购完成项目数/政府采购预算项目数)</w:t>
            </w:r>
            <w:r>
              <w:rPr>
                <w:rFonts w:ascii="SimSun" w:hAnsi="SimSun" w:eastAsia="SimSun" w:cs="SimSun"/>
                <w:sz w:val="18"/>
                <w:szCs w:val="18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×100%;</w:t>
            </w:r>
          </w:p>
          <w:p>
            <w:pPr>
              <w:ind w:left="114" w:right="79"/>
              <w:spacing w:before="90" w:line="26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政府采购预算项目：采购机关根据事业发展计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划和行政任务编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3"/>
              </w:rPr>
              <w:t>制的、并经过规定程序批准的年度政府采购计划项目。</w:t>
            </w:r>
          </w:p>
        </w:tc>
        <w:tc>
          <w:tcPr>
            <w:tcW w:w="3098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ind w:left="107"/>
              <w:spacing w:before="59" w:line="21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7"/>
              </w:rPr>
              <w:t>完成率≥80%,得2分；</w:t>
            </w:r>
          </w:p>
          <w:p>
            <w:pPr>
              <w:ind w:left="107"/>
              <w:spacing w:before="108" w:line="300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5"/>
                <w:position w:val="9"/>
              </w:rPr>
              <w:t>80%&gt;完成率≥60%,得1分；</w:t>
            </w:r>
          </w:p>
          <w:p>
            <w:pPr>
              <w:ind w:left="107"/>
              <w:spacing w:line="21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7"/>
              </w:rPr>
              <w:t>完成率&lt;60%,得0分。</w:t>
            </w:r>
          </w:p>
        </w:tc>
        <w:tc>
          <w:tcPr>
            <w:tcW w:w="15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8"/>
          <w:pgSz w:w="16840" w:h="11910"/>
          <w:pgMar w:top="1012" w:right="1065" w:bottom="1127" w:left="1024" w:header="0" w:footer="960" w:gutter="0"/>
        </w:sectPr>
        <w:rPr/>
      </w:pPr>
    </w:p>
    <w:p>
      <w:pPr>
        <w:rPr/>
      </w:pPr>
      <w:r/>
    </w:p>
    <w:p>
      <w:pPr>
        <w:spacing w:line="161" w:lineRule="exact"/>
        <w:rPr/>
      </w:pPr>
      <w:r/>
    </w:p>
    <w:tbl>
      <w:tblPr>
        <w:tblStyle w:val="2"/>
        <w:tblW w:w="14720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184"/>
        <w:gridCol w:w="1239"/>
        <w:gridCol w:w="1209"/>
        <w:gridCol w:w="709"/>
        <w:gridCol w:w="5047"/>
        <w:gridCol w:w="3118"/>
        <w:gridCol w:w="1479"/>
        <w:gridCol w:w="735"/>
      </w:tblGrid>
      <w:tr>
        <w:trPr>
          <w:trHeight w:val="784" w:hRule="atLeast"/>
        </w:trPr>
        <w:tc>
          <w:tcPr>
            <w:tcW w:w="118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ind w:left="227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4"/>
              </w:rPr>
              <w:t>一级指标</w:t>
            </w:r>
          </w:p>
        </w:tc>
        <w:tc>
          <w:tcPr>
            <w:tcW w:w="123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ind w:left="253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4"/>
              </w:rPr>
              <w:t>二级指标</w:t>
            </w:r>
          </w:p>
        </w:tc>
        <w:tc>
          <w:tcPr>
            <w:tcW w:w="12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ind w:left="234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4"/>
              </w:rPr>
              <w:t>三级指标</w:t>
            </w:r>
          </w:p>
        </w:tc>
        <w:tc>
          <w:tcPr>
            <w:tcW w:w="709" w:type="dxa"/>
            <w:vAlign w:val="top"/>
          </w:tcPr>
          <w:p>
            <w:pPr>
              <w:ind w:left="165"/>
              <w:spacing w:before="29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5"/>
              </w:rPr>
              <w:t>分值</w:t>
            </w:r>
          </w:p>
        </w:tc>
        <w:tc>
          <w:tcPr>
            <w:tcW w:w="5047" w:type="dxa"/>
            <w:vAlign w:val="top"/>
          </w:tcPr>
          <w:p>
            <w:pPr>
              <w:ind w:left="2136"/>
              <w:spacing w:before="29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14"/>
              </w:rPr>
              <w:t>指标内容</w:t>
            </w:r>
          </w:p>
        </w:tc>
        <w:tc>
          <w:tcPr>
            <w:tcW w:w="3118" w:type="dxa"/>
            <w:vAlign w:val="top"/>
          </w:tcPr>
          <w:p>
            <w:pPr>
              <w:ind w:left="479"/>
              <w:spacing w:before="298" w:line="21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16"/>
              </w:rPr>
              <w:t>指标评价标准及对应分值</w:t>
            </w:r>
          </w:p>
        </w:tc>
        <w:tc>
          <w:tcPr>
            <w:tcW w:w="1479" w:type="dxa"/>
            <w:vAlign w:val="top"/>
          </w:tcPr>
          <w:p>
            <w:pPr>
              <w:ind w:left="201"/>
              <w:spacing w:before="16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4"/>
              </w:rPr>
              <w:t>指标实际完成</w:t>
            </w:r>
          </w:p>
          <w:p>
            <w:pPr>
              <w:ind w:left="291"/>
              <w:spacing w:before="15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4"/>
              </w:rPr>
              <w:t>情况及依据</w:t>
            </w:r>
          </w:p>
        </w:tc>
        <w:tc>
          <w:tcPr>
            <w:tcW w:w="735" w:type="dxa"/>
            <w:vAlign w:val="top"/>
          </w:tcPr>
          <w:p>
            <w:pPr>
              <w:ind w:left="232"/>
              <w:spacing w:before="29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4"/>
              </w:rPr>
              <w:t>得分</w:t>
            </w:r>
          </w:p>
        </w:tc>
      </w:tr>
      <w:tr>
        <w:trPr>
          <w:trHeight w:val="1149" w:hRule="atLeast"/>
        </w:trPr>
        <w:tc>
          <w:tcPr>
            <w:tcW w:w="1184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9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ind w:left="250"/>
              <w:spacing w:before="58" w:line="301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  <w:position w:val="9"/>
              </w:rPr>
              <w:t>预算管理</w:t>
            </w:r>
          </w:p>
          <w:p>
            <w:pPr>
              <w:ind w:left="380"/>
              <w:spacing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9"/>
              </w:rPr>
              <w:t>(9分)</w:t>
            </w:r>
          </w:p>
        </w:tc>
        <w:tc>
          <w:tcPr>
            <w:tcW w:w="1209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142" w:right="164" w:firstLine="89"/>
              <w:spacing w:before="58" w:line="25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1"/>
              </w:rPr>
              <w:t>资金管理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 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制度健全性</w:t>
            </w:r>
          </w:p>
        </w:tc>
        <w:tc>
          <w:tcPr>
            <w:tcW w:w="709" w:type="dxa"/>
            <w:vAlign w:val="top"/>
          </w:tcPr>
          <w:p>
            <w:pPr>
              <w:spacing w:line="473" w:lineRule="auto"/>
              <w:rPr>
                <w:rFonts w:ascii="Arial"/>
                <w:sz w:val="21"/>
              </w:rPr>
            </w:pPr>
            <w:r/>
          </w:p>
          <w:p>
            <w:pPr>
              <w:ind w:left="303"/>
              <w:spacing w:before="58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2</w:t>
            </w:r>
          </w:p>
        </w:tc>
        <w:tc>
          <w:tcPr>
            <w:tcW w:w="5047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ind w:left="124" w:right="60"/>
              <w:spacing w:before="59" w:line="26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制定预算资金管理办法、内部财务管理制度、内控制度、会计</w:t>
            </w:r>
            <w:r>
              <w:rPr>
                <w:rFonts w:ascii="SimSun" w:hAnsi="SimSun" w:eastAsia="SimSun" w:cs="SimSun"/>
                <w:sz w:val="18"/>
                <w:szCs w:val="18"/>
                <w:spacing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5"/>
              </w:rPr>
              <w:t>核算制度等是否完整，是否执行到位。</w:t>
            </w:r>
          </w:p>
        </w:tc>
        <w:tc>
          <w:tcPr>
            <w:tcW w:w="3118" w:type="dxa"/>
            <w:vAlign w:val="top"/>
          </w:tcPr>
          <w:p>
            <w:pPr>
              <w:spacing w:line="430" w:lineRule="auto"/>
              <w:rPr>
                <w:rFonts w:ascii="Arial"/>
                <w:sz w:val="21"/>
              </w:rPr>
            </w:pPr>
            <w:r/>
          </w:p>
          <w:p>
            <w:pPr>
              <w:ind w:left="126"/>
              <w:spacing w:before="55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>每发现一项问题，扣1分，扣完为止。</w:t>
            </w: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35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017" w:hRule="atLeast"/>
        </w:trPr>
        <w:tc>
          <w:tcPr>
            <w:tcW w:w="118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9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9" w:type="dxa"/>
            <w:vAlign w:val="top"/>
          </w:tcPr>
          <w:p>
            <w:pPr>
              <w:spacing w:line="358" w:lineRule="auto"/>
              <w:rPr>
                <w:rFonts w:ascii="Arial"/>
                <w:sz w:val="21"/>
              </w:rPr>
            </w:pPr>
            <w:r/>
          </w:p>
          <w:p>
            <w:pPr>
              <w:spacing w:line="358" w:lineRule="auto"/>
              <w:rPr>
                <w:rFonts w:ascii="Arial"/>
                <w:sz w:val="21"/>
              </w:rPr>
            </w:pPr>
            <w:r/>
          </w:p>
          <w:p>
            <w:pPr>
              <w:ind w:left="232"/>
              <w:spacing w:before="5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5"/>
              </w:rPr>
              <w:t>资金使用</w:t>
            </w:r>
          </w:p>
          <w:p>
            <w:pPr>
              <w:ind w:left="322"/>
              <w:spacing w:before="77" w:line="221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合规性</w:t>
            </w:r>
          </w:p>
        </w:tc>
        <w:tc>
          <w:tcPr>
            <w:tcW w:w="709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ind w:left="303"/>
              <w:spacing w:before="59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3</w:t>
            </w:r>
          </w:p>
        </w:tc>
        <w:tc>
          <w:tcPr>
            <w:tcW w:w="5047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ind w:left="114" w:firstLine="9"/>
              <w:spacing w:before="56" w:line="300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部门预算资金使用是否符合相关的预算财务管理</w:t>
            </w: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制度的规定。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如①是否符合国家财经法规和财务管理制度规定，以及有关专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项资金管理办法的规定；②资金的拨付是否有完整的审批程序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和手续；③项目的重大开支是否经过评估论证；④是否存在截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14"/>
              </w:rPr>
              <w:t>留、挤占、挪用、虚列支出等情况。</w:t>
            </w:r>
          </w:p>
        </w:tc>
        <w:tc>
          <w:tcPr>
            <w:tcW w:w="3118" w:type="dxa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spacing w:line="353" w:lineRule="auto"/>
              <w:rPr>
                <w:rFonts w:ascii="Arial"/>
                <w:sz w:val="21"/>
              </w:rPr>
            </w:pPr>
            <w:r/>
          </w:p>
          <w:p>
            <w:pPr>
              <w:ind w:left="126" w:right="191"/>
              <w:spacing w:before="59" w:line="26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10"/>
              </w:rPr>
              <w:t>合规率100%得3分；合规率每下降</w:t>
            </w:r>
            <w:r>
              <w:rPr>
                <w:rFonts w:ascii="SimSun" w:hAnsi="SimSun" w:eastAsia="SimSun" w:cs="SimSun"/>
                <w:sz w:val="18"/>
                <w:szCs w:val="18"/>
                <w:spacing w:val="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10"/>
              </w:rPr>
              <w:t>1%,扣0.5分，扣完为止。</w:t>
            </w: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35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29" w:hRule="atLeast"/>
        </w:trPr>
        <w:tc>
          <w:tcPr>
            <w:tcW w:w="118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9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9" w:type="dxa"/>
            <w:vAlign w:val="top"/>
          </w:tcPr>
          <w:p>
            <w:pPr>
              <w:ind w:left="232"/>
              <w:spacing w:before="172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5"/>
              </w:rPr>
              <w:t>资金使用</w:t>
            </w:r>
          </w:p>
          <w:p>
            <w:pPr>
              <w:ind w:left="322"/>
              <w:spacing w:before="97" w:line="221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合理性</w:t>
            </w:r>
          </w:p>
        </w:tc>
        <w:tc>
          <w:tcPr>
            <w:tcW w:w="709" w:type="dxa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ind w:left="303"/>
              <w:spacing w:before="58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2</w:t>
            </w:r>
          </w:p>
        </w:tc>
        <w:tc>
          <w:tcPr>
            <w:tcW w:w="5047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ind w:left="124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3"/>
              </w:rPr>
              <w:t>部门预算资金使用是否与批准的预算及其预算内容相符合。</w:t>
            </w:r>
          </w:p>
        </w:tc>
        <w:tc>
          <w:tcPr>
            <w:tcW w:w="3118" w:type="dxa"/>
            <w:vAlign w:val="top"/>
          </w:tcPr>
          <w:p>
            <w:pPr>
              <w:ind w:left="126" w:right="171"/>
              <w:spacing w:before="181" w:line="261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11"/>
              </w:rPr>
              <w:t>相符率100%得2分；相符率每下降</w:t>
            </w:r>
            <w:r>
              <w:rPr>
                <w:rFonts w:ascii="SimSun" w:hAnsi="SimSun" w:eastAsia="SimSun" w:cs="SimSun"/>
                <w:sz w:val="18"/>
                <w:szCs w:val="18"/>
                <w:spacing w:val="11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10"/>
              </w:rPr>
              <w:t>1%,扣0.5分，扣完为止。</w:t>
            </w: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208" w:hRule="atLeast"/>
        </w:trPr>
        <w:tc>
          <w:tcPr>
            <w:tcW w:w="118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9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9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ind w:left="412"/>
              <w:spacing w:before="59" w:line="300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  <w:position w:val="9"/>
              </w:rPr>
              <w:t>整改</w:t>
            </w:r>
          </w:p>
          <w:p>
            <w:pPr>
              <w:ind w:left="412"/>
              <w:spacing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落实</w:t>
            </w:r>
          </w:p>
        </w:tc>
        <w:tc>
          <w:tcPr>
            <w:tcW w:w="709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303"/>
              <w:spacing w:before="58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2</w:t>
            </w:r>
          </w:p>
        </w:tc>
        <w:tc>
          <w:tcPr>
            <w:tcW w:w="5047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ind w:left="124" w:right="62"/>
              <w:spacing w:before="59" w:line="26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是否对近三年内审计、财政等部门各项检查中、绩效评价发现</w:t>
            </w:r>
            <w:r>
              <w:rPr>
                <w:rFonts w:ascii="SimSun" w:hAnsi="SimSun" w:eastAsia="SimSun" w:cs="SimSun"/>
                <w:sz w:val="18"/>
                <w:szCs w:val="18"/>
                <w:spacing w:val="16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6"/>
              </w:rPr>
              <w:t>违法违规问题已经进行有效整改。</w:t>
            </w:r>
          </w:p>
        </w:tc>
        <w:tc>
          <w:tcPr>
            <w:tcW w:w="3118" w:type="dxa"/>
            <w:vAlign w:val="top"/>
          </w:tcPr>
          <w:p>
            <w:pPr>
              <w:ind w:left="126" w:right="49"/>
              <w:spacing w:before="83" w:line="288" w:lineRule="auto"/>
              <w:jc w:val="both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没发现违法违规问题或发现违法违纪</w:t>
            </w:r>
            <w:r>
              <w:rPr>
                <w:rFonts w:ascii="SimSun" w:hAnsi="SimSun" w:eastAsia="SimSun" w:cs="SimSun"/>
                <w:sz w:val="18"/>
                <w:szCs w:val="18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行为并积极制定措施全部整改的，得</w:t>
            </w:r>
            <w:r>
              <w:rPr>
                <w:rFonts w:ascii="SimSun" w:hAnsi="SimSun" w:eastAsia="SimSun" w:cs="SimSun"/>
                <w:sz w:val="18"/>
                <w:szCs w:val="18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>2分；部分整改的，视整改情况得0.5</w:t>
            </w:r>
            <w:r>
              <w:rPr>
                <w:rFonts w:ascii="SimSun" w:hAnsi="SimSun" w:eastAsia="SimSun" w:cs="SimSun"/>
                <w:sz w:val="18"/>
                <w:szCs w:val="18"/>
                <w:spacing w:val="1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10"/>
              </w:rPr>
              <w:t>至1分；未整改的，得0分。</w:t>
            </w: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9" w:hRule="atLeast"/>
        </w:trPr>
        <w:tc>
          <w:tcPr>
            <w:tcW w:w="118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9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250"/>
              <w:spacing w:before="59" w:line="300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1"/>
                <w:position w:val="9"/>
              </w:rPr>
              <w:t>资产管理</w:t>
            </w:r>
          </w:p>
          <w:p>
            <w:pPr>
              <w:ind w:left="380"/>
              <w:spacing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9"/>
              </w:rPr>
              <w:t>(5分)</w:t>
            </w:r>
          </w:p>
        </w:tc>
        <w:tc>
          <w:tcPr>
            <w:tcW w:w="1209" w:type="dxa"/>
            <w:vAlign w:val="top"/>
          </w:tcPr>
          <w:p>
            <w:pPr>
              <w:ind w:left="142"/>
              <w:spacing w:before="18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3"/>
              </w:rPr>
              <w:t>资产管理制</w:t>
            </w:r>
          </w:p>
          <w:p>
            <w:pPr>
              <w:ind w:left="232"/>
              <w:spacing w:before="86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度健全性</w:t>
            </w:r>
          </w:p>
        </w:tc>
        <w:tc>
          <w:tcPr>
            <w:tcW w:w="709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ind w:left="303"/>
              <w:spacing w:before="58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1</w:t>
            </w:r>
          </w:p>
        </w:tc>
        <w:tc>
          <w:tcPr>
            <w:tcW w:w="5047" w:type="dxa"/>
            <w:vAlign w:val="top"/>
          </w:tcPr>
          <w:p>
            <w:pPr>
              <w:ind w:left="124" w:right="62"/>
              <w:spacing w:before="195" w:line="25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部门为加强资产管理、规范资产管理行为而制定的管理制度是</w:t>
            </w:r>
            <w:r>
              <w:rPr>
                <w:rFonts w:ascii="SimSun" w:hAnsi="SimSun" w:eastAsia="SimSun" w:cs="SimSun"/>
                <w:sz w:val="18"/>
                <w:szCs w:val="18"/>
                <w:spacing w:val="16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4"/>
              </w:rPr>
              <w:t>否健全完整，是否合法合规，是否执行到位。</w:t>
            </w:r>
          </w:p>
        </w:tc>
        <w:tc>
          <w:tcPr>
            <w:tcW w:w="3118" w:type="dxa"/>
            <w:vAlign w:val="top"/>
          </w:tcPr>
          <w:p>
            <w:pPr>
              <w:ind w:left="126" w:right="171"/>
              <w:spacing w:before="194" w:line="27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1"/>
              </w:rPr>
              <w:t>每发现一项问题，扣0.5分，扣完为</w:t>
            </w:r>
            <w:r>
              <w:rPr>
                <w:rFonts w:ascii="SimSun" w:hAnsi="SimSun" w:eastAsia="SimSun" w:cs="SimSun"/>
                <w:sz w:val="18"/>
                <w:szCs w:val="18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止</w:t>
            </w:r>
            <w:r>
              <w:rPr>
                <w:rFonts w:ascii="SimSun" w:hAnsi="SimSun" w:eastAsia="SimSun" w:cs="SimSun"/>
                <w:sz w:val="18"/>
                <w:szCs w:val="18"/>
                <w:spacing w:val="33"/>
                <w:w w:val="101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。</w:t>
            </w: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09" w:hRule="atLeast"/>
        </w:trPr>
        <w:tc>
          <w:tcPr>
            <w:tcW w:w="118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9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9" w:type="dxa"/>
            <w:vAlign w:val="top"/>
          </w:tcPr>
          <w:p>
            <w:pPr>
              <w:ind w:left="232"/>
              <w:spacing w:before="13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1"/>
              </w:rPr>
              <w:t>资产管理</w:t>
            </w:r>
          </w:p>
          <w:p>
            <w:pPr>
              <w:ind w:left="322"/>
              <w:spacing w:before="97" w:line="221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安全性</w:t>
            </w:r>
          </w:p>
        </w:tc>
        <w:tc>
          <w:tcPr>
            <w:tcW w:w="709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ind w:left="303"/>
              <w:spacing w:before="59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2</w:t>
            </w:r>
          </w:p>
        </w:tc>
        <w:tc>
          <w:tcPr>
            <w:tcW w:w="5047" w:type="dxa"/>
            <w:vAlign w:val="top"/>
          </w:tcPr>
          <w:p>
            <w:pPr>
              <w:ind w:left="124"/>
              <w:spacing w:before="136" w:line="27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部门的资产是否保存完整、使用合规、配置合理</w:t>
            </w: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、处置规范、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8"/>
              </w:rPr>
              <w:t>收入及时足额上缴。</w:t>
            </w:r>
          </w:p>
        </w:tc>
        <w:tc>
          <w:tcPr>
            <w:tcW w:w="3118" w:type="dxa"/>
            <w:vAlign w:val="top"/>
          </w:tcPr>
          <w:p>
            <w:pPr>
              <w:ind w:left="126" w:right="171"/>
              <w:spacing w:before="136" w:line="28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1"/>
              </w:rPr>
              <w:t>每发现一项问题，扣0.5分，扣完为</w:t>
            </w:r>
            <w:r>
              <w:rPr>
                <w:rFonts w:ascii="SimSun" w:hAnsi="SimSun" w:eastAsia="SimSun" w:cs="SimSun"/>
                <w:sz w:val="18"/>
                <w:szCs w:val="18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止</w:t>
            </w:r>
            <w:r>
              <w:rPr>
                <w:rFonts w:ascii="SimSun" w:hAnsi="SimSun" w:eastAsia="SimSun" w:cs="SimSun"/>
                <w:sz w:val="18"/>
                <w:szCs w:val="18"/>
                <w:spacing w:val="33"/>
                <w:w w:val="101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。</w:t>
            </w: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84" w:hRule="atLeast"/>
        </w:trPr>
        <w:tc>
          <w:tcPr>
            <w:tcW w:w="1184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9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9" w:type="dxa"/>
            <w:vAlign w:val="top"/>
          </w:tcPr>
          <w:p>
            <w:pPr>
              <w:ind w:left="232"/>
              <w:spacing w:before="267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2"/>
              </w:rPr>
              <w:t>固定资产</w:t>
            </w:r>
          </w:p>
          <w:p>
            <w:pPr>
              <w:ind w:left="322"/>
              <w:spacing w:before="9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利用率</w:t>
            </w:r>
          </w:p>
        </w:tc>
        <w:tc>
          <w:tcPr>
            <w:tcW w:w="709" w:type="dxa"/>
            <w:vAlign w:val="top"/>
          </w:tcPr>
          <w:p>
            <w:pPr>
              <w:spacing w:line="392" w:lineRule="auto"/>
              <w:rPr>
                <w:rFonts w:ascii="Arial"/>
                <w:sz w:val="21"/>
              </w:rPr>
            </w:pPr>
            <w:r/>
          </w:p>
          <w:p>
            <w:pPr>
              <w:ind w:left="303"/>
              <w:spacing w:before="59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2</w:t>
            </w:r>
          </w:p>
        </w:tc>
        <w:tc>
          <w:tcPr>
            <w:tcW w:w="5047" w:type="dxa"/>
            <w:vAlign w:val="top"/>
          </w:tcPr>
          <w:p>
            <w:pPr>
              <w:ind w:left="124"/>
              <w:spacing w:before="277" w:line="356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1"/>
                <w:position w:val="13"/>
              </w:rPr>
              <w:t>固定资产利用率=(实际在用固定资产总额/所有固定资产总额)</w:t>
            </w:r>
          </w:p>
          <w:p>
            <w:pPr>
              <w:ind w:left="124"/>
              <w:spacing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×100%</w:t>
            </w:r>
          </w:p>
        </w:tc>
        <w:tc>
          <w:tcPr>
            <w:tcW w:w="3118" w:type="dxa"/>
            <w:vAlign w:val="top"/>
          </w:tcPr>
          <w:p>
            <w:pPr>
              <w:ind w:left="126"/>
              <w:spacing w:before="124" w:line="310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6"/>
                <w:position w:val="9"/>
              </w:rPr>
              <w:t>99%≤结果≤100%,得2分；</w:t>
            </w:r>
          </w:p>
          <w:p>
            <w:pPr>
              <w:ind w:left="126"/>
              <w:spacing w:line="21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18"/>
              </w:rPr>
              <w:t>90%≤结果&lt;99%,得1分；</w:t>
            </w:r>
          </w:p>
          <w:p>
            <w:pPr>
              <w:ind w:left="126"/>
              <w:spacing w:before="79" w:line="21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28"/>
              </w:rPr>
              <w:t>结果&lt;90%,得0分。</w:t>
            </w: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9"/>
          <w:pgSz w:w="16840" w:h="11910"/>
          <w:pgMar w:top="1012" w:right="1085" w:bottom="1129" w:left="1024" w:header="0" w:footer="960" w:gutter="0"/>
        </w:sectPr>
        <w:rPr/>
      </w:pPr>
    </w:p>
    <w:p>
      <w:pPr>
        <w:rPr/>
      </w:pPr>
      <w:r/>
    </w:p>
    <w:p>
      <w:pPr>
        <w:spacing w:line="151" w:lineRule="exact"/>
        <w:rPr/>
      </w:pPr>
      <w:r/>
    </w:p>
    <w:tbl>
      <w:tblPr>
        <w:tblStyle w:val="2"/>
        <w:tblW w:w="14730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184"/>
        <w:gridCol w:w="1239"/>
        <w:gridCol w:w="1199"/>
        <w:gridCol w:w="710"/>
        <w:gridCol w:w="5056"/>
        <w:gridCol w:w="3098"/>
        <w:gridCol w:w="1509"/>
        <w:gridCol w:w="735"/>
      </w:tblGrid>
      <w:tr>
        <w:trPr>
          <w:trHeight w:val="784" w:hRule="atLeast"/>
        </w:trPr>
        <w:tc>
          <w:tcPr>
            <w:tcW w:w="118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ind w:left="227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4"/>
              </w:rPr>
              <w:t>一级指标</w:t>
            </w:r>
          </w:p>
        </w:tc>
        <w:tc>
          <w:tcPr>
            <w:tcW w:w="123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ind w:left="253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4"/>
              </w:rPr>
              <w:t>二级指标</w:t>
            </w:r>
          </w:p>
        </w:tc>
        <w:tc>
          <w:tcPr>
            <w:tcW w:w="119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ind w:left="234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4"/>
              </w:rPr>
              <w:t>三级指标</w:t>
            </w:r>
          </w:p>
        </w:tc>
        <w:tc>
          <w:tcPr>
            <w:tcW w:w="710" w:type="dxa"/>
            <w:vAlign w:val="top"/>
          </w:tcPr>
          <w:p>
            <w:pPr>
              <w:ind w:left="165"/>
              <w:spacing w:before="29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5"/>
              </w:rPr>
              <w:t>分值</w:t>
            </w:r>
          </w:p>
        </w:tc>
        <w:tc>
          <w:tcPr>
            <w:tcW w:w="5056" w:type="dxa"/>
            <w:vAlign w:val="top"/>
          </w:tcPr>
          <w:p>
            <w:pPr>
              <w:ind w:left="2125"/>
              <w:spacing w:before="29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19"/>
              </w:rPr>
              <w:t>指标内容</w:t>
            </w:r>
          </w:p>
        </w:tc>
        <w:tc>
          <w:tcPr>
            <w:tcW w:w="3098" w:type="dxa"/>
            <w:vAlign w:val="top"/>
          </w:tcPr>
          <w:p>
            <w:pPr>
              <w:ind w:left="469"/>
              <w:spacing w:before="298" w:line="21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16"/>
              </w:rPr>
              <w:t>指标评价标准及对应分值</w:t>
            </w:r>
          </w:p>
        </w:tc>
        <w:tc>
          <w:tcPr>
            <w:tcW w:w="1509" w:type="dxa"/>
            <w:vAlign w:val="top"/>
          </w:tcPr>
          <w:p>
            <w:pPr>
              <w:ind w:left="211"/>
              <w:spacing w:before="16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4"/>
              </w:rPr>
              <w:t>指标实际完成</w:t>
            </w:r>
          </w:p>
          <w:p>
            <w:pPr>
              <w:ind w:left="301"/>
              <w:spacing w:before="16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4"/>
              </w:rPr>
              <w:t>情况及依据</w:t>
            </w:r>
          </w:p>
        </w:tc>
        <w:tc>
          <w:tcPr>
            <w:tcW w:w="735" w:type="dxa"/>
            <w:vAlign w:val="top"/>
          </w:tcPr>
          <w:p>
            <w:pPr>
              <w:ind w:left="182"/>
              <w:spacing w:before="29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b/>
                <w:bCs/>
                <w:spacing w:val="-4"/>
              </w:rPr>
              <w:t>得分</w:t>
            </w:r>
          </w:p>
        </w:tc>
      </w:tr>
      <w:tr>
        <w:trPr>
          <w:trHeight w:val="789" w:hRule="atLeast"/>
        </w:trPr>
        <w:tc>
          <w:tcPr>
            <w:tcW w:w="1184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35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产出与效果</w:t>
            </w:r>
          </w:p>
          <w:p>
            <w:pPr>
              <w:ind w:left="225"/>
              <w:spacing w:before="5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6"/>
              </w:rPr>
              <w:t>(共60分)</w:t>
            </w:r>
          </w:p>
        </w:tc>
        <w:tc>
          <w:tcPr>
            <w:tcW w:w="1239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ind w:left="250"/>
              <w:spacing w:before="59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产出指标</w:t>
            </w:r>
          </w:p>
          <w:p>
            <w:pPr>
              <w:ind w:left="341"/>
              <w:spacing w:before="76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7"/>
              </w:rPr>
              <w:t>(30分)</w:t>
            </w:r>
          </w:p>
        </w:tc>
        <w:tc>
          <w:tcPr>
            <w:tcW w:w="1199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ind w:left="412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数量</w:t>
            </w:r>
          </w:p>
        </w:tc>
        <w:tc>
          <w:tcPr>
            <w:tcW w:w="710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ind w:left="253"/>
              <w:spacing w:before="59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10</w:t>
            </w:r>
          </w:p>
        </w:tc>
        <w:tc>
          <w:tcPr>
            <w:tcW w:w="5056" w:type="dxa"/>
            <w:vAlign w:val="top"/>
          </w:tcPr>
          <w:p>
            <w:pPr>
              <w:ind w:left="103" w:right="48"/>
              <w:spacing w:before="78" w:line="226" w:lineRule="auto"/>
              <w:jc w:val="both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1"/>
              </w:rPr>
              <w:t>对照整体绩效目标评价。未设置整体绩效目标，或整体绩效目</w:t>
            </w:r>
            <w:r>
              <w:rPr>
                <w:rFonts w:ascii="SimSun" w:hAnsi="SimSun" w:eastAsia="SimSun" w:cs="SimSun"/>
                <w:sz w:val="18"/>
                <w:szCs w:val="18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</w:rPr>
              <w:t>标设置不完善的，根据部门年度履行职责主要工作和重点工作</w:t>
            </w:r>
            <w:r>
              <w:rPr>
                <w:rFonts w:ascii="SimSun" w:hAnsi="SimSun" w:eastAsia="SimSun" w:cs="SimSun"/>
                <w:sz w:val="18"/>
                <w:szCs w:val="18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4"/>
              </w:rPr>
              <w:t>计划任务数与实际完成任务数的比率评价得分。</w:t>
            </w:r>
          </w:p>
        </w:tc>
        <w:tc>
          <w:tcPr>
            <w:tcW w:w="3098" w:type="dxa"/>
            <w:vAlign w:val="top"/>
          </w:tcPr>
          <w:p>
            <w:pPr>
              <w:ind w:left="107" w:right="107"/>
              <w:spacing w:before="188" w:line="217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对照绩效目标，按实际产出数量率计</w:t>
            </w:r>
            <w:r>
              <w:rPr>
                <w:rFonts w:ascii="SimSun" w:hAnsi="SimSun" w:eastAsia="SimSun" w:cs="SimSun"/>
                <w:sz w:val="18"/>
                <w:szCs w:val="18"/>
                <w:spacing w:val="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9"/>
              </w:rPr>
              <w:t>算得分</w:t>
            </w:r>
          </w:p>
        </w:tc>
        <w:tc>
          <w:tcPr>
            <w:tcW w:w="15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59" w:hRule="atLeast"/>
        </w:trPr>
        <w:tc>
          <w:tcPr>
            <w:tcW w:w="118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9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9" w:type="dxa"/>
            <w:vAlign w:val="top"/>
          </w:tcPr>
          <w:p>
            <w:pPr>
              <w:ind w:left="412"/>
              <w:spacing w:before="289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质量</w:t>
            </w:r>
          </w:p>
        </w:tc>
        <w:tc>
          <w:tcPr>
            <w:tcW w:w="710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ind w:left="253"/>
              <w:spacing w:before="59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10</w:t>
            </w:r>
          </w:p>
        </w:tc>
        <w:tc>
          <w:tcPr>
            <w:tcW w:w="5056" w:type="dxa"/>
            <w:vAlign w:val="top"/>
          </w:tcPr>
          <w:p>
            <w:pPr>
              <w:ind w:left="103"/>
              <w:spacing w:before="78" w:line="20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1"/>
              </w:rPr>
              <w:t>对照整体绩效目标评价。未设置整体绩效目标，或整体绩效目</w:t>
            </w:r>
          </w:p>
          <w:p>
            <w:pPr>
              <w:ind w:left="103" w:right="270"/>
              <w:spacing w:before="1" w:line="227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标设置不完善的，根据部门年度履行职责主要工作和重点工</w:t>
            </w:r>
            <w:r>
              <w:rPr>
                <w:rFonts w:ascii="SimSun" w:hAnsi="SimSun" w:eastAsia="SimSun" w:cs="SimSun"/>
                <w:sz w:val="18"/>
                <w:szCs w:val="18"/>
                <w:spacing w:val="17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6"/>
              </w:rPr>
              <w:t>作，标识具体明确的产出质量。</w:t>
            </w:r>
          </w:p>
        </w:tc>
        <w:tc>
          <w:tcPr>
            <w:tcW w:w="3098" w:type="dxa"/>
            <w:vAlign w:val="top"/>
          </w:tcPr>
          <w:p>
            <w:pPr>
              <w:ind w:left="107" w:right="107"/>
              <w:spacing w:before="179" w:line="212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对照绩效目标，按实际产出质量计算</w:t>
            </w:r>
            <w:r>
              <w:rPr>
                <w:rFonts w:ascii="SimSun" w:hAnsi="SimSun" w:eastAsia="SimSun" w:cs="SimSun"/>
                <w:sz w:val="18"/>
                <w:szCs w:val="18"/>
                <w:spacing w:val="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得分</w:t>
            </w:r>
          </w:p>
        </w:tc>
        <w:tc>
          <w:tcPr>
            <w:tcW w:w="15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59" w:hRule="atLeast"/>
        </w:trPr>
        <w:tc>
          <w:tcPr>
            <w:tcW w:w="118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9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9" w:type="dxa"/>
            <w:vAlign w:val="top"/>
          </w:tcPr>
          <w:p>
            <w:pPr>
              <w:ind w:left="412"/>
              <w:spacing w:before="290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3"/>
              </w:rPr>
              <w:t>时效</w:t>
            </w:r>
          </w:p>
        </w:tc>
        <w:tc>
          <w:tcPr>
            <w:tcW w:w="710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ind w:left="253"/>
              <w:spacing w:before="59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10</w:t>
            </w:r>
          </w:p>
        </w:tc>
        <w:tc>
          <w:tcPr>
            <w:tcW w:w="5056" w:type="dxa"/>
            <w:vAlign w:val="top"/>
          </w:tcPr>
          <w:p>
            <w:pPr>
              <w:ind w:left="103"/>
              <w:spacing w:before="78" w:line="21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1"/>
              </w:rPr>
              <w:t>对照整体绩效目标评价。未设置整体绩效目标，或整体绩效目</w:t>
            </w:r>
          </w:p>
          <w:p>
            <w:pPr>
              <w:ind w:left="103" w:right="270"/>
              <w:spacing w:before="9" w:line="222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标设置不完善的，根据部门年度履行职责主要工作和重点工</w:t>
            </w:r>
            <w:r>
              <w:rPr>
                <w:rFonts w:ascii="SimSun" w:hAnsi="SimSun" w:eastAsia="SimSun" w:cs="SimSun"/>
                <w:sz w:val="18"/>
                <w:szCs w:val="18"/>
                <w:spacing w:val="17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6"/>
              </w:rPr>
              <w:t>作，标识具体明确的产出时效。</w:t>
            </w:r>
          </w:p>
        </w:tc>
        <w:tc>
          <w:tcPr>
            <w:tcW w:w="3098" w:type="dxa"/>
            <w:vAlign w:val="top"/>
          </w:tcPr>
          <w:p>
            <w:pPr>
              <w:ind w:left="107" w:right="107"/>
              <w:spacing w:before="171" w:line="222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对照绩效目标，按实际产出时效计算</w:t>
            </w:r>
            <w:r>
              <w:rPr>
                <w:rFonts w:ascii="SimSun" w:hAnsi="SimSun" w:eastAsia="SimSun" w:cs="SimSun"/>
                <w:sz w:val="18"/>
                <w:szCs w:val="18"/>
                <w:spacing w:val="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得分</w:t>
            </w:r>
          </w:p>
        </w:tc>
        <w:tc>
          <w:tcPr>
            <w:tcW w:w="15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59" w:hRule="atLeast"/>
        </w:trPr>
        <w:tc>
          <w:tcPr>
            <w:tcW w:w="118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9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ind w:left="250"/>
              <w:spacing w:before="59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效益指标</w:t>
            </w:r>
          </w:p>
          <w:p>
            <w:pPr>
              <w:ind w:left="341"/>
              <w:spacing w:before="85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7"/>
              </w:rPr>
              <w:t>(30分)</w:t>
            </w:r>
          </w:p>
        </w:tc>
        <w:tc>
          <w:tcPr>
            <w:tcW w:w="1199" w:type="dxa"/>
            <w:vAlign w:val="top"/>
          </w:tcPr>
          <w:p>
            <w:pPr>
              <w:ind w:left="412"/>
              <w:spacing w:before="181" w:line="240" w:lineRule="exact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  <w:position w:val="4"/>
              </w:rPr>
              <w:t>经济</w:t>
            </w:r>
          </w:p>
          <w:p>
            <w:pPr>
              <w:ind w:left="412"/>
              <w:spacing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效益</w:t>
            </w:r>
          </w:p>
        </w:tc>
        <w:tc>
          <w:tcPr>
            <w:tcW w:w="710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ind w:left="253"/>
              <w:spacing w:before="58" w:line="18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20</w:t>
            </w:r>
          </w:p>
        </w:tc>
        <w:tc>
          <w:tcPr>
            <w:tcW w:w="5056" w:type="dxa"/>
            <w:vAlign w:val="top"/>
          </w:tcPr>
          <w:p>
            <w:pPr>
              <w:ind w:left="103" w:right="48"/>
              <w:spacing w:before="80" w:line="223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1"/>
              </w:rPr>
              <w:t>对照整体绩效目标评价。未设置整体绩效目标，或整体绩效目</w:t>
            </w:r>
            <w:r>
              <w:rPr>
                <w:rFonts w:ascii="SimSun" w:hAnsi="SimSun" w:eastAsia="SimSun" w:cs="SimSun"/>
                <w:sz w:val="18"/>
                <w:szCs w:val="18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标设置不完善的，根据部门年度履行职责主要工作和重点工</w:t>
            </w:r>
          </w:p>
          <w:p>
            <w:pPr>
              <w:ind w:left="103"/>
              <w:spacing w:before="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作，标识所产生的直接或间接的经济效益</w:t>
            </w:r>
          </w:p>
        </w:tc>
        <w:tc>
          <w:tcPr>
            <w:tcW w:w="3098" w:type="dxa"/>
            <w:vAlign w:val="top"/>
          </w:tcPr>
          <w:p>
            <w:pPr>
              <w:ind w:left="107" w:right="107"/>
              <w:spacing w:before="182" w:line="222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对照绩效目标，按经济效益实现程度</w:t>
            </w:r>
            <w:r>
              <w:rPr>
                <w:rFonts w:ascii="SimSun" w:hAnsi="SimSun" w:eastAsia="SimSun" w:cs="SimSun"/>
                <w:sz w:val="18"/>
                <w:szCs w:val="18"/>
                <w:spacing w:val="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计算得分</w:t>
            </w:r>
          </w:p>
        </w:tc>
        <w:tc>
          <w:tcPr>
            <w:tcW w:w="15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29" w:hRule="atLeast"/>
        </w:trPr>
        <w:tc>
          <w:tcPr>
            <w:tcW w:w="118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9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9" w:type="dxa"/>
            <w:vAlign w:val="top"/>
          </w:tcPr>
          <w:p>
            <w:pPr>
              <w:ind w:left="412"/>
              <w:spacing w:before="151" w:line="227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社会</w:t>
            </w:r>
          </w:p>
          <w:p>
            <w:pPr>
              <w:ind w:left="412"/>
              <w:spacing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效益</w:t>
            </w:r>
          </w:p>
        </w:tc>
        <w:tc>
          <w:tcPr>
            <w:tcW w:w="710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56" w:type="dxa"/>
            <w:vAlign w:val="top"/>
          </w:tcPr>
          <w:p>
            <w:pPr>
              <w:ind w:left="103" w:right="48"/>
              <w:spacing w:before="51" w:line="22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1"/>
              </w:rPr>
              <w:t>对照整体绩效目标评价。未设置整体绩效目标，或整体绩效目</w:t>
            </w:r>
            <w:r>
              <w:rPr>
                <w:rFonts w:ascii="SimSun" w:hAnsi="SimSun" w:eastAsia="SimSun" w:cs="SimSun"/>
                <w:sz w:val="18"/>
                <w:szCs w:val="18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标设置不完善的，根据部门年度履行职责主要工作和重点工</w:t>
            </w:r>
          </w:p>
          <w:p>
            <w:pPr>
              <w:ind w:left="103"/>
              <w:spacing w:before="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作，标识所产生的社会效益</w:t>
            </w:r>
          </w:p>
        </w:tc>
        <w:tc>
          <w:tcPr>
            <w:tcW w:w="3098" w:type="dxa"/>
            <w:vAlign w:val="top"/>
          </w:tcPr>
          <w:p>
            <w:pPr>
              <w:ind w:left="107" w:right="107"/>
              <w:spacing w:before="160" w:line="21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对照绩效目标，按社会效益实现程度</w:t>
            </w:r>
            <w:r>
              <w:rPr>
                <w:rFonts w:ascii="SimSun" w:hAnsi="SimSun" w:eastAsia="SimSun" w:cs="SimSun"/>
                <w:sz w:val="18"/>
                <w:szCs w:val="18"/>
                <w:spacing w:val="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计算得分</w:t>
            </w:r>
          </w:p>
        </w:tc>
        <w:tc>
          <w:tcPr>
            <w:tcW w:w="15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09" w:hRule="atLeast"/>
        </w:trPr>
        <w:tc>
          <w:tcPr>
            <w:tcW w:w="118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9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9" w:type="dxa"/>
            <w:vAlign w:val="top"/>
          </w:tcPr>
          <w:p>
            <w:pPr>
              <w:ind w:left="412"/>
              <w:spacing w:before="233" w:line="22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环境</w:t>
            </w:r>
          </w:p>
          <w:p>
            <w:pPr>
              <w:ind w:left="412"/>
              <w:spacing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效益</w:t>
            </w:r>
          </w:p>
        </w:tc>
        <w:tc>
          <w:tcPr>
            <w:tcW w:w="710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56" w:type="dxa"/>
            <w:vAlign w:val="top"/>
          </w:tcPr>
          <w:p>
            <w:pPr>
              <w:ind w:left="103"/>
              <w:spacing w:before="31" w:line="21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对照整体绩效目标评价。未设</w:t>
            </w:r>
          </w:p>
          <w:p>
            <w:pPr>
              <w:ind w:left="103" w:right="88"/>
              <w:spacing w:before="7" w:line="221" w:lineRule="auto"/>
              <w:jc w:val="both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置整体绩效目标，或整体绩效目标设置不完善的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，根据部门年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</w:rPr>
              <w:t>度履行职责主要工作和重点工作，标识对环境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所产生的积极或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3"/>
              </w:rPr>
              <w:t>消极影响</w:t>
            </w:r>
          </w:p>
        </w:tc>
        <w:tc>
          <w:tcPr>
            <w:tcW w:w="3098" w:type="dxa"/>
            <w:vAlign w:val="top"/>
          </w:tcPr>
          <w:p>
            <w:pPr>
              <w:ind w:left="107" w:right="107"/>
              <w:spacing w:before="253" w:line="217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对照绩效目标，按对环境所产生的实</w:t>
            </w:r>
            <w:r>
              <w:rPr>
                <w:rFonts w:ascii="SimSun" w:hAnsi="SimSun" w:eastAsia="SimSun" w:cs="SimSun"/>
                <w:sz w:val="18"/>
                <w:szCs w:val="18"/>
                <w:spacing w:val="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</w:rPr>
              <w:t>际影响程度计算得分</w:t>
            </w:r>
          </w:p>
        </w:tc>
        <w:tc>
          <w:tcPr>
            <w:tcW w:w="15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59" w:hRule="atLeast"/>
        </w:trPr>
        <w:tc>
          <w:tcPr>
            <w:tcW w:w="118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9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9" w:type="dxa"/>
            <w:vAlign w:val="top"/>
          </w:tcPr>
          <w:p>
            <w:pPr>
              <w:ind w:left="232"/>
              <w:spacing w:before="294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可持续性</w:t>
            </w:r>
          </w:p>
        </w:tc>
        <w:tc>
          <w:tcPr>
            <w:tcW w:w="710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56" w:type="dxa"/>
            <w:vAlign w:val="top"/>
          </w:tcPr>
          <w:p>
            <w:pPr>
              <w:ind w:left="103" w:right="48"/>
              <w:spacing w:before="62" w:line="21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1"/>
              </w:rPr>
              <w:t>对照整体绩效目标评价。未设置整体绩效目标，或整体绩效目</w:t>
            </w:r>
            <w:r>
              <w:rPr>
                <w:rFonts w:ascii="SimSun" w:hAnsi="SimSun" w:eastAsia="SimSun" w:cs="SimSun"/>
                <w:sz w:val="18"/>
                <w:szCs w:val="18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标设置不完善的，根据部门年度履行职责主要工作和重点工</w:t>
            </w:r>
          </w:p>
          <w:p>
            <w:pPr>
              <w:ind w:left="103"/>
              <w:spacing w:before="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作，标识可持续性</w:t>
            </w:r>
          </w:p>
        </w:tc>
        <w:tc>
          <w:tcPr>
            <w:tcW w:w="3098" w:type="dxa"/>
            <w:vAlign w:val="top"/>
          </w:tcPr>
          <w:p>
            <w:pPr>
              <w:ind w:left="107"/>
              <w:spacing w:before="294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对照绩效目标，按实际情况计算得分</w:t>
            </w:r>
          </w:p>
        </w:tc>
        <w:tc>
          <w:tcPr>
            <w:tcW w:w="15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139" w:hRule="atLeast"/>
        </w:trPr>
        <w:tc>
          <w:tcPr>
            <w:tcW w:w="1184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9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9" w:type="dxa"/>
            <w:vAlign w:val="top"/>
          </w:tcPr>
          <w:p>
            <w:pPr>
              <w:ind w:left="232"/>
              <w:spacing w:before="244" w:line="216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社会公众</w:t>
            </w:r>
          </w:p>
          <w:p>
            <w:pPr>
              <w:ind w:left="142"/>
              <w:spacing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与服务对象</w:t>
            </w:r>
          </w:p>
          <w:p>
            <w:pPr>
              <w:ind w:left="322"/>
              <w:spacing w:before="1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满意度</w:t>
            </w:r>
          </w:p>
        </w:tc>
        <w:tc>
          <w:tcPr>
            <w:tcW w:w="710" w:type="dxa"/>
            <w:vAlign w:val="top"/>
          </w:tcPr>
          <w:p>
            <w:pPr>
              <w:spacing w:line="469" w:lineRule="auto"/>
              <w:rPr>
                <w:rFonts w:ascii="Arial"/>
                <w:sz w:val="21"/>
              </w:rPr>
            </w:pPr>
            <w:r/>
          </w:p>
          <w:p>
            <w:pPr>
              <w:ind w:left="253"/>
              <w:spacing w:before="58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10</w:t>
            </w:r>
          </w:p>
        </w:tc>
        <w:tc>
          <w:tcPr>
            <w:tcW w:w="5056" w:type="dxa"/>
            <w:vAlign w:val="top"/>
          </w:tcPr>
          <w:p>
            <w:pPr>
              <w:spacing w:line="423" w:lineRule="auto"/>
              <w:rPr>
                <w:rFonts w:ascii="Arial"/>
                <w:sz w:val="21"/>
              </w:rPr>
            </w:pPr>
            <w:r/>
          </w:p>
          <w:p>
            <w:pPr>
              <w:ind w:left="103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社会公众、服务对象对部门主要工作实施的满意程度</w:t>
            </w:r>
          </w:p>
        </w:tc>
        <w:tc>
          <w:tcPr>
            <w:tcW w:w="3098" w:type="dxa"/>
            <w:vAlign w:val="top"/>
          </w:tcPr>
          <w:p>
            <w:pPr>
              <w:ind w:left="107"/>
              <w:spacing w:before="15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11"/>
              </w:rPr>
              <w:t>90%≤满意度≤100%记10分，</w:t>
            </w:r>
          </w:p>
          <w:p>
            <w:pPr>
              <w:ind w:left="107"/>
              <w:spacing w:before="16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13"/>
              </w:rPr>
              <w:t>80%≤满意度&lt;90%记8分，</w:t>
            </w:r>
          </w:p>
          <w:p>
            <w:pPr>
              <w:ind w:left="107" w:right="610"/>
              <w:spacing w:before="15" w:line="231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10"/>
              </w:rPr>
              <w:t>70%≤满意度&lt;80%</w:t>
            </w:r>
            <w:r>
              <w:rPr>
                <w:rFonts w:ascii="SimSun" w:hAnsi="SimSun" w:eastAsia="SimSun" w:cs="SimSun"/>
                <w:sz w:val="18"/>
                <w:szCs w:val="18"/>
                <w:spacing w:val="29"/>
              </w:rPr>
              <w:t xml:space="preserve">  </w:t>
            </w:r>
            <w:r>
              <w:rPr>
                <w:rFonts w:ascii="SimSun" w:hAnsi="SimSun" w:eastAsia="SimSun" w:cs="SimSun"/>
                <w:sz w:val="18"/>
                <w:szCs w:val="18"/>
                <w:spacing w:val="10"/>
              </w:rPr>
              <w:t>记6分，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13"/>
              </w:rPr>
              <w:t>60%≤满意度&lt;70%记4分，</w:t>
            </w:r>
          </w:p>
          <w:p>
            <w:pPr>
              <w:ind w:left="107"/>
              <w:spacing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10"/>
              </w:rPr>
              <w:t>满意度&lt;60%记0分。</w:t>
            </w:r>
          </w:p>
        </w:tc>
        <w:tc>
          <w:tcPr>
            <w:tcW w:w="15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9" w:hRule="atLeast"/>
        </w:trPr>
        <w:tc>
          <w:tcPr>
            <w:tcW w:w="1184" w:type="dxa"/>
            <w:vAlign w:val="top"/>
          </w:tcPr>
          <w:p>
            <w:pPr>
              <w:ind w:left="405"/>
              <w:spacing w:before="127" w:line="221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合计</w:t>
            </w:r>
          </w:p>
        </w:tc>
        <w:tc>
          <w:tcPr>
            <w:tcW w:w="123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10" w:type="dxa"/>
            <w:vAlign w:val="top"/>
          </w:tcPr>
          <w:p>
            <w:pPr>
              <w:ind w:left="213"/>
              <w:spacing w:before="221" w:line="184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100</w:t>
            </w:r>
          </w:p>
        </w:tc>
        <w:tc>
          <w:tcPr>
            <w:tcW w:w="505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9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3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74" w:hRule="atLeast"/>
        </w:trPr>
        <w:tc>
          <w:tcPr>
            <w:tcW w:w="1184" w:type="dxa"/>
            <w:vAlign w:val="top"/>
          </w:tcPr>
          <w:p>
            <w:pPr>
              <w:ind w:left="225"/>
              <w:spacing w:before="155" w:line="21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评价等级</w:t>
            </w:r>
          </w:p>
        </w:tc>
        <w:tc>
          <w:tcPr>
            <w:tcW w:w="13546" w:type="dxa"/>
            <w:vAlign w:val="top"/>
            <w:gridSpan w:val="7"/>
          </w:tcPr>
          <w:p>
            <w:pPr>
              <w:ind w:left="391"/>
              <w:spacing w:before="176" w:line="23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</w:rPr>
              <w:t>□优秀90分≤得分≤100分；</w:t>
            </w:r>
            <w:r>
              <w:rPr>
                <w:rFonts w:ascii="SimSun" w:hAnsi="SimSun" w:eastAsia="SimSun" w:cs="SimSun"/>
                <w:sz w:val="18"/>
                <w:szCs w:val="18"/>
                <w:spacing w:val="4"/>
              </w:rPr>
              <w:t xml:space="preserve">            </w:t>
            </w:r>
            <w:r>
              <w:rPr>
                <w:rFonts w:ascii="SimSun" w:hAnsi="SimSun" w:eastAsia="SimSun" w:cs="SimSun"/>
                <w:sz w:val="18"/>
                <w:szCs w:val="18"/>
              </w:rPr>
              <w:t>良好80分≤得分&lt;90分；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            </w:t>
            </w:r>
            <w:r>
              <w:rPr>
                <w:rFonts w:ascii="SimSun" w:hAnsi="SimSun" w:eastAsia="SimSun" w:cs="SimSun"/>
                <w:sz w:val="18"/>
                <w:szCs w:val="18"/>
              </w:rPr>
              <w:t>较差60分≤得分&lt;80分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；</w:t>
            </w:r>
            <w:r>
              <w:rPr>
                <w:rFonts w:ascii="SimSun" w:hAnsi="SimSun" w:eastAsia="SimSun" w:cs="SimSun"/>
                <w:sz w:val="18"/>
                <w:szCs w:val="18"/>
                <w:spacing w:val="6"/>
              </w:rPr>
              <w:t xml:space="preserve">            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差得分&lt;60分</w:t>
            </w:r>
          </w:p>
        </w:tc>
      </w:tr>
    </w:tbl>
    <w:p>
      <w:pPr>
        <w:ind w:left="9765"/>
        <w:spacing w:before="208" w:line="223" w:lineRule="auto"/>
        <w:rPr>
          <w:rFonts w:ascii="KaiTi" w:hAnsi="KaiTi" w:eastAsia="KaiTi" w:cs="KaiTi"/>
          <w:sz w:val="22"/>
          <w:szCs w:val="22"/>
        </w:rPr>
      </w:pPr>
      <w:r>
        <w:rPr>
          <w:rFonts w:ascii="KaiTi" w:hAnsi="KaiTi" w:eastAsia="KaiTi" w:cs="KaiTi"/>
          <w:sz w:val="22"/>
          <w:szCs w:val="22"/>
          <w:spacing w:val="19"/>
        </w:rPr>
        <w:t>单位负责人(签字):</w:t>
      </w:r>
    </w:p>
    <w:p>
      <w:pPr>
        <w:ind w:left="9795"/>
        <w:spacing w:before="66" w:line="224" w:lineRule="auto"/>
        <w:rPr>
          <w:rFonts w:ascii="KaiTi" w:hAnsi="KaiTi" w:eastAsia="KaiTi" w:cs="KaiTi"/>
          <w:sz w:val="22"/>
          <w:szCs w:val="22"/>
        </w:rPr>
      </w:pPr>
      <w:r>
        <w:rPr>
          <w:rFonts w:ascii="KaiTi" w:hAnsi="KaiTi" w:eastAsia="KaiTi" w:cs="KaiTi"/>
          <w:sz w:val="22"/>
          <w:szCs w:val="22"/>
          <w:spacing w:val="-20"/>
        </w:rPr>
        <w:t>填表日期：年</w:t>
      </w:r>
      <w:r>
        <w:rPr>
          <w:rFonts w:ascii="KaiTi" w:hAnsi="KaiTi" w:eastAsia="KaiTi" w:cs="KaiTi"/>
          <w:sz w:val="22"/>
          <w:szCs w:val="22"/>
          <w:spacing w:val="4"/>
        </w:rPr>
        <w:t xml:space="preserve">         </w:t>
      </w:r>
      <w:r>
        <w:rPr>
          <w:rFonts w:ascii="KaiTi" w:hAnsi="KaiTi" w:eastAsia="KaiTi" w:cs="KaiTi"/>
          <w:sz w:val="22"/>
          <w:szCs w:val="22"/>
          <w:spacing w:val="-20"/>
        </w:rPr>
        <w:t>月</w:t>
      </w:r>
      <w:r>
        <w:rPr>
          <w:rFonts w:ascii="KaiTi" w:hAnsi="KaiTi" w:eastAsia="KaiTi" w:cs="KaiTi"/>
          <w:sz w:val="22"/>
          <w:szCs w:val="22"/>
          <w:spacing w:val="20"/>
        </w:rPr>
        <w:t xml:space="preserve">   </w:t>
      </w:r>
      <w:r>
        <w:rPr>
          <w:rFonts w:ascii="KaiTi" w:hAnsi="KaiTi" w:eastAsia="KaiTi" w:cs="KaiTi"/>
          <w:sz w:val="22"/>
          <w:szCs w:val="22"/>
          <w:spacing w:val="-20"/>
        </w:rPr>
        <w:t>日</w:t>
      </w:r>
    </w:p>
    <w:p>
      <w:pPr>
        <w:sectPr>
          <w:footerReference w:type="default" r:id="rId10"/>
          <w:pgSz w:w="16840" w:h="11910"/>
          <w:pgMar w:top="1012" w:right="1074" w:bottom="1129" w:left="1024" w:header="0" w:footer="960" w:gutter="0"/>
        </w:sectPr>
        <w:rPr/>
      </w:pPr>
    </w:p>
    <w:p>
      <w:pPr>
        <w:spacing w:line="329" w:lineRule="auto"/>
        <w:rPr>
          <w:rFonts w:ascii="Arial"/>
          <w:sz w:val="21"/>
        </w:rPr>
      </w:pPr>
      <w:r/>
    </w:p>
    <w:p>
      <w:pPr>
        <w:ind w:left="4"/>
        <w:spacing w:before="104" w:line="222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b/>
          <w:bCs/>
          <w:spacing w:val="-2"/>
        </w:rPr>
        <w:t>附件1-2</w:t>
      </w:r>
    </w:p>
    <w:p>
      <w:pPr>
        <w:spacing w:line="313" w:lineRule="auto"/>
        <w:rPr>
          <w:rFonts w:ascii="Arial"/>
          <w:sz w:val="21"/>
        </w:rPr>
      </w:pPr>
      <w:r/>
    </w:p>
    <w:p>
      <w:pPr>
        <w:spacing w:line="313" w:lineRule="auto"/>
        <w:rPr>
          <w:rFonts w:ascii="Arial"/>
          <w:sz w:val="21"/>
        </w:rPr>
      </w:pPr>
      <w:r/>
    </w:p>
    <w:p>
      <w:pPr>
        <w:ind w:left="544"/>
        <w:spacing w:before="104" w:line="22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b/>
          <w:bCs/>
          <w:spacing w:val="10"/>
        </w:rPr>
        <w:t>2022年度新晃县</w:t>
      </w:r>
      <w:r>
        <w:rPr>
          <w:rFonts w:ascii="SimHei" w:hAnsi="SimHei" w:eastAsia="SimHei" w:cs="SimHei"/>
          <w:sz w:val="32"/>
          <w:szCs w:val="32"/>
          <w:b/>
          <w:bCs/>
        </w:rPr>
        <w:t>XX</w:t>
      </w:r>
      <w:r>
        <w:rPr>
          <w:rFonts w:ascii="SimHei" w:hAnsi="SimHei" w:eastAsia="SimHei" w:cs="SimHei"/>
          <w:sz w:val="32"/>
          <w:szCs w:val="32"/>
          <w:spacing w:val="-84"/>
        </w:rPr>
        <w:t xml:space="preserve"> </w:t>
      </w:r>
      <w:r>
        <w:rPr>
          <w:rFonts w:ascii="SimHei" w:hAnsi="SimHei" w:eastAsia="SimHei" w:cs="SimHei"/>
          <w:sz w:val="32"/>
          <w:szCs w:val="32"/>
          <w:b/>
          <w:bCs/>
          <w:spacing w:val="10"/>
        </w:rPr>
        <w:t>部门(单位)整体支出绩效自评报告</w:t>
      </w:r>
    </w:p>
    <w:p>
      <w:pPr>
        <w:spacing w:line="316" w:lineRule="auto"/>
        <w:rPr>
          <w:rFonts w:ascii="Arial"/>
          <w:sz w:val="21"/>
        </w:rPr>
      </w:pPr>
      <w:r/>
    </w:p>
    <w:p>
      <w:pPr>
        <w:ind w:left="3610"/>
        <w:spacing w:before="104" w:line="222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11"/>
        </w:rPr>
        <w:t>(参考格式)</w:t>
      </w:r>
    </w:p>
    <w:p>
      <w:pPr>
        <w:spacing w:line="303" w:lineRule="auto"/>
        <w:rPr>
          <w:rFonts w:ascii="Arial"/>
          <w:sz w:val="21"/>
        </w:rPr>
      </w:pPr>
      <w:r/>
    </w:p>
    <w:p>
      <w:pPr>
        <w:ind w:left="624"/>
        <w:spacing w:before="104" w:line="221" w:lineRule="auto"/>
        <w:outlineLvl w:val="0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b/>
          <w:bCs/>
          <w:spacing w:val="23"/>
        </w:rPr>
        <w:t>一、部门(单位)基本概况</w:t>
      </w:r>
    </w:p>
    <w:p>
      <w:pPr>
        <w:ind w:left="620"/>
        <w:spacing w:before="179" w:line="570" w:lineRule="exact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14"/>
          <w:position w:val="18"/>
        </w:rPr>
        <w:t>部门(单位)职能及组成，人员结构情况，202</w:t>
      </w:r>
      <w:r>
        <w:rPr>
          <w:rFonts w:ascii="FangSong" w:hAnsi="FangSong" w:eastAsia="FangSong" w:cs="FangSong"/>
          <w:sz w:val="32"/>
          <w:szCs w:val="32"/>
          <w:spacing w:val="13"/>
          <w:position w:val="18"/>
        </w:rPr>
        <w:t>2年度财政</w:t>
      </w:r>
    </w:p>
    <w:p>
      <w:pPr>
        <w:spacing w:before="1" w:line="22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4"/>
        </w:rPr>
        <w:t>收支和年末固定资产状况，财政财务管理制度及执行情</w:t>
      </w:r>
      <w:r>
        <w:rPr>
          <w:rFonts w:ascii="FangSong" w:hAnsi="FangSong" w:eastAsia="FangSong" w:cs="FangSong"/>
          <w:sz w:val="32"/>
          <w:szCs w:val="32"/>
          <w:spacing w:val="-5"/>
        </w:rPr>
        <w:t>况。</w:t>
      </w:r>
    </w:p>
    <w:p>
      <w:pPr>
        <w:ind w:left="624"/>
        <w:spacing w:before="185" w:line="221" w:lineRule="auto"/>
        <w:outlineLvl w:val="0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b/>
          <w:bCs/>
          <w:spacing w:val="9"/>
        </w:rPr>
        <w:t>二、</w:t>
      </w:r>
      <w:r>
        <w:rPr>
          <w:rFonts w:ascii="SimHei" w:hAnsi="SimHei" w:eastAsia="SimHei" w:cs="SimHei"/>
          <w:sz w:val="32"/>
          <w:szCs w:val="32"/>
          <w:spacing w:val="-46"/>
        </w:rPr>
        <w:t xml:space="preserve"> </w:t>
      </w:r>
      <w:r>
        <w:rPr>
          <w:rFonts w:ascii="SimHei" w:hAnsi="SimHei" w:eastAsia="SimHei" w:cs="SimHei"/>
          <w:sz w:val="32"/>
          <w:szCs w:val="32"/>
          <w:b/>
          <w:bCs/>
          <w:spacing w:val="9"/>
        </w:rPr>
        <w:t>部门(单位)整体支出绩效状况</w:t>
      </w:r>
    </w:p>
    <w:p>
      <w:pPr>
        <w:ind w:left="620"/>
        <w:spacing w:before="158" w:line="574" w:lineRule="exact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6"/>
          <w:position w:val="18"/>
        </w:rPr>
        <w:t>部门年度整体工作目标任务完成情况，包括：财政资</w:t>
      </w:r>
      <w:r>
        <w:rPr>
          <w:rFonts w:ascii="FangSong" w:hAnsi="FangSong" w:eastAsia="FangSong" w:cs="FangSong"/>
          <w:sz w:val="32"/>
          <w:szCs w:val="32"/>
          <w:spacing w:val="-7"/>
          <w:position w:val="18"/>
        </w:rPr>
        <w:t>金支出</w:t>
      </w:r>
    </w:p>
    <w:p>
      <w:pPr>
        <w:spacing w:line="222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3"/>
        </w:rPr>
        <w:t>产生的实际效益、社会公众与服务对象满意情况等。</w:t>
      </w:r>
    </w:p>
    <w:p>
      <w:pPr>
        <w:ind w:left="624"/>
        <w:spacing w:before="161" w:line="222" w:lineRule="auto"/>
        <w:outlineLvl w:val="0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b/>
          <w:bCs/>
          <w:spacing w:val="-15"/>
        </w:rPr>
        <w:t>三、</w:t>
      </w:r>
      <w:r>
        <w:rPr>
          <w:rFonts w:ascii="SimHei" w:hAnsi="SimHei" w:eastAsia="SimHei" w:cs="SimHei"/>
          <w:sz w:val="32"/>
          <w:szCs w:val="32"/>
          <w:spacing w:val="-58"/>
        </w:rPr>
        <w:t xml:space="preserve"> </w:t>
      </w:r>
      <w:r>
        <w:rPr>
          <w:rFonts w:ascii="SimHei" w:hAnsi="SimHei" w:eastAsia="SimHei" w:cs="SimHei"/>
          <w:sz w:val="32"/>
          <w:szCs w:val="32"/>
          <w:b/>
          <w:bCs/>
          <w:spacing w:val="-15"/>
        </w:rPr>
        <w:t>存在的问题及原因</w:t>
      </w:r>
    </w:p>
    <w:p>
      <w:pPr>
        <w:ind w:left="620"/>
        <w:spacing w:before="177" w:line="567" w:lineRule="exact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6"/>
          <w:position w:val="18"/>
        </w:rPr>
        <w:t>分析当前影响本部门(单位)财政资金使用绩效的问题及原</w:t>
      </w:r>
    </w:p>
    <w:p>
      <w:pPr>
        <w:spacing w:line="22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5"/>
        </w:rPr>
        <w:t>因。</w:t>
      </w:r>
    </w:p>
    <w:p>
      <w:pPr>
        <w:ind w:left="624"/>
        <w:spacing w:before="170" w:line="221" w:lineRule="auto"/>
        <w:outlineLvl w:val="0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b/>
          <w:bCs/>
          <w:spacing w:val="-11"/>
        </w:rPr>
        <w:t>四、</w:t>
      </w:r>
      <w:r>
        <w:rPr>
          <w:rFonts w:ascii="SimHei" w:hAnsi="SimHei" w:eastAsia="SimHei" w:cs="SimHei"/>
          <w:sz w:val="32"/>
          <w:szCs w:val="32"/>
          <w:spacing w:val="-78"/>
        </w:rPr>
        <w:t xml:space="preserve"> </w:t>
      </w:r>
      <w:r>
        <w:rPr>
          <w:rFonts w:ascii="SimHei" w:hAnsi="SimHei" w:eastAsia="SimHei" w:cs="SimHei"/>
          <w:sz w:val="32"/>
          <w:szCs w:val="32"/>
          <w:b/>
          <w:bCs/>
          <w:spacing w:val="-11"/>
        </w:rPr>
        <w:t>提高财政资金绩效的措施与建议</w:t>
      </w:r>
    </w:p>
    <w:p>
      <w:pPr>
        <w:ind w:left="620"/>
        <w:spacing w:before="167" w:line="575" w:lineRule="exact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  <w:position w:val="18"/>
        </w:rPr>
        <w:t>针对存在的问题及有关情况，提出下一步提高本部</w:t>
      </w:r>
      <w:r>
        <w:rPr>
          <w:rFonts w:ascii="FangSong" w:hAnsi="FangSong" w:eastAsia="FangSong" w:cs="FangSong"/>
          <w:sz w:val="32"/>
          <w:szCs w:val="32"/>
          <w:spacing w:val="-3"/>
          <w:position w:val="18"/>
        </w:rPr>
        <w:t>门(单位)</w:t>
      </w:r>
    </w:p>
    <w:p>
      <w:pPr>
        <w:spacing w:before="1" w:line="222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5"/>
        </w:rPr>
        <w:t>财政资金使用绩效的措施与建议。</w:t>
      </w:r>
    </w:p>
    <w:p>
      <w:pPr>
        <w:ind w:left="624"/>
        <w:spacing w:before="160" w:line="222" w:lineRule="auto"/>
        <w:outlineLvl w:val="0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b/>
          <w:bCs/>
          <w:spacing w:val="5"/>
        </w:rPr>
        <w:t>五、</w:t>
      </w:r>
      <w:r>
        <w:rPr>
          <w:rFonts w:ascii="SimHei" w:hAnsi="SimHei" w:eastAsia="SimHei" w:cs="SimHei"/>
          <w:sz w:val="32"/>
          <w:szCs w:val="32"/>
          <w:spacing w:val="-58"/>
        </w:rPr>
        <w:t xml:space="preserve"> </w:t>
      </w:r>
      <w:r>
        <w:rPr>
          <w:rFonts w:ascii="SimHei" w:hAnsi="SimHei" w:eastAsia="SimHei" w:cs="SimHei"/>
          <w:sz w:val="32"/>
          <w:szCs w:val="32"/>
          <w:b/>
          <w:bCs/>
          <w:spacing w:val="5"/>
        </w:rPr>
        <w:t>附件(佐证依据)</w:t>
      </w:r>
    </w:p>
    <w:p>
      <w:pPr>
        <w:ind w:left="620"/>
        <w:spacing w:before="176" w:line="572" w:lineRule="exact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7"/>
          <w:position w:val="18"/>
        </w:rPr>
        <w:t>提供自评报告的有关文件、资料等，以进一步解释和证明报</w:t>
      </w:r>
    </w:p>
    <w:p>
      <w:pPr>
        <w:spacing w:before="1" w:line="22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9"/>
        </w:rPr>
        <w:t>告所反映的相关内容。</w:t>
      </w:r>
    </w:p>
    <w:p>
      <w:pPr>
        <w:spacing w:line="313" w:lineRule="auto"/>
        <w:rPr>
          <w:rFonts w:ascii="Arial"/>
          <w:sz w:val="21"/>
        </w:rPr>
      </w:pPr>
      <w:r/>
    </w:p>
    <w:p>
      <w:pPr>
        <w:spacing w:line="313" w:lineRule="auto"/>
        <w:rPr>
          <w:rFonts w:ascii="Arial"/>
          <w:sz w:val="21"/>
        </w:rPr>
      </w:pPr>
      <w:r/>
    </w:p>
    <w:p>
      <w:pPr>
        <w:ind w:left="4970"/>
        <w:spacing w:before="105" w:line="563" w:lineRule="exact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34"/>
          <w:position w:val="17"/>
        </w:rPr>
        <w:t>部门(单位)</w:t>
      </w:r>
      <w:r>
        <w:rPr>
          <w:rFonts w:ascii="FangSong" w:hAnsi="FangSong" w:eastAsia="FangSong" w:cs="FangSong"/>
          <w:sz w:val="32"/>
          <w:szCs w:val="32"/>
          <w:spacing w:val="40"/>
          <w:position w:val="17"/>
        </w:rPr>
        <w:t xml:space="preserve"> </w:t>
      </w:r>
      <w:r>
        <w:rPr>
          <w:rFonts w:ascii="FangSong" w:hAnsi="FangSong" w:eastAsia="FangSong" w:cs="FangSong"/>
          <w:sz w:val="32"/>
          <w:szCs w:val="32"/>
          <w:spacing w:val="34"/>
          <w:position w:val="17"/>
        </w:rPr>
        <w:t>(签章)</w:t>
      </w:r>
    </w:p>
    <w:p>
      <w:pPr>
        <w:ind w:left="5919"/>
        <w:spacing w:line="222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2"/>
        </w:rPr>
        <w:t>年</w:t>
      </w:r>
      <w:r>
        <w:rPr>
          <w:rFonts w:ascii="FangSong" w:hAnsi="FangSong" w:eastAsia="FangSong" w:cs="FangSong"/>
          <w:sz w:val="32"/>
          <w:szCs w:val="32"/>
          <w:spacing w:val="6"/>
        </w:rPr>
        <w:t xml:space="preserve">   </w:t>
      </w:r>
      <w:r>
        <w:rPr>
          <w:rFonts w:ascii="FangSong" w:hAnsi="FangSong" w:eastAsia="FangSong" w:cs="FangSong"/>
          <w:sz w:val="32"/>
          <w:szCs w:val="32"/>
          <w:spacing w:val="-22"/>
        </w:rPr>
        <w:t>月</w:t>
      </w:r>
      <w:r>
        <w:rPr>
          <w:rFonts w:ascii="FangSong" w:hAnsi="FangSong" w:eastAsia="FangSong" w:cs="FangSong"/>
          <w:sz w:val="32"/>
          <w:szCs w:val="32"/>
          <w:spacing w:val="15"/>
        </w:rPr>
        <w:t xml:space="preserve">   </w:t>
      </w:r>
      <w:r>
        <w:rPr>
          <w:rFonts w:ascii="FangSong" w:hAnsi="FangSong" w:eastAsia="FangSong" w:cs="FangSong"/>
          <w:sz w:val="32"/>
          <w:szCs w:val="32"/>
          <w:spacing w:val="-22"/>
        </w:rPr>
        <w:t>日</w:t>
      </w:r>
    </w:p>
    <w:p>
      <w:pPr>
        <w:sectPr>
          <w:footerReference w:type="default" r:id="rId11"/>
          <w:pgSz w:w="11910" w:h="16840"/>
          <w:pgMar w:top="1431" w:right="1488" w:bottom="1126" w:left="1539" w:header="0" w:footer="947" w:gutter="0"/>
        </w:sectPr>
        <w:rPr/>
      </w:pPr>
    </w:p>
    <w:p>
      <w:pPr>
        <w:ind w:left="469"/>
        <w:spacing w:before="174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b/>
          <w:bCs/>
          <w:spacing w:val="11"/>
        </w:rPr>
        <w:t>附件2-</w:t>
      </w:r>
      <w:r>
        <w:rPr>
          <w:rFonts w:ascii="FangSong" w:hAnsi="FangSong" w:eastAsia="FangSong" w:cs="FangSong"/>
          <w:sz w:val="31"/>
          <w:szCs w:val="31"/>
          <w:spacing w:val="-85"/>
        </w:rPr>
        <w:t xml:space="preserve"> </w:t>
      </w:r>
      <w:r>
        <w:rPr>
          <w:rFonts w:ascii="FangSong" w:hAnsi="FangSong" w:eastAsia="FangSong" w:cs="FangSong"/>
          <w:sz w:val="31"/>
          <w:szCs w:val="31"/>
          <w:b/>
          <w:bCs/>
          <w:spacing w:val="11"/>
        </w:rPr>
        <w:t>1</w:t>
      </w:r>
    </w:p>
    <w:p>
      <w:pPr>
        <w:ind w:left="2399"/>
        <w:spacing w:before="216" w:line="221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b/>
          <w:bCs/>
          <w:spacing w:val="-6"/>
        </w:rPr>
        <w:t>2022年度新晃县项目支出绩效自评表</w:t>
      </w:r>
    </w:p>
    <w:p>
      <w:pPr>
        <w:ind w:left="7784"/>
        <w:spacing w:before="187" w:line="221" w:lineRule="auto"/>
        <w:rPr>
          <w:rFonts w:ascii="FangSong" w:hAnsi="FangSong" w:eastAsia="FangSong" w:cs="FangSong"/>
          <w:sz w:val="19"/>
          <w:szCs w:val="19"/>
        </w:rPr>
      </w:pPr>
      <w:r>
        <w:rPr>
          <w:rFonts w:ascii="FangSong" w:hAnsi="FangSong" w:eastAsia="FangSong" w:cs="FangSong"/>
          <w:sz w:val="19"/>
          <w:szCs w:val="19"/>
          <w:spacing w:val="9"/>
        </w:rPr>
        <w:t>金额单位：万元</w:t>
      </w:r>
    </w:p>
    <w:p>
      <w:pPr>
        <w:spacing w:line="113" w:lineRule="exact"/>
        <w:rPr/>
      </w:pPr>
      <w:r/>
    </w:p>
    <w:tbl>
      <w:tblPr>
        <w:tblStyle w:val="2"/>
        <w:tblW w:w="9860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314"/>
        <w:gridCol w:w="1129"/>
        <w:gridCol w:w="1808"/>
        <w:gridCol w:w="1418"/>
        <w:gridCol w:w="1299"/>
        <w:gridCol w:w="1199"/>
        <w:gridCol w:w="839"/>
        <w:gridCol w:w="854"/>
      </w:tblGrid>
      <w:tr>
        <w:trPr>
          <w:trHeight w:val="634" w:hRule="atLeast"/>
        </w:trPr>
        <w:tc>
          <w:tcPr>
            <w:tcW w:w="1314" w:type="dxa"/>
            <w:vAlign w:val="top"/>
          </w:tcPr>
          <w:p>
            <w:pPr>
              <w:ind w:left="244" w:right="248"/>
              <w:spacing w:before="64" w:line="25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</w:rPr>
              <w:t>项目单位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-9"/>
              </w:rPr>
              <w:t>名</w:t>
            </w: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 xml:space="preserve">    </w:t>
            </w:r>
            <w:r>
              <w:rPr>
                <w:rFonts w:ascii="SimSun" w:hAnsi="SimSun" w:eastAsia="SimSun" w:cs="SimSun"/>
                <w:sz w:val="20"/>
                <w:szCs w:val="20"/>
                <w:spacing w:val="-9"/>
              </w:rPr>
              <w:t>称</w:t>
            </w:r>
          </w:p>
        </w:tc>
        <w:tc>
          <w:tcPr>
            <w:tcW w:w="2937" w:type="dxa"/>
            <w:vAlign w:val="top"/>
            <w:gridSpan w:val="2"/>
          </w:tcPr>
          <w:p>
            <w:pPr>
              <w:ind w:right="142"/>
              <w:spacing w:before="221" w:line="219" w:lineRule="auto"/>
              <w:jc w:val="righ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10"/>
              </w:rPr>
              <w:t>(盖章)</w:t>
            </w:r>
          </w:p>
        </w:tc>
        <w:tc>
          <w:tcPr>
            <w:tcW w:w="1418" w:type="dxa"/>
            <w:vAlign w:val="top"/>
          </w:tcPr>
          <w:p>
            <w:pPr>
              <w:ind w:left="303"/>
              <w:spacing w:before="223" w:line="22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2"/>
              </w:rPr>
              <w:t>项目名称</w:t>
            </w:r>
          </w:p>
        </w:tc>
        <w:tc>
          <w:tcPr>
            <w:tcW w:w="4191" w:type="dxa"/>
            <w:vAlign w:val="top"/>
            <w:gridSpan w:val="4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9" w:hRule="atLeast"/>
        </w:trPr>
        <w:tc>
          <w:tcPr>
            <w:tcW w:w="1314" w:type="dxa"/>
            <w:vAlign w:val="top"/>
          </w:tcPr>
          <w:p>
            <w:pPr>
              <w:ind w:left="244" w:right="220"/>
              <w:spacing w:before="80" w:line="25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9"/>
              </w:rPr>
              <w:t>项</w:t>
            </w:r>
            <w:r>
              <w:rPr>
                <w:rFonts w:ascii="SimSun" w:hAnsi="SimSun" w:eastAsia="SimSun" w:cs="SimSun"/>
                <w:sz w:val="20"/>
                <w:szCs w:val="20"/>
                <w:spacing w:val="23"/>
              </w:rPr>
              <w:t xml:space="preserve">    </w:t>
            </w:r>
            <w:r>
              <w:rPr>
                <w:rFonts w:ascii="SimSun" w:hAnsi="SimSun" w:eastAsia="SimSun" w:cs="SimSun"/>
                <w:sz w:val="20"/>
                <w:szCs w:val="20"/>
                <w:spacing w:val="-29"/>
              </w:rPr>
              <w:t>目</w:t>
            </w:r>
            <w:r>
              <w:rPr>
                <w:rFonts w:ascii="SimSun" w:hAnsi="SimSun" w:eastAsia="SimSun" w:cs="SimSun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5"/>
              </w:rPr>
              <w:t>责任部门</w:t>
            </w:r>
          </w:p>
        </w:tc>
        <w:tc>
          <w:tcPr>
            <w:tcW w:w="2937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18" w:type="dxa"/>
            <w:vAlign w:val="top"/>
          </w:tcPr>
          <w:p>
            <w:pPr>
              <w:ind w:left="203"/>
              <w:spacing w:before="219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项目负责人</w:t>
            </w:r>
          </w:p>
        </w:tc>
        <w:tc>
          <w:tcPr>
            <w:tcW w:w="129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9" w:type="dxa"/>
            <w:vAlign w:val="top"/>
          </w:tcPr>
          <w:p>
            <w:pPr>
              <w:ind w:left="196"/>
              <w:spacing w:before="221" w:line="221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联系电话</w:t>
            </w:r>
          </w:p>
        </w:tc>
        <w:tc>
          <w:tcPr>
            <w:tcW w:w="1693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90" w:hRule="atLeast"/>
        </w:trPr>
        <w:tc>
          <w:tcPr>
            <w:tcW w:w="1314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65" w:line="31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8"/>
              </w:rPr>
              <w:t>项目资金</w:t>
            </w:r>
          </w:p>
          <w:p>
            <w:pPr>
              <w:ind w:left="244"/>
              <w:spacing w:line="21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基本情况</w:t>
            </w:r>
          </w:p>
        </w:tc>
        <w:tc>
          <w:tcPr>
            <w:tcW w:w="1129" w:type="dxa"/>
            <w:vAlign w:val="top"/>
          </w:tcPr>
          <w:p>
            <w:pPr>
              <w:ind w:left="151"/>
              <w:spacing w:before="200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上年结转</w:t>
            </w:r>
          </w:p>
        </w:tc>
        <w:tc>
          <w:tcPr>
            <w:tcW w:w="1808" w:type="dxa"/>
            <w:vAlign w:val="top"/>
          </w:tcPr>
          <w:p>
            <w:pPr>
              <w:ind w:left="191"/>
              <w:spacing w:before="200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年初预算安排数</w:t>
            </w:r>
          </w:p>
        </w:tc>
        <w:tc>
          <w:tcPr>
            <w:tcW w:w="1418" w:type="dxa"/>
            <w:vAlign w:val="top"/>
          </w:tcPr>
          <w:p>
            <w:pPr>
              <w:ind w:left="203"/>
              <w:spacing w:before="200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预算调整数</w:t>
            </w:r>
          </w:p>
        </w:tc>
        <w:tc>
          <w:tcPr>
            <w:tcW w:w="2498" w:type="dxa"/>
            <w:vAlign w:val="top"/>
            <w:gridSpan w:val="2"/>
          </w:tcPr>
          <w:p>
            <w:pPr>
              <w:ind w:left="745"/>
              <w:spacing w:before="200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全年执行数</w:t>
            </w:r>
          </w:p>
        </w:tc>
        <w:tc>
          <w:tcPr>
            <w:tcW w:w="1693" w:type="dxa"/>
            <w:vAlign w:val="top"/>
            <w:gridSpan w:val="2"/>
          </w:tcPr>
          <w:p>
            <w:pPr>
              <w:ind w:left="338"/>
              <w:spacing w:before="200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预算执行率</w:t>
            </w:r>
          </w:p>
        </w:tc>
      </w:tr>
      <w:tr>
        <w:trPr>
          <w:trHeight w:val="520" w:hRule="atLeast"/>
        </w:trPr>
        <w:tc>
          <w:tcPr>
            <w:tcW w:w="1314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2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0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98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3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09" w:hRule="atLeast"/>
        </w:trPr>
        <w:tc>
          <w:tcPr>
            <w:tcW w:w="1314" w:type="dxa"/>
            <w:vAlign w:val="top"/>
          </w:tcPr>
          <w:p>
            <w:pPr>
              <w:ind w:left="244"/>
              <w:spacing w:before="258" w:line="21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评价内容</w:t>
            </w:r>
          </w:p>
        </w:tc>
        <w:tc>
          <w:tcPr>
            <w:tcW w:w="1129" w:type="dxa"/>
            <w:vAlign w:val="top"/>
          </w:tcPr>
          <w:p>
            <w:pPr>
              <w:ind w:left="351"/>
              <w:spacing w:before="260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</w:rPr>
              <w:t>分值</w:t>
            </w:r>
          </w:p>
        </w:tc>
        <w:tc>
          <w:tcPr>
            <w:tcW w:w="5724" w:type="dxa"/>
            <w:vAlign w:val="top"/>
            <w:gridSpan w:val="4"/>
          </w:tcPr>
          <w:p>
            <w:pPr>
              <w:ind w:left="2492"/>
              <w:spacing w:before="258" w:line="21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评价简述</w:t>
            </w:r>
          </w:p>
        </w:tc>
        <w:tc>
          <w:tcPr>
            <w:tcW w:w="839" w:type="dxa"/>
            <w:vAlign w:val="top"/>
          </w:tcPr>
          <w:p>
            <w:pPr>
              <w:ind w:left="117" w:right="77"/>
              <w:spacing w:before="99" w:line="26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11"/>
              </w:rPr>
              <w:t>单位自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评得分</w:t>
            </w:r>
          </w:p>
        </w:tc>
        <w:tc>
          <w:tcPr>
            <w:tcW w:w="854" w:type="dxa"/>
            <w:vAlign w:val="top"/>
          </w:tcPr>
          <w:p>
            <w:pPr>
              <w:ind w:left="118" w:right="132"/>
              <w:spacing w:before="99" w:line="26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</w:rPr>
              <w:t>财政复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-3"/>
              </w:rPr>
              <w:t>评得分</w:t>
            </w:r>
          </w:p>
        </w:tc>
      </w:tr>
      <w:tr>
        <w:trPr>
          <w:trHeight w:val="899" w:hRule="atLeast"/>
        </w:trPr>
        <w:tc>
          <w:tcPr>
            <w:tcW w:w="1314" w:type="dxa"/>
            <w:vAlign w:val="top"/>
          </w:tcPr>
          <w:p>
            <w:pPr>
              <w:ind w:left="144" w:right="120"/>
              <w:spacing w:before="69" w:line="255" w:lineRule="auto"/>
              <w:jc w:val="both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2"/>
              </w:rPr>
              <w:t>项目预算及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预期绩效目</w:t>
            </w:r>
            <w:r>
              <w:rPr>
                <w:rFonts w:ascii="SimSun" w:hAnsi="SimSun" w:eastAsia="SimSun" w:cs="SimSun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标编制水平</w:t>
            </w:r>
          </w:p>
        </w:tc>
        <w:tc>
          <w:tcPr>
            <w:tcW w:w="1129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  <w:r/>
          </w:p>
          <w:p>
            <w:pPr>
              <w:ind w:left="450"/>
              <w:spacing w:before="65" w:line="184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6"/>
              </w:rPr>
              <w:t>10</w:t>
            </w:r>
          </w:p>
        </w:tc>
        <w:tc>
          <w:tcPr>
            <w:tcW w:w="5724" w:type="dxa"/>
            <w:vAlign w:val="top"/>
            <w:gridSpan w:val="4"/>
          </w:tcPr>
          <w:p>
            <w:pPr>
              <w:ind w:left="131"/>
              <w:spacing w:before="49" w:line="275" w:lineRule="auto"/>
              <w:jc w:val="both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10"/>
              </w:rPr>
              <w:t>例如：本项目预算(即投入目标)编制科学、规范、合理，预期</w:t>
            </w:r>
            <w:r>
              <w:rPr>
                <w:rFonts w:ascii="SimSun" w:hAnsi="SimSun" w:eastAsia="SimSun" w:cs="SimSun"/>
                <w:sz w:val="19"/>
                <w:szCs w:val="19"/>
                <w:spacing w:val="3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2"/>
              </w:rPr>
              <w:t>绩效目标申报完整，产出、效果类关键性指标清晰、明确、量化，</w:t>
            </w:r>
            <w:r>
              <w:rPr>
                <w:rFonts w:ascii="SimSun" w:hAnsi="SimSun" w:eastAsia="SimSun" w:cs="SimSun"/>
                <w:sz w:val="19"/>
                <w:szCs w:val="19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:spacing w:val="12"/>
              </w:rPr>
              <w:t>投入与项目产出、效果目标匹配。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0" w:hRule="atLeast"/>
        </w:trPr>
        <w:tc>
          <w:tcPr>
            <w:tcW w:w="1314" w:type="dxa"/>
            <w:vAlign w:val="top"/>
          </w:tcPr>
          <w:p>
            <w:pPr>
              <w:ind w:left="144"/>
              <w:spacing w:before="222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预算执行率</w:t>
            </w:r>
          </w:p>
        </w:tc>
        <w:tc>
          <w:tcPr>
            <w:tcW w:w="1129" w:type="dxa"/>
            <w:vAlign w:val="top"/>
          </w:tcPr>
          <w:p>
            <w:pPr>
              <w:ind w:left="450"/>
              <w:spacing w:before="272" w:line="184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6"/>
              </w:rPr>
              <w:t>10</w:t>
            </w:r>
          </w:p>
        </w:tc>
        <w:tc>
          <w:tcPr>
            <w:tcW w:w="5724" w:type="dxa"/>
            <w:vAlign w:val="top"/>
            <w:gridSpan w:val="4"/>
          </w:tcPr>
          <w:p>
            <w:pPr>
              <w:ind w:left="131"/>
              <w:spacing w:before="222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1"/>
              </w:rPr>
              <w:t>例如：该项目预算执行率为*%。根据实际情况评分</w:t>
            </w:r>
          </w:p>
        </w:tc>
        <w:tc>
          <w:tcPr>
            <w:tcW w:w="83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9" w:hRule="atLeast"/>
        </w:trPr>
        <w:tc>
          <w:tcPr>
            <w:tcW w:w="1314" w:type="dxa"/>
            <w:vAlign w:val="top"/>
          </w:tcPr>
          <w:p>
            <w:pPr>
              <w:ind w:left="244" w:right="247"/>
              <w:spacing w:before="72" w:line="24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2"/>
              </w:rPr>
              <w:t>项目组织</w:t>
            </w:r>
            <w:r>
              <w:rPr>
                <w:rFonts w:ascii="SimSun" w:hAnsi="SimSun" w:eastAsia="SimSun" w:cs="SimSun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2"/>
              </w:rPr>
              <w:t>管理水平</w:t>
            </w:r>
          </w:p>
        </w:tc>
        <w:tc>
          <w:tcPr>
            <w:tcW w:w="1129" w:type="dxa"/>
            <w:vAlign w:val="top"/>
          </w:tcPr>
          <w:p>
            <w:pPr>
              <w:ind w:left="450"/>
              <w:spacing w:before="272" w:line="184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6"/>
              </w:rPr>
              <w:t>10</w:t>
            </w:r>
          </w:p>
        </w:tc>
        <w:tc>
          <w:tcPr>
            <w:tcW w:w="5724" w:type="dxa"/>
            <w:vAlign w:val="top"/>
            <w:gridSpan w:val="4"/>
          </w:tcPr>
          <w:p>
            <w:pPr>
              <w:ind w:left="131"/>
              <w:spacing w:before="221" w:line="228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2"/>
              </w:rPr>
              <w:t>例如：本项目建立了**等项目管理制度，并严格按相关制度执行。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59" w:hRule="atLeast"/>
        </w:trPr>
        <w:tc>
          <w:tcPr>
            <w:tcW w:w="1314" w:type="dxa"/>
            <w:vAlign w:val="top"/>
          </w:tcPr>
          <w:p>
            <w:pPr>
              <w:ind w:left="244" w:right="234"/>
              <w:spacing w:before="233" w:line="25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资金支出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合理合规</w:t>
            </w:r>
          </w:p>
        </w:tc>
        <w:tc>
          <w:tcPr>
            <w:tcW w:w="1129" w:type="dxa"/>
            <w:vAlign w:val="top"/>
          </w:tcPr>
          <w:p>
            <w:pPr>
              <w:spacing w:line="366" w:lineRule="auto"/>
              <w:rPr>
                <w:rFonts w:ascii="Arial"/>
                <w:sz w:val="21"/>
              </w:rPr>
            </w:pPr>
            <w:r/>
          </w:p>
          <w:p>
            <w:pPr>
              <w:ind w:left="450"/>
              <w:spacing w:before="65" w:line="184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6"/>
              </w:rPr>
              <w:t>10</w:t>
            </w:r>
          </w:p>
        </w:tc>
        <w:tc>
          <w:tcPr>
            <w:tcW w:w="5724" w:type="dxa"/>
            <w:vAlign w:val="top"/>
            <w:gridSpan w:val="4"/>
          </w:tcPr>
          <w:p>
            <w:pPr>
              <w:ind w:left="131"/>
              <w:spacing w:before="73" w:line="273" w:lineRule="auto"/>
              <w:jc w:val="both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9"/>
              </w:rPr>
              <w:t>例如：本年项目支出符合国家相关法律法规、财务管理制度等规</w:t>
            </w:r>
            <w:r>
              <w:rPr>
                <w:rFonts w:ascii="SimSun" w:hAnsi="SimSun" w:eastAsia="SimSun" w:cs="SimSun"/>
                <w:sz w:val="19"/>
                <w:szCs w:val="19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:spacing w:val="9"/>
              </w:rPr>
              <w:t>定，且均在预算范围内，无与本项目预算不相符或无关的资金支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:spacing w:val="-8"/>
              </w:rPr>
              <w:t>出</w:t>
            </w:r>
            <w:r>
              <w:rPr>
                <w:rFonts w:ascii="SimSun" w:hAnsi="SimSun" w:eastAsia="SimSun" w:cs="SimSun"/>
                <w:sz w:val="19"/>
                <w:szCs w:val="19"/>
                <w:spacing w:val="60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:spacing w:val="-8"/>
              </w:rPr>
              <w:t>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89" w:hRule="atLeast"/>
        </w:trPr>
        <w:tc>
          <w:tcPr>
            <w:tcW w:w="1314" w:type="dxa"/>
            <w:vAlign w:val="top"/>
          </w:tcPr>
          <w:p>
            <w:pPr>
              <w:ind w:left="244"/>
              <w:spacing w:before="254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项目产出</w:t>
            </w:r>
          </w:p>
        </w:tc>
        <w:tc>
          <w:tcPr>
            <w:tcW w:w="1129" w:type="dxa"/>
            <w:vAlign w:val="top"/>
          </w:tcPr>
          <w:p>
            <w:pPr>
              <w:ind w:left="450"/>
              <w:spacing w:before="305" w:line="18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</w:rPr>
              <w:t>30</w:t>
            </w:r>
          </w:p>
        </w:tc>
        <w:tc>
          <w:tcPr>
            <w:tcW w:w="5724" w:type="dxa"/>
            <w:vAlign w:val="top"/>
            <w:gridSpan w:val="4"/>
          </w:tcPr>
          <w:p>
            <w:pPr>
              <w:ind w:left="131"/>
              <w:spacing w:before="83" w:line="269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9"/>
              </w:rPr>
              <w:t>对照项目产出目标，按产出数量、产出质量、产出时效以及成本</w:t>
            </w:r>
            <w:r>
              <w:rPr>
                <w:rFonts w:ascii="SimSun" w:hAnsi="SimSun" w:eastAsia="SimSun" w:cs="SimSun"/>
                <w:sz w:val="19"/>
                <w:szCs w:val="19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:spacing w:val="17"/>
              </w:rPr>
              <w:t>控制等方面进行自我评价。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39" w:hRule="atLeast"/>
        </w:trPr>
        <w:tc>
          <w:tcPr>
            <w:tcW w:w="1314" w:type="dxa"/>
            <w:vAlign w:val="top"/>
          </w:tcPr>
          <w:p>
            <w:pPr>
              <w:ind w:left="344" w:right="249" w:hanging="100"/>
              <w:spacing w:before="226" w:line="25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2"/>
              </w:rPr>
              <w:t>项目效益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10"/>
              </w:rPr>
              <w:t>(效果)</w:t>
            </w:r>
          </w:p>
        </w:tc>
        <w:tc>
          <w:tcPr>
            <w:tcW w:w="1129" w:type="dxa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ind w:left="450"/>
              <w:spacing w:before="65" w:line="18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</w:rPr>
              <w:t>20</w:t>
            </w:r>
          </w:p>
        </w:tc>
        <w:tc>
          <w:tcPr>
            <w:tcW w:w="5724" w:type="dxa"/>
            <w:vAlign w:val="top"/>
            <w:gridSpan w:val="4"/>
          </w:tcPr>
          <w:p>
            <w:pPr>
              <w:ind w:left="131"/>
              <w:spacing w:before="234" w:line="259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9"/>
              </w:rPr>
              <w:t>对照项目效益目标，可从经济效益、社会效益、环境效益和可持</w:t>
            </w:r>
            <w:r>
              <w:rPr>
                <w:rFonts w:ascii="SimSun" w:hAnsi="SimSun" w:eastAsia="SimSun" w:cs="SimSun"/>
                <w:sz w:val="19"/>
                <w:szCs w:val="19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:spacing w:val="13"/>
              </w:rPr>
              <w:t>续影响及服务对象满意度等5个具体绩效指标进行评价。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09" w:hRule="atLeast"/>
        </w:trPr>
        <w:tc>
          <w:tcPr>
            <w:tcW w:w="1314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345"/>
              <w:spacing w:before="65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满意度</w:t>
            </w:r>
          </w:p>
        </w:tc>
        <w:tc>
          <w:tcPr>
            <w:tcW w:w="1129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ind w:left="450"/>
              <w:spacing w:before="65" w:line="184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6"/>
              </w:rPr>
              <w:t>10</w:t>
            </w:r>
          </w:p>
        </w:tc>
        <w:tc>
          <w:tcPr>
            <w:tcW w:w="5724" w:type="dxa"/>
            <w:vAlign w:val="top"/>
            <w:gridSpan w:val="4"/>
          </w:tcPr>
          <w:p>
            <w:pPr>
              <w:ind w:left="131"/>
              <w:spacing w:before="56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3"/>
              </w:rPr>
              <w:t>服务对象满意度计分：90%≤满意度≤100%记10分，</w:t>
            </w:r>
            <w:r>
              <w:rPr>
                <w:rFonts w:ascii="SimSun" w:hAnsi="SimSun" w:eastAsia="SimSun" w:cs="SimSun"/>
                <w:sz w:val="20"/>
                <w:szCs w:val="20"/>
                <w:spacing w:val="2"/>
              </w:rPr>
              <w:t>80%≤满意</w:t>
            </w:r>
          </w:p>
          <w:p>
            <w:pPr>
              <w:ind w:left="131"/>
              <w:spacing w:before="72" w:line="320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4"/>
                <w:position w:val="8"/>
              </w:rPr>
              <w:t>度&lt;90%记8分，70%≤满意度&lt;80%</w:t>
            </w:r>
            <w:r>
              <w:rPr>
                <w:rFonts w:ascii="SimSun" w:hAnsi="SimSun" w:eastAsia="SimSun" w:cs="SimSun"/>
                <w:sz w:val="20"/>
                <w:szCs w:val="20"/>
                <w:spacing w:val="17"/>
                <w:position w:val="8"/>
              </w:rPr>
              <w:t xml:space="preserve">   </w:t>
            </w:r>
            <w:r>
              <w:rPr>
                <w:rFonts w:ascii="SimSun" w:hAnsi="SimSun" w:eastAsia="SimSun" w:cs="SimSun"/>
                <w:sz w:val="20"/>
                <w:szCs w:val="20"/>
                <w:spacing w:val="4"/>
                <w:position w:val="8"/>
              </w:rPr>
              <w:t>记6分，</w:t>
            </w:r>
          </w:p>
          <w:p>
            <w:pPr>
              <w:ind w:left="131"/>
              <w:spacing w:line="20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4"/>
              </w:rPr>
              <w:t>60%≤满意度&lt;70%记4分，满意度&lt;60%记0分。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70" w:hRule="atLeast"/>
        </w:trPr>
        <w:tc>
          <w:tcPr>
            <w:tcW w:w="1314" w:type="dxa"/>
            <w:vAlign w:val="top"/>
          </w:tcPr>
          <w:p>
            <w:pPr>
              <w:ind w:left="444"/>
              <w:spacing w:before="198" w:line="221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4"/>
              </w:rPr>
              <w:t>小计</w:t>
            </w:r>
          </w:p>
        </w:tc>
        <w:tc>
          <w:tcPr>
            <w:tcW w:w="1129" w:type="dxa"/>
            <w:vAlign w:val="top"/>
          </w:tcPr>
          <w:p>
            <w:pPr>
              <w:ind w:left="401"/>
              <w:spacing w:before="247" w:line="184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6"/>
              </w:rPr>
              <w:t>100</w:t>
            </w:r>
          </w:p>
        </w:tc>
        <w:tc>
          <w:tcPr>
            <w:tcW w:w="5724" w:type="dxa"/>
            <w:vAlign w:val="top"/>
            <w:gridSpan w:val="4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3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19" w:hRule="atLeast"/>
        </w:trPr>
        <w:tc>
          <w:tcPr>
            <w:tcW w:w="1314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ind w:left="244"/>
              <w:spacing w:before="65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1"/>
              </w:rPr>
              <w:t>负向指标</w:t>
            </w:r>
          </w:p>
        </w:tc>
        <w:tc>
          <w:tcPr>
            <w:tcW w:w="112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24" w:type="dxa"/>
            <w:vAlign w:val="top"/>
            <w:gridSpan w:val="4"/>
          </w:tcPr>
          <w:p>
            <w:pPr>
              <w:ind w:left="131" w:right="82"/>
              <w:spacing w:before="63" w:line="260" w:lineRule="auto"/>
              <w:jc w:val="both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3"/>
              </w:rPr>
              <w:t>主要评价自评得分与复评得分差异率。差异率≤10%,不扣分；</w:t>
            </w:r>
            <w:r>
              <w:rPr>
                <w:rFonts w:ascii="SimSun" w:hAnsi="SimSun" w:eastAsia="SimSun" w:cs="SimSun"/>
                <w:sz w:val="20"/>
                <w:szCs w:val="20"/>
                <w:spacing w:val="12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14"/>
              </w:rPr>
              <w:t>10%&lt;差异率≤15%,扣2分；15%&lt;差异率≤20%,扣4分；差异</w:t>
            </w:r>
            <w:r>
              <w:rPr>
                <w:rFonts w:ascii="SimSun" w:hAnsi="SimSun" w:eastAsia="SimSun" w:cs="SimSun"/>
                <w:sz w:val="20"/>
                <w:szCs w:val="20"/>
                <w:spacing w:val="15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13"/>
              </w:rPr>
              <w:t>率&gt;20%,扣6分。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30" w:hRule="atLeast"/>
        </w:trPr>
        <w:tc>
          <w:tcPr>
            <w:tcW w:w="1314" w:type="dxa"/>
            <w:vAlign w:val="top"/>
          </w:tcPr>
          <w:p>
            <w:pPr>
              <w:ind w:left="444"/>
              <w:spacing w:before="129" w:line="221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</w:rPr>
              <w:t>合计</w:t>
            </w:r>
          </w:p>
        </w:tc>
        <w:tc>
          <w:tcPr>
            <w:tcW w:w="1129" w:type="dxa"/>
            <w:vAlign w:val="top"/>
          </w:tcPr>
          <w:p>
            <w:pPr>
              <w:ind w:left="401"/>
              <w:spacing w:before="178" w:line="184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6"/>
              </w:rPr>
              <w:t>100</w:t>
            </w:r>
          </w:p>
        </w:tc>
        <w:tc>
          <w:tcPr>
            <w:tcW w:w="5724" w:type="dxa"/>
            <w:vAlign w:val="top"/>
            <w:gridSpan w:val="4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3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64" w:hRule="atLeast"/>
        </w:trPr>
        <w:tc>
          <w:tcPr>
            <w:tcW w:w="1314" w:type="dxa"/>
            <w:vAlign w:val="top"/>
          </w:tcPr>
          <w:p>
            <w:pPr>
              <w:ind w:left="244"/>
              <w:spacing w:before="236" w:line="21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评价结果</w:t>
            </w:r>
          </w:p>
        </w:tc>
        <w:tc>
          <w:tcPr>
            <w:tcW w:w="112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26" w:type="dxa"/>
            <w:vAlign w:val="top"/>
            <w:gridSpan w:val="2"/>
            <w:tcBorders>
              <w:right w:val="none" w:color="000000" w:sz="8" w:space="0"/>
            </w:tcBorders>
          </w:tcPr>
          <w:p>
            <w:pPr>
              <w:ind w:left="251"/>
              <w:spacing w:before="108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]优秀90分≤得分≤100分；</w:t>
            </w:r>
          </w:p>
          <w:p>
            <w:pPr>
              <w:ind w:left="141"/>
              <w:spacing w:before="72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□较差60分≤得分&lt;80分；</w:t>
            </w:r>
          </w:p>
        </w:tc>
        <w:tc>
          <w:tcPr>
            <w:tcW w:w="4191" w:type="dxa"/>
            <w:vAlign w:val="top"/>
            <w:gridSpan w:val="4"/>
            <w:tcBorders>
              <w:left w:val="none" w:color="000000" w:sz="8" w:space="0"/>
            </w:tcBorders>
          </w:tcPr>
          <w:p>
            <w:pPr>
              <w:ind w:left="581"/>
              <w:spacing w:before="108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良好80分≤得分&lt;90分；</w:t>
            </w:r>
          </w:p>
          <w:p>
            <w:pPr>
              <w:ind w:left="301"/>
              <w:spacing w:before="52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□差</w:t>
            </w:r>
            <w:r>
              <w:rPr>
                <w:rFonts w:ascii="SimSun" w:hAnsi="SimSun" w:eastAsia="SimSun" w:cs="SimSun"/>
                <w:sz w:val="20"/>
                <w:szCs w:val="20"/>
                <w:spacing w:val="11"/>
              </w:rPr>
              <w:t xml:space="preserve">  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得分&lt;60分</w:t>
            </w:r>
          </w:p>
        </w:tc>
      </w:tr>
    </w:tbl>
    <w:p>
      <w:pPr>
        <w:spacing w:line="346" w:lineRule="auto"/>
        <w:rPr>
          <w:rFonts w:ascii="Arial"/>
          <w:sz w:val="21"/>
        </w:rPr>
      </w:pPr>
      <w:r/>
    </w:p>
    <w:p>
      <w:pPr>
        <w:ind w:left="454"/>
        <w:spacing w:before="62" w:line="232" w:lineRule="auto"/>
        <w:rPr>
          <w:rFonts w:ascii="FangSong" w:hAnsi="FangSong" w:eastAsia="FangSong" w:cs="FangSong"/>
          <w:sz w:val="19"/>
          <w:szCs w:val="19"/>
        </w:rPr>
      </w:pPr>
      <w:r>
        <w:rPr>
          <w:rFonts w:ascii="FangSong" w:hAnsi="FangSong" w:eastAsia="FangSong" w:cs="FangSong"/>
          <w:sz w:val="19"/>
          <w:szCs w:val="19"/>
          <w:spacing w:val="11"/>
        </w:rPr>
        <w:t>单位负责人(签字):</w:t>
      </w:r>
      <w:r>
        <w:rPr>
          <w:rFonts w:ascii="FangSong" w:hAnsi="FangSong" w:eastAsia="FangSong" w:cs="FangSong"/>
          <w:sz w:val="19"/>
          <w:szCs w:val="19"/>
          <w:spacing w:val="2"/>
        </w:rPr>
        <w:t xml:space="preserve">              </w:t>
      </w:r>
      <w:r>
        <w:rPr>
          <w:rFonts w:ascii="FangSong" w:hAnsi="FangSong" w:eastAsia="FangSong" w:cs="FangSong"/>
          <w:sz w:val="19"/>
          <w:szCs w:val="19"/>
          <w:spacing w:val="11"/>
        </w:rPr>
        <w:t>项目负责人(签字):</w:t>
      </w:r>
      <w:r>
        <w:rPr>
          <w:rFonts w:ascii="FangSong" w:hAnsi="FangSong" w:eastAsia="FangSong" w:cs="FangSong"/>
          <w:sz w:val="19"/>
          <w:szCs w:val="19"/>
          <w:spacing w:val="5"/>
        </w:rPr>
        <w:t xml:space="preserve">           </w:t>
      </w:r>
      <w:r>
        <w:rPr>
          <w:rFonts w:ascii="FangSong" w:hAnsi="FangSong" w:eastAsia="FangSong" w:cs="FangSong"/>
          <w:sz w:val="19"/>
          <w:szCs w:val="19"/>
          <w:spacing w:val="11"/>
        </w:rPr>
        <w:t>填表日期：年</w:t>
      </w:r>
      <w:r>
        <w:rPr>
          <w:rFonts w:ascii="FangSong" w:hAnsi="FangSong" w:eastAsia="FangSong" w:cs="FangSong"/>
          <w:sz w:val="19"/>
          <w:szCs w:val="19"/>
          <w:spacing w:val="10"/>
        </w:rPr>
        <w:t xml:space="preserve">        </w:t>
      </w:r>
      <w:r>
        <w:rPr>
          <w:rFonts w:ascii="FangSong" w:hAnsi="FangSong" w:eastAsia="FangSong" w:cs="FangSong"/>
          <w:sz w:val="19"/>
          <w:szCs w:val="19"/>
          <w:spacing w:val="11"/>
        </w:rPr>
        <w:t>月</w:t>
      </w:r>
      <w:r>
        <w:rPr>
          <w:rFonts w:ascii="FangSong" w:hAnsi="FangSong" w:eastAsia="FangSong" w:cs="FangSong"/>
          <w:sz w:val="19"/>
          <w:szCs w:val="19"/>
          <w:spacing w:val="26"/>
        </w:rPr>
        <w:t xml:space="preserve">  </w:t>
      </w:r>
      <w:r>
        <w:rPr>
          <w:rFonts w:ascii="FangSong" w:hAnsi="FangSong" w:eastAsia="FangSong" w:cs="FangSong"/>
          <w:sz w:val="19"/>
          <w:szCs w:val="19"/>
          <w:spacing w:val="11"/>
        </w:rPr>
        <w:t>日</w:t>
      </w:r>
    </w:p>
    <w:p>
      <w:pPr>
        <w:sectPr>
          <w:footerReference w:type="default" r:id="rId12"/>
          <w:pgSz w:w="11910" w:h="16840"/>
          <w:pgMar w:top="1431" w:right="954" w:bottom="1153" w:left="1085" w:header="0" w:footer="964" w:gutter="0"/>
        </w:sectPr>
        <w:rPr/>
      </w:pPr>
    </w:p>
    <w:p>
      <w:pPr>
        <w:ind w:left="139"/>
        <w:spacing w:before="68" w:line="222" w:lineRule="auto"/>
        <w:rPr>
          <w:rFonts w:ascii="FangSong" w:hAnsi="FangSong" w:eastAsia="FangSong" w:cs="FangSong"/>
          <w:sz w:val="33"/>
          <w:szCs w:val="33"/>
        </w:rPr>
      </w:pPr>
      <w:r>
        <w:rPr>
          <w:rFonts w:ascii="FangSong" w:hAnsi="FangSong" w:eastAsia="FangSong" w:cs="FangSong"/>
          <w:sz w:val="33"/>
          <w:szCs w:val="33"/>
          <w:b/>
          <w:bCs/>
          <w:spacing w:val="5"/>
        </w:rPr>
        <w:t>附件2-2</w:t>
      </w:r>
    </w:p>
    <w:p>
      <w:pPr>
        <w:ind w:left="1739"/>
        <w:spacing w:before="335" w:line="219" w:lineRule="auto"/>
        <w:rPr>
          <w:rFonts w:ascii="SimSun" w:hAnsi="SimSun" w:eastAsia="SimSun" w:cs="SimSun"/>
          <w:sz w:val="33"/>
          <w:szCs w:val="33"/>
        </w:rPr>
      </w:pPr>
      <w:r>
        <w:rPr>
          <w:rFonts w:ascii="SimSun" w:hAnsi="SimSun" w:eastAsia="SimSun" w:cs="SimSun"/>
          <w:sz w:val="33"/>
          <w:szCs w:val="33"/>
          <w:b/>
          <w:bCs/>
          <w:spacing w:val="-4"/>
        </w:rPr>
        <w:t>2022年度新晃县项目绩效自评计分标准</w:t>
      </w:r>
    </w:p>
    <w:p>
      <w:pPr>
        <w:spacing w:line="64" w:lineRule="exact"/>
        <w:rPr/>
      </w:pPr>
      <w:r/>
    </w:p>
    <w:tbl>
      <w:tblPr>
        <w:tblStyle w:val="2"/>
        <w:tblW w:w="8960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334"/>
        <w:gridCol w:w="709"/>
        <w:gridCol w:w="6917"/>
      </w:tblGrid>
      <w:tr>
        <w:trPr>
          <w:trHeight w:val="704" w:hRule="atLeast"/>
        </w:trPr>
        <w:tc>
          <w:tcPr>
            <w:tcW w:w="1334" w:type="dxa"/>
            <w:vAlign w:val="top"/>
          </w:tcPr>
          <w:p>
            <w:pPr>
              <w:ind w:left="198"/>
              <w:spacing w:before="239" w:line="21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b/>
                <w:bCs/>
                <w:spacing w:val="-4"/>
              </w:rPr>
              <w:t>评价内容</w:t>
            </w:r>
          </w:p>
        </w:tc>
        <w:tc>
          <w:tcPr>
            <w:tcW w:w="709" w:type="dxa"/>
            <w:vAlign w:val="top"/>
          </w:tcPr>
          <w:p>
            <w:pPr>
              <w:ind w:left="114"/>
              <w:spacing w:before="241" w:line="21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b/>
                <w:bCs/>
                <w:spacing w:val="-6"/>
              </w:rPr>
              <w:t>分值</w:t>
            </w:r>
          </w:p>
        </w:tc>
        <w:tc>
          <w:tcPr>
            <w:tcW w:w="6917" w:type="dxa"/>
            <w:vAlign w:val="top"/>
          </w:tcPr>
          <w:p>
            <w:pPr>
              <w:ind w:left="2515"/>
              <w:spacing w:before="241" w:line="22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b/>
                <w:bCs/>
                <w:spacing w:val="-10"/>
              </w:rPr>
              <w:t>评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</w:rPr>
              <w:t xml:space="preserve">   </w:t>
            </w:r>
            <w:r>
              <w:rPr>
                <w:rFonts w:ascii="SimSun" w:hAnsi="SimSun" w:eastAsia="SimSun" w:cs="SimSun"/>
                <w:sz w:val="23"/>
                <w:szCs w:val="23"/>
                <w:b/>
                <w:bCs/>
                <w:spacing w:val="-10"/>
              </w:rPr>
              <w:t>分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</w:rPr>
              <w:t xml:space="preserve">   </w:t>
            </w:r>
            <w:r>
              <w:rPr>
                <w:rFonts w:ascii="SimSun" w:hAnsi="SimSun" w:eastAsia="SimSun" w:cs="SimSun"/>
                <w:sz w:val="23"/>
                <w:szCs w:val="23"/>
                <w:b/>
                <w:bCs/>
                <w:spacing w:val="-10"/>
              </w:rPr>
              <w:t>标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</w:rPr>
              <w:t xml:space="preserve">   </w:t>
            </w:r>
            <w:r>
              <w:rPr>
                <w:rFonts w:ascii="SimSun" w:hAnsi="SimSun" w:eastAsia="SimSun" w:cs="SimSun"/>
                <w:sz w:val="23"/>
                <w:szCs w:val="23"/>
                <w:b/>
                <w:bCs/>
                <w:spacing w:val="-10"/>
              </w:rPr>
              <w:t>准</w:t>
            </w:r>
          </w:p>
        </w:tc>
      </w:tr>
      <w:tr>
        <w:trPr>
          <w:trHeight w:val="9143" w:hRule="atLeast"/>
        </w:trPr>
        <w:tc>
          <w:tcPr>
            <w:tcW w:w="13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ind w:left="194"/>
              <w:spacing w:before="74" w:line="21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</w:rPr>
              <w:t>项目预算</w:t>
            </w:r>
          </w:p>
          <w:p>
            <w:pPr>
              <w:ind w:left="194"/>
              <w:spacing w:before="47" w:line="22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2"/>
              </w:rPr>
              <w:t>及预期绩</w:t>
            </w:r>
          </w:p>
          <w:p>
            <w:pPr>
              <w:ind w:left="194"/>
              <w:spacing w:before="95" w:line="21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效目标编</w:t>
            </w:r>
          </w:p>
          <w:p>
            <w:pPr>
              <w:ind w:left="315"/>
              <w:spacing w:before="57" w:line="21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制水平</w:t>
            </w:r>
          </w:p>
        </w:tc>
        <w:tc>
          <w:tcPr>
            <w:tcW w:w="709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230"/>
              <w:spacing w:before="75" w:line="184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ind w:left="132" w:right="20"/>
              <w:spacing w:before="191" w:line="34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6"/>
              </w:rPr>
              <w:t>1、项目预算(即投入目标)的科学、合理性，5分。项目预算编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制存在下列问题的，各扣1分，扣完为止：</w:t>
            </w:r>
            <w:r>
              <w:rPr>
                <w:rFonts w:ascii="SimSun" w:hAnsi="SimSun" w:eastAsia="SimSun" w:cs="SimSun"/>
                <w:sz w:val="23"/>
                <w:szCs w:val="23"/>
                <w:spacing w:val="9"/>
              </w:rPr>
              <w:t xml:space="preserve">    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(1)项目设置与部</w:t>
            </w:r>
            <w:r>
              <w:rPr>
                <w:rFonts w:ascii="SimSun" w:hAnsi="SimSun" w:eastAsia="SimSun" w:cs="SimSun"/>
                <w:sz w:val="23"/>
                <w:szCs w:val="23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25"/>
              </w:rPr>
              <w:t>门(单位)履职无关或与部门(单位)职能衔接不</w:t>
            </w:r>
            <w:r>
              <w:rPr>
                <w:rFonts w:ascii="SimSun" w:hAnsi="SimSun" w:eastAsia="SimSun" w:cs="SimSun"/>
                <w:sz w:val="23"/>
                <w:szCs w:val="23"/>
                <w:spacing w:val="24"/>
              </w:rPr>
              <w:t>够，与其他项</w:t>
            </w:r>
            <w:r>
              <w:rPr>
                <w:rFonts w:ascii="SimSun" w:hAnsi="SimSun" w:eastAsia="SimSun" w:cs="SimSun"/>
                <w:sz w:val="23"/>
                <w:szCs w:val="23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10"/>
              </w:rPr>
              <w:t>目存在重叠交叉；</w:t>
            </w:r>
            <w:r>
              <w:rPr>
                <w:rFonts w:ascii="SimSun" w:hAnsi="SimSun" w:eastAsia="SimSun" w:cs="SimSun"/>
                <w:sz w:val="23"/>
                <w:szCs w:val="23"/>
                <w:spacing w:val="13"/>
              </w:rPr>
              <w:t xml:space="preserve">    </w:t>
            </w:r>
            <w:r>
              <w:rPr>
                <w:rFonts w:ascii="SimSun" w:hAnsi="SimSun" w:eastAsia="SimSun" w:cs="SimSun"/>
                <w:sz w:val="23"/>
                <w:szCs w:val="23"/>
                <w:spacing w:val="10"/>
              </w:rPr>
              <w:t>(2)将由非本级政府(财政)承担的事项列</w:t>
            </w:r>
            <w:r>
              <w:rPr>
                <w:rFonts w:ascii="SimSun" w:hAnsi="SimSun" w:eastAsia="SimSun" w:cs="SimSun"/>
                <w:sz w:val="23"/>
                <w:szCs w:val="23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入本级项目支出责任范围；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 xml:space="preserve">    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(3)项目支出事项测算没有具体的</w:t>
            </w:r>
            <w:r>
              <w:rPr>
                <w:rFonts w:ascii="SimSun" w:hAnsi="SimSun" w:eastAsia="SimSun" w:cs="SimSun"/>
                <w:sz w:val="23"/>
                <w:szCs w:val="23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数量、规格、型号或人数、天数等基本信息；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 xml:space="preserve">    </w:t>
            </w: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(4)项目支出事</w:t>
            </w:r>
            <w:r>
              <w:rPr>
                <w:rFonts w:ascii="SimSun" w:hAnsi="SimSun" w:eastAsia="SimSun" w:cs="SimSun"/>
                <w:sz w:val="23"/>
                <w:szCs w:val="23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2"/>
              </w:rPr>
              <w:t>项测算与市场价格相差很远，或没有体现厉行节约原则；</w:t>
            </w:r>
            <w:r>
              <w:rPr>
                <w:rFonts w:ascii="SimSun" w:hAnsi="SimSun" w:eastAsia="SimSun" w:cs="SimSun"/>
                <w:sz w:val="23"/>
                <w:szCs w:val="23"/>
                <w:spacing w:val="9"/>
              </w:rPr>
              <w:t xml:space="preserve">    </w:t>
            </w:r>
            <w:r>
              <w:rPr>
                <w:rFonts w:ascii="SimSun" w:hAnsi="SimSun" w:eastAsia="SimSun" w:cs="SimSun"/>
                <w:sz w:val="23"/>
                <w:szCs w:val="23"/>
                <w:spacing w:val="2"/>
              </w:rPr>
              <w:t>(5)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将未经政府批准，或未受委托履行政府职能的中介机构、协会、</w:t>
            </w:r>
            <w:r>
              <w:rPr>
                <w:rFonts w:ascii="SimSun" w:hAnsi="SimSun" w:eastAsia="SimSun" w:cs="SimSun"/>
                <w:sz w:val="23"/>
                <w:szCs w:val="23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2"/>
              </w:rPr>
              <w:t>学会等非预算单位的经费补助编入项目预算；</w:t>
            </w:r>
            <w:r>
              <w:rPr>
                <w:rFonts w:ascii="SimSun" w:hAnsi="SimSun" w:eastAsia="SimSun" w:cs="SimSun"/>
                <w:sz w:val="23"/>
                <w:szCs w:val="23"/>
                <w:spacing w:val="6"/>
              </w:rPr>
              <w:t xml:space="preserve">    </w:t>
            </w:r>
            <w:r>
              <w:rPr>
                <w:rFonts w:ascii="SimSun" w:hAnsi="SimSun" w:eastAsia="SimSun" w:cs="SimSun"/>
                <w:sz w:val="23"/>
                <w:szCs w:val="23"/>
                <w:spacing w:val="-2"/>
              </w:rPr>
              <w:t>(6)将接待经费、</w:t>
            </w:r>
            <w:r>
              <w:rPr>
                <w:rFonts w:ascii="SimSun" w:hAnsi="SimSun" w:eastAsia="SimSun" w:cs="SimSun"/>
                <w:sz w:val="23"/>
                <w:szCs w:val="23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9"/>
              </w:rPr>
              <w:t>未经批准的临时人员工资或没有依据的津补贴、奖金、福利等编</w:t>
            </w:r>
          </w:p>
          <w:p>
            <w:pPr>
              <w:ind w:left="132"/>
              <w:spacing w:line="21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入项目预算；(7)将没有具体内容的"其他”、"不可预见费"和"机</w:t>
            </w:r>
          </w:p>
          <w:p>
            <w:pPr>
              <w:ind w:left="132"/>
              <w:spacing w:before="178" w:line="21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9"/>
              </w:rPr>
              <w:t>动经费"等编入项目预算。</w:t>
            </w:r>
          </w:p>
          <w:p>
            <w:pPr>
              <w:ind w:left="132" w:right="77"/>
              <w:spacing w:before="127" w:line="35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2、项目预期绩效目标的完整性、相关性，3分。申报的产出或效</w:t>
            </w:r>
            <w:r>
              <w:rPr>
                <w:rFonts w:ascii="SimSun" w:hAnsi="SimSun" w:eastAsia="SimSun" w:cs="SimSun"/>
                <w:sz w:val="23"/>
                <w:szCs w:val="23"/>
                <w:spacing w:val="16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13"/>
              </w:rPr>
              <w:t>果类绩效目标没有设定相关联的绩效指标，各扣0.8</w:t>
            </w:r>
            <w:r>
              <w:rPr>
                <w:rFonts w:ascii="SimSun" w:hAnsi="SimSun" w:eastAsia="SimSun" w:cs="SimSun"/>
                <w:sz w:val="23"/>
                <w:szCs w:val="23"/>
                <w:spacing w:val="12"/>
              </w:rPr>
              <w:t>分；设置的</w:t>
            </w:r>
          </w:p>
          <w:p>
            <w:pPr>
              <w:ind w:left="132"/>
              <w:spacing w:line="21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1"/>
              </w:rPr>
              <w:t>产出或效果类关键性指标可以量化而没有量化的，各扣0.7分；</w:t>
            </w:r>
          </w:p>
          <w:p>
            <w:pPr>
              <w:ind w:left="132"/>
              <w:spacing w:before="127" w:line="21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6"/>
              </w:rPr>
              <w:t>没有申报项目预期绩效目标的，不得分。</w:t>
            </w:r>
          </w:p>
          <w:p>
            <w:pPr>
              <w:ind w:left="132"/>
              <w:spacing w:before="168" w:line="34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1"/>
              </w:rPr>
              <w:t>3、项目预算(投入目标)与项目产出、效果目标的匹配性，2分。</w:t>
            </w: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9"/>
              </w:rPr>
              <w:t>在既定资金规模下，项目产出、效果目标过高或过低；或者要</w:t>
            </w: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完</w:t>
            </w:r>
            <w:r>
              <w:rPr>
                <w:rFonts w:ascii="SimSun" w:hAnsi="SimSun" w:eastAsia="SimSun" w:cs="SimSun"/>
                <w:sz w:val="23"/>
                <w:szCs w:val="23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成既定项目产出、效果目标，资金规模过大或过小的，不得分</w:t>
            </w:r>
            <w:r>
              <w:rPr>
                <w:rFonts w:ascii="SimSun" w:hAnsi="SimSun" w:eastAsia="SimSun" w:cs="SimSun"/>
                <w:sz w:val="23"/>
                <w:szCs w:val="23"/>
                <w:spacing w:val="6"/>
              </w:rPr>
              <w:t>；</w:t>
            </w:r>
            <w:r>
              <w:rPr>
                <w:rFonts w:ascii="SimSun" w:hAnsi="SimSun" w:eastAsia="SimSun" w:cs="SimSun"/>
                <w:sz w:val="23"/>
                <w:szCs w:val="23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没有申报绩效目标，无法判定项目投入目标与产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出、效果目标的</w:t>
            </w:r>
          </w:p>
          <w:p>
            <w:pPr>
              <w:ind w:left="132"/>
              <w:spacing w:line="21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2"/>
              </w:rPr>
              <w:t>匹配性的，不得分。</w:t>
            </w:r>
          </w:p>
        </w:tc>
      </w:tr>
      <w:tr>
        <w:trPr>
          <w:trHeight w:val="899" w:hRule="atLeast"/>
        </w:trPr>
        <w:tc>
          <w:tcPr>
            <w:tcW w:w="1334" w:type="dxa"/>
            <w:vAlign w:val="top"/>
          </w:tcPr>
          <w:p>
            <w:pPr>
              <w:ind w:left="424"/>
              <w:spacing w:before="147" w:line="34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5"/>
                <w:position w:val="7"/>
              </w:rPr>
              <w:t>预算</w:t>
            </w:r>
          </w:p>
          <w:p>
            <w:pPr>
              <w:ind w:left="315"/>
              <w:spacing w:line="21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2"/>
              </w:rPr>
              <w:t>执行率</w:t>
            </w:r>
          </w:p>
        </w:tc>
        <w:tc>
          <w:tcPr>
            <w:tcW w:w="709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  <w:r/>
          </w:p>
          <w:p>
            <w:pPr>
              <w:ind w:left="230"/>
              <w:spacing w:before="75" w:line="184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ind w:left="132"/>
              <w:spacing w:before="75" w:line="216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6"/>
              </w:rPr>
              <w:t>预算执行率S≥95%,得满分；每下降1%,扣0.25分，扣完为止。</w:t>
            </w:r>
          </w:p>
        </w:tc>
      </w:tr>
      <w:tr>
        <w:trPr>
          <w:trHeight w:val="1444" w:hRule="atLeast"/>
        </w:trPr>
        <w:tc>
          <w:tcPr>
            <w:tcW w:w="1334" w:type="dxa"/>
            <w:vAlign w:val="top"/>
          </w:tcPr>
          <w:p>
            <w:pPr>
              <w:spacing w:line="401" w:lineRule="auto"/>
              <w:rPr>
                <w:rFonts w:ascii="Arial"/>
                <w:sz w:val="21"/>
              </w:rPr>
            </w:pPr>
            <w:r/>
          </w:p>
          <w:p>
            <w:pPr>
              <w:ind w:left="194" w:right="196"/>
              <w:spacing w:before="74" w:line="23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项目组织</w:t>
            </w:r>
            <w:r>
              <w:rPr>
                <w:rFonts w:ascii="SimSun" w:hAnsi="SimSun" w:eastAsia="SimSun" w:cs="SimSun"/>
                <w:sz w:val="23"/>
                <w:szCs w:val="23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2"/>
              </w:rPr>
              <w:t>管理水平</w:t>
            </w:r>
          </w:p>
        </w:tc>
        <w:tc>
          <w:tcPr>
            <w:tcW w:w="709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230"/>
              <w:spacing w:before="74" w:line="184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ind w:left="132"/>
              <w:spacing w:before="218" w:line="21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1"/>
              </w:rPr>
              <w:t>1、建立健全项目管理制度，得4分。</w:t>
            </w:r>
          </w:p>
          <w:p>
            <w:pPr>
              <w:ind w:left="132" w:right="56"/>
              <w:spacing w:before="175" w:line="286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8"/>
              </w:rPr>
              <w:t>2、严格执行项目管理制度，得6分。其中，购买商品、工程和</w:t>
            </w: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服务不依法政府采购或工程项目不按规定招投标的</w:t>
            </w:r>
            <w:r>
              <w:rPr>
                <w:rFonts w:ascii="SimSun" w:hAnsi="SimSun" w:eastAsia="SimSun" w:cs="SimSun"/>
                <w:sz w:val="23"/>
                <w:szCs w:val="23"/>
                <w:spacing w:val="6"/>
              </w:rPr>
              <w:t>，不得分。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3"/>
          <w:pgSz w:w="11910" w:h="16840"/>
          <w:pgMar w:top="1408" w:right="1524" w:bottom="1126" w:left="1415" w:header="0" w:footer="947" w:gutter="0"/>
        </w:sectPr>
        <w:rPr/>
      </w:pPr>
    </w:p>
    <w:p>
      <w:pPr>
        <w:spacing w:line="14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2"/>
        <w:tblW w:w="8980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324"/>
        <w:gridCol w:w="739"/>
        <w:gridCol w:w="6917"/>
      </w:tblGrid>
      <w:tr>
        <w:trPr>
          <w:trHeight w:val="695" w:hRule="atLeast"/>
        </w:trPr>
        <w:tc>
          <w:tcPr>
            <w:tcW w:w="1324" w:type="dxa"/>
            <w:vAlign w:val="top"/>
          </w:tcPr>
          <w:p>
            <w:pPr>
              <w:ind w:left="198"/>
              <w:spacing w:before="229" w:line="21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b/>
                <w:bCs/>
                <w:spacing w:val="-4"/>
              </w:rPr>
              <w:t>评价内容</w:t>
            </w:r>
          </w:p>
        </w:tc>
        <w:tc>
          <w:tcPr>
            <w:tcW w:w="739" w:type="dxa"/>
            <w:vAlign w:val="top"/>
          </w:tcPr>
          <w:p>
            <w:pPr>
              <w:ind w:left="84"/>
              <w:spacing w:before="231" w:line="21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b/>
                <w:bCs/>
                <w:spacing w:val="-6"/>
              </w:rPr>
              <w:t>分值</w:t>
            </w:r>
          </w:p>
        </w:tc>
        <w:tc>
          <w:tcPr>
            <w:tcW w:w="6917" w:type="dxa"/>
            <w:vAlign w:val="top"/>
          </w:tcPr>
          <w:p>
            <w:pPr>
              <w:ind w:left="2505"/>
              <w:spacing w:before="231" w:line="22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b/>
                <w:bCs/>
                <w:spacing w:val="-10"/>
              </w:rPr>
              <w:t>评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</w:rPr>
              <w:t xml:space="preserve">   </w:t>
            </w:r>
            <w:r>
              <w:rPr>
                <w:rFonts w:ascii="SimSun" w:hAnsi="SimSun" w:eastAsia="SimSun" w:cs="SimSun"/>
                <w:sz w:val="23"/>
                <w:szCs w:val="23"/>
                <w:b/>
                <w:bCs/>
                <w:spacing w:val="-10"/>
              </w:rPr>
              <w:t>分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</w:rPr>
              <w:t xml:space="preserve">   </w:t>
            </w:r>
            <w:r>
              <w:rPr>
                <w:rFonts w:ascii="SimSun" w:hAnsi="SimSun" w:eastAsia="SimSun" w:cs="SimSun"/>
                <w:sz w:val="23"/>
                <w:szCs w:val="23"/>
                <w:b/>
                <w:bCs/>
                <w:spacing w:val="-10"/>
              </w:rPr>
              <w:t>标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</w:rPr>
              <w:t xml:space="preserve">   </w:t>
            </w:r>
            <w:r>
              <w:rPr>
                <w:rFonts w:ascii="SimSun" w:hAnsi="SimSun" w:eastAsia="SimSun" w:cs="SimSun"/>
                <w:sz w:val="23"/>
                <w:szCs w:val="23"/>
                <w:b/>
                <w:bCs/>
                <w:spacing w:val="-10"/>
              </w:rPr>
              <w:t>准</w:t>
            </w:r>
          </w:p>
        </w:tc>
      </w:tr>
      <w:tr>
        <w:trPr>
          <w:trHeight w:val="4886" w:hRule="atLeast"/>
        </w:trPr>
        <w:tc>
          <w:tcPr>
            <w:tcW w:w="1324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ind w:left="194" w:right="171"/>
              <w:spacing w:before="75" w:line="264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6"/>
              </w:rPr>
              <w:t>资金支出</w:t>
            </w:r>
            <w:r>
              <w:rPr>
                <w:rFonts w:ascii="SimSun" w:hAnsi="SimSun" w:eastAsia="SimSun" w:cs="SimSun"/>
                <w:sz w:val="23"/>
                <w:szCs w:val="23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2"/>
              </w:rPr>
              <w:t>合理合规</w:t>
            </w:r>
          </w:p>
        </w:tc>
        <w:tc>
          <w:tcPr>
            <w:tcW w:w="739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ind w:left="311"/>
              <w:spacing w:before="75" w:line="184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ind w:left="132"/>
              <w:spacing w:before="289" w:line="481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2"/>
                <w:position w:val="19"/>
              </w:rPr>
              <w:t>资金支出合理合规比率=(项目资金支出-不合理合规资金支出)/</w:t>
            </w:r>
          </w:p>
          <w:p>
            <w:pPr>
              <w:ind w:left="132"/>
              <w:spacing w:line="22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9"/>
              </w:rPr>
              <w:t>项目资金支出×100%。</w:t>
            </w:r>
          </w:p>
          <w:p>
            <w:pPr>
              <w:ind w:left="132" w:right="65"/>
              <w:spacing w:before="162" w:line="368" w:lineRule="auto"/>
              <w:jc w:val="both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不合理合规资金支出是指项目资金支出超出项目预算范围，与本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项目预算不相符、无关或不符合国家财经法规和财务管理制度以</w:t>
            </w:r>
            <w:r>
              <w:rPr>
                <w:rFonts w:ascii="SimSun" w:hAnsi="SimSun" w:eastAsia="SimSun" w:cs="SimSun"/>
                <w:sz w:val="23"/>
                <w:szCs w:val="23"/>
                <w:spacing w:val="15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及专项资金管理办法等规定的支出，如以虚报、冒领等手段骗取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财政资金；截留、挪用财政资金；滞留应当下拨的财政资金；违</w:t>
            </w:r>
            <w:r>
              <w:rPr>
                <w:rFonts w:ascii="SimSun" w:hAnsi="SimSun" w:eastAsia="SimSun" w:cs="SimSun"/>
                <w:sz w:val="23"/>
                <w:szCs w:val="23"/>
                <w:spacing w:val="12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9"/>
              </w:rPr>
              <w:t>反规定扩大开支范围，提高开支标准；违规发放津贴补贴；白条</w:t>
            </w:r>
          </w:p>
          <w:p>
            <w:pPr>
              <w:ind w:left="132"/>
              <w:spacing w:line="21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8"/>
              </w:rPr>
              <w:t>入账等。</w:t>
            </w:r>
          </w:p>
          <w:p>
            <w:pPr>
              <w:ind w:left="132"/>
              <w:spacing w:before="203" w:line="453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7"/>
                <w:position w:val="17"/>
              </w:rPr>
              <w:t>资金支出合理合规比率S=100%,得满分；每下降1%,扣1分，</w:t>
            </w:r>
          </w:p>
          <w:p>
            <w:pPr>
              <w:ind w:left="132"/>
              <w:spacing w:line="21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2"/>
              </w:rPr>
              <w:t>扣完为止。</w:t>
            </w:r>
          </w:p>
        </w:tc>
      </w:tr>
      <w:tr>
        <w:trPr>
          <w:trHeight w:val="2538" w:hRule="atLeast"/>
        </w:trPr>
        <w:tc>
          <w:tcPr>
            <w:tcW w:w="1324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ind w:left="424"/>
              <w:spacing w:before="75" w:line="349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7"/>
                <w:position w:val="8"/>
              </w:rPr>
              <w:t>项</w:t>
            </w:r>
            <w:r>
              <w:rPr>
                <w:rFonts w:ascii="SimSun" w:hAnsi="SimSun" w:eastAsia="SimSun" w:cs="SimSun"/>
                <w:sz w:val="23"/>
                <w:szCs w:val="23"/>
                <w:spacing w:val="-6"/>
                <w:position w:val="8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7"/>
                <w:position w:val="8"/>
              </w:rPr>
              <w:t>目</w:t>
            </w:r>
          </w:p>
          <w:p>
            <w:pPr>
              <w:ind w:left="424"/>
              <w:spacing w:line="21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3"/>
              </w:rPr>
              <w:t>产出</w:t>
            </w:r>
          </w:p>
        </w:tc>
        <w:tc>
          <w:tcPr>
            <w:tcW w:w="739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ind w:left="311"/>
              <w:spacing w:before="74" w:line="18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4"/>
              </w:rPr>
              <w:t>30</w:t>
            </w:r>
          </w:p>
        </w:tc>
        <w:tc>
          <w:tcPr>
            <w:tcW w:w="6917" w:type="dxa"/>
            <w:vAlign w:val="top"/>
          </w:tcPr>
          <w:p>
            <w:pPr>
              <w:ind w:left="112" w:right="84" w:firstLine="20"/>
              <w:spacing w:before="269" w:line="372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0"/>
              </w:rPr>
              <w:t>要求根据项目性质和项目预期绩效目标(产出类目标)</w:t>
            </w:r>
            <w:r>
              <w:rPr>
                <w:rFonts w:ascii="SimSun" w:hAnsi="SimSun" w:eastAsia="SimSun" w:cs="SimSun"/>
                <w:sz w:val="23"/>
                <w:szCs w:val="23"/>
                <w:spacing w:val="19"/>
              </w:rPr>
              <w:t>,细化为</w:t>
            </w:r>
            <w:r>
              <w:rPr>
                <w:rFonts w:ascii="SimSun" w:hAnsi="SimSun" w:eastAsia="SimSun" w:cs="SimSun"/>
                <w:sz w:val="23"/>
                <w:szCs w:val="23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9"/>
              </w:rPr>
              <w:t>产出数量、产出质量、产出时效、成本控制等方面进行评价。具</w:t>
            </w:r>
            <w:r>
              <w:rPr>
                <w:rFonts w:ascii="SimSun" w:hAnsi="SimSun" w:eastAsia="SimSun" w:cs="SimSun"/>
                <w:sz w:val="23"/>
                <w:szCs w:val="23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9"/>
              </w:rPr>
              <w:t>体指标可量化的，按完成量化比例计分；具体指标不可量化的，</w:t>
            </w:r>
            <w:r>
              <w:rPr>
                <w:rFonts w:ascii="SimSun" w:hAnsi="SimSun" w:eastAsia="SimSun" w:cs="SimSun"/>
                <w:sz w:val="23"/>
                <w:szCs w:val="23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9"/>
              </w:rPr>
              <w:t>按工作完成程度定性分成：完成、基本完成、基本未完成、未执</w:t>
            </w:r>
          </w:p>
          <w:p>
            <w:pPr>
              <w:ind w:left="132"/>
              <w:spacing w:line="21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7"/>
              </w:rPr>
              <w:t>行四档，分别按100%、90%-60%、50%-</w:t>
            </w:r>
            <w:r>
              <w:rPr>
                <w:rFonts w:ascii="SimSun" w:hAnsi="SimSun" w:eastAsia="SimSun" w:cs="SimSun"/>
                <w:sz w:val="23"/>
                <w:szCs w:val="23"/>
                <w:spacing w:val="-59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27"/>
              </w:rPr>
              <w:t>10%、0</w:t>
            </w:r>
            <w:r>
              <w:rPr>
                <w:rFonts w:ascii="SimSun" w:hAnsi="SimSun" w:eastAsia="SimSun" w:cs="SimSun"/>
                <w:sz w:val="23"/>
                <w:szCs w:val="23"/>
                <w:spacing w:val="26"/>
              </w:rPr>
              <w:t>%计分。</w:t>
            </w:r>
          </w:p>
        </w:tc>
      </w:tr>
      <w:tr>
        <w:trPr>
          <w:trHeight w:val="2918" w:hRule="atLeast"/>
        </w:trPr>
        <w:tc>
          <w:tcPr>
            <w:tcW w:w="1324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ind w:left="304" w:right="188" w:hanging="110"/>
              <w:spacing w:before="75" w:line="246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</w:rPr>
              <w:t>项目效益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12"/>
              </w:rPr>
              <w:t>(效果)</w:t>
            </w:r>
          </w:p>
        </w:tc>
        <w:tc>
          <w:tcPr>
            <w:tcW w:w="739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ind w:left="311"/>
              <w:spacing w:before="74" w:line="18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3"/>
              </w:rPr>
              <w:t>20</w:t>
            </w:r>
          </w:p>
        </w:tc>
        <w:tc>
          <w:tcPr>
            <w:tcW w:w="6917" w:type="dxa"/>
            <w:vAlign w:val="top"/>
          </w:tcPr>
          <w:p>
            <w:pPr>
              <w:ind w:left="132" w:right="69"/>
              <w:spacing w:before="228" w:line="372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8"/>
              </w:rPr>
              <w:t>要求根据项目性质和项目预期绩效目标(效益</w:t>
            </w:r>
            <w:r>
              <w:rPr>
                <w:rFonts w:ascii="SimSun" w:hAnsi="SimSun" w:eastAsia="SimSun" w:cs="SimSun"/>
                <w:sz w:val="23"/>
                <w:szCs w:val="23"/>
                <w:spacing w:val="17"/>
              </w:rPr>
              <w:t>或效果类目标),</w:t>
            </w:r>
            <w:r>
              <w:rPr>
                <w:rFonts w:ascii="SimSun" w:hAnsi="SimSun" w:eastAsia="SimSun" w:cs="SimSun"/>
                <w:sz w:val="23"/>
                <w:szCs w:val="23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细化为经济效益、社会效益、环境效益和可持续影响及服务对象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满意度等具体绩效指标进行评价。具体指标可量化的，按取得效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益或效果的量化比例计分；不可量化的，按目标达到程度分</w:t>
            </w:r>
            <w:r>
              <w:rPr>
                <w:rFonts w:ascii="SimSun" w:hAnsi="SimSun" w:eastAsia="SimSun" w:cs="SimSun"/>
                <w:sz w:val="23"/>
                <w:szCs w:val="23"/>
                <w:spacing w:val="6"/>
              </w:rPr>
              <w:t>成：</w:t>
            </w:r>
            <w:r>
              <w:rPr>
                <w:rFonts w:ascii="SimSun" w:hAnsi="SimSun" w:eastAsia="SimSun" w:cs="SimSun"/>
                <w:sz w:val="23"/>
                <w:szCs w:val="23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12"/>
              </w:rPr>
              <w:t>达到、基本达到、基本未达到、未达到四档，分别按100%、90%</w:t>
            </w:r>
          </w:p>
          <w:p>
            <w:pPr>
              <w:ind w:left="132"/>
              <w:spacing w:line="22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7"/>
              </w:rPr>
              <w:t>-60%、50%-</w:t>
            </w:r>
            <w:r>
              <w:rPr>
                <w:rFonts w:ascii="SimSun" w:hAnsi="SimSun" w:eastAsia="SimSun" w:cs="SimSun"/>
                <w:sz w:val="23"/>
                <w:szCs w:val="23"/>
                <w:spacing w:val="-53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27"/>
              </w:rPr>
              <w:t>10%、0%计分。</w:t>
            </w:r>
          </w:p>
        </w:tc>
      </w:tr>
      <w:tr>
        <w:trPr>
          <w:trHeight w:val="2393" w:hRule="atLeast"/>
        </w:trPr>
        <w:tc>
          <w:tcPr>
            <w:tcW w:w="1324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ind w:left="304" w:right="208" w:hanging="110"/>
              <w:spacing w:before="75" w:line="242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3"/>
              </w:rPr>
              <w:t>服务对象</w:t>
            </w:r>
            <w:r>
              <w:rPr>
                <w:rFonts w:ascii="SimSun" w:hAnsi="SimSun" w:eastAsia="SimSun" w:cs="SimSun"/>
                <w:sz w:val="23"/>
                <w:szCs w:val="23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满意度</w:t>
            </w:r>
          </w:p>
        </w:tc>
        <w:tc>
          <w:tcPr>
            <w:tcW w:w="739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ind w:left="311"/>
              <w:spacing w:before="75" w:line="184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ind w:left="132"/>
              <w:spacing w:before="247" w:line="21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1"/>
              </w:rPr>
              <w:t>服务对象满意度计分：</w:t>
            </w:r>
          </w:p>
          <w:p>
            <w:pPr>
              <w:ind w:left="132"/>
              <w:spacing w:before="36" w:line="37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9"/>
                <w:position w:val="10"/>
              </w:rPr>
              <w:t>90%≤满意度≤100%记10分，</w:t>
            </w:r>
          </w:p>
          <w:p>
            <w:pPr>
              <w:ind w:left="132"/>
              <w:spacing w:line="21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0"/>
              </w:rPr>
              <w:t>80%≤满意度&lt;90%记8分，</w:t>
            </w:r>
          </w:p>
          <w:p>
            <w:pPr>
              <w:ind w:left="132"/>
              <w:spacing w:before="37" w:line="21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7"/>
              </w:rPr>
              <w:t>70%≤满意度&lt;80%</w:t>
            </w:r>
            <w:r>
              <w:rPr>
                <w:rFonts w:ascii="SimSun" w:hAnsi="SimSun" w:eastAsia="SimSun" w:cs="SimSun"/>
                <w:sz w:val="23"/>
                <w:szCs w:val="23"/>
                <w:spacing w:val="49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17"/>
              </w:rPr>
              <w:t>记6分，</w:t>
            </w:r>
          </w:p>
          <w:p>
            <w:pPr>
              <w:ind w:left="132"/>
              <w:spacing w:before="96" w:line="35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0"/>
                <w:position w:val="8"/>
              </w:rPr>
              <w:t>60%≤满意度&lt;70%记4分，</w:t>
            </w:r>
          </w:p>
          <w:p>
            <w:pPr>
              <w:ind w:left="132"/>
              <w:spacing w:before="1" w:line="21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8"/>
              </w:rPr>
              <w:t>满意度&lt;60%记0分。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4"/>
          <w:pgSz w:w="11910" w:h="16840"/>
          <w:pgMar w:top="1431" w:right="1514" w:bottom="1126" w:left="1405" w:header="0" w:footer="947" w:gutter="0"/>
        </w:sectPr>
        <w:rPr/>
      </w:pPr>
    </w:p>
    <w:p>
      <w:pPr>
        <w:ind w:left="4"/>
        <w:spacing w:before="224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b/>
          <w:bCs/>
          <w:spacing w:val="21"/>
        </w:rPr>
        <w:t>附件2-3</w:t>
      </w:r>
    </w:p>
    <w:p>
      <w:pPr>
        <w:ind w:left="1834"/>
        <w:spacing w:before="156" w:line="221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b/>
          <w:bCs/>
          <w:spacing w:val="-5"/>
        </w:rPr>
        <w:t>2022年度新晃县项目支出绩效自评报告</w:t>
      </w:r>
    </w:p>
    <w:p>
      <w:pPr>
        <w:ind w:left="3710"/>
        <w:spacing w:before="244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6"/>
        </w:rPr>
        <w:t>(参考格式)</w:t>
      </w:r>
    </w:p>
    <w:p>
      <w:pPr>
        <w:spacing w:line="254" w:lineRule="auto"/>
        <w:rPr>
          <w:rFonts w:ascii="Arial"/>
          <w:sz w:val="21"/>
        </w:rPr>
      </w:pPr>
      <w:r/>
    </w:p>
    <w:p>
      <w:pPr>
        <w:ind w:left="630"/>
        <w:spacing w:before="101" w:line="219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8"/>
        </w:rPr>
        <w:t>一、基本情况</w:t>
      </w:r>
    </w:p>
    <w:p>
      <w:pPr>
        <w:ind w:left="760"/>
        <w:spacing w:before="181" w:line="56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1"/>
          <w:position w:val="18"/>
        </w:rPr>
        <w:t>(一)项目概况。包括项目背景、主要内容及实施情况、资</w:t>
      </w:r>
    </w:p>
    <w:p>
      <w:pPr>
        <w:spacing w:before="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</w:rPr>
        <w:t>金投入和使用情况等。</w:t>
      </w:r>
    </w:p>
    <w:p>
      <w:pPr>
        <w:ind w:left="760"/>
        <w:spacing w:before="183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(二)项目绩效目标。包括总体目标和阶段性目标。</w:t>
      </w:r>
    </w:p>
    <w:p>
      <w:pPr>
        <w:ind w:left="630"/>
        <w:spacing w:before="184" w:line="218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1"/>
        </w:rPr>
        <w:t>二、</w:t>
      </w:r>
      <w:r>
        <w:rPr>
          <w:rFonts w:ascii="SimSun" w:hAnsi="SimSun" w:eastAsia="SimSun" w:cs="SimSun"/>
          <w:sz w:val="31"/>
          <w:szCs w:val="31"/>
          <w:spacing w:val="-55"/>
        </w:rPr>
        <w:t xml:space="preserve"> </w:t>
      </w:r>
      <w:r>
        <w:rPr>
          <w:rFonts w:ascii="SimSun" w:hAnsi="SimSun" w:eastAsia="SimSun" w:cs="SimSun"/>
          <w:sz w:val="31"/>
          <w:szCs w:val="31"/>
          <w:spacing w:val="1"/>
        </w:rPr>
        <w:t>绩效评价工作开展情况</w:t>
      </w:r>
    </w:p>
    <w:p>
      <w:pPr>
        <w:ind w:left="760"/>
        <w:spacing w:before="225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(一)绩效评价目的、对象和范围。</w:t>
      </w:r>
    </w:p>
    <w:p>
      <w:pPr>
        <w:ind w:left="760"/>
        <w:spacing w:before="177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2"/>
        </w:rPr>
        <w:t>(二)绩效评价原则、评价指标体系(附表说明)、评价方</w:t>
      </w:r>
    </w:p>
    <w:p>
      <w:pPr>
        <w:spacing w:before="177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法、评价标准等。</w:t>
      </w:r>
    </w:p>
    <w:p>
      <w:pPr>
        <w:ind w:left="760"/>
        <w:spacing w:before="173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(三)绩效评价工作过程。</w:t>
      </w:r>
    </w:p>
    <w:p>
      <w:pPr>
        <w:ind w:left="630"/>
        <w:spacing w:before="204" w:line="218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14"/>
        </w:rPr>
        <w:t>三、</w:t>
      </w:r>
      <w:r>
        <w:rPr>
          <w:rFonts w:ascii="SimSun" w:hAnsi="SimSun" w:eastAsia="SimSun" w:cs="SimSun"/>
          <w:sz w:val="31"/>
          <w:szCs w:val="31"/>
          <w:spacing w:val="-53"/>
        </w:rPr>
        <w:t xml:space="preserve"> </w:t>
      </w:r>
      <w:r>
        <w:rPr>
          <w:rFonts w:ascii="SimSun" w:hAnsi="SimSun" w:eastAsia="SimSun" w:cs="SimSun"/>
          <w:sz w:val="31"/>
          <w:szCs w:val="31"/>
          <w:spacing w:val="14"/>
        </w:rPr>
        <w:t>综合评价情况及评价结论(附相关评分表)</w:t>
      </w:r>
    </w:p>
    <w:p>
      <w:pPr>
        <w:ind w:left="760" w:right="4999" w:hanging="130"/>
        <w:spacing w:before="184" w:line="28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-1"/>
        </w:rPr>
        <w:t>四、</w:t>
      </w:r>
      <w:r>
        <w:rPr>
          <w:rFonts w:ascii="SimSun" w:hAnsi="SimSun" w:eastAsia="SimSun" w:cs="SimSun"/>
          <w:sz w:val="31"/>
          <w:szCs w:val="31"/>
          <w:spacing w:val="-73"/>
        </w:rPr>
        <w:t xml:space="preserve"> </w:t>
      </w:r>
      <w:r>
        <w:rPr>
          <w:rFonts w:ascii="SimSun" w:hAnsi="SimSun" w:eastAsia="SimSun" w:cs="SimSun"/>
          <w:sz w:val="31"/>
          <w:szCs w:val="31"/>
          <w:spacing w:val="-1"/>
        </w:rPr>
        <w:t>绩效评价指标分析</w:t>
      </w:r>
      <w:r>
        <w:rPr>
          <w:rFonts w:ascii="SimSun" w:hAnsi="SimSun" w:eastAsia="SimSun" w:cs="SimSu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0"/>
        </w:rPr>
        <w:t>(一)项目决策情况。</w:t>
      </w:r>
    </w:p>
    <w:p>
      <w:pPr>
        <w:ind w:left="760"/>
        <w:spacing w:before="187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0"/>
        </w:rPr>
        <w:t>(二)项目过程情况。</w:t>
      </w:r>
    </w:p>
    <w:p>
      <w:pPr>
        <w:ind w:left="760"/>
        <w:spacing w:before="187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0"/>
        </w:rPr>
        <w:t>(三)项目产出情况。</w:t>
      </w:r>
    </w:p>
    <w:p>
      <w:pPr>
        <w:ind w:left="760"/>
        <w:spacing w:before="188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0"/>
        </w:rPr>
        <w:t>(四)项目效益情况。</w:t>
      </w:r>
    </w:p>
    <w:p>
      <w:pPr>
        <w:ind w:left="630"/>
        <w:spacing w:before="199" w:line="219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3"/>
        </w:rPr>
        <w:t>五、</w:t>
      </w:r>
      <w:r>
        <w:rPr>
          <w:rFonts w:ascii="SimSun" w:hAnsi="SimSun" w:eastAsia="SimSun" w:cs="SimSun"/>
          <w:sz w:val="31"/>
          <w:szCs w:val="31"/>
          <w:spacing w:val="-53"/>
        </w:rPr>
        <w:t xml:space="preserve"> </w:t>
      </w:r>
      <w:r>
        <w:rPr>
          <w:rFonts w:ascii="SimSun" w:hAnsi="SimSun" w:eastAsia="SimSun" w:cs="SimSun"/>
          <w:sz w:val="31"/>
          <w:szCs w:val="31"/>
          <w:spacing w:val="3"/>
        </w:rPr>
        <w:t>主要经验及做法、存在的问题及原因分析</w:t>
      </w:r>
    </w:p>
    <w:p>
      <w:pPr>
        <w:ind w:left="630"/>
        <w:spacing w:before="183" w:line="220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-9"/>
        </w:rPr>
        <w:t>六、</w:t>
      </w:r>
      <w:r>
        <w:rPr>
          <w:rFonts w:ascii="SimSun" w:hAnsi="SimSun" w:eastAsia="SimSun" w:cs="SimSun"/>
          <w:sz w:val="31"/>
          <w:szCs w:val="31"/>
          <w:spacing w:val="-48"/>
        </w:rPr>
        <w:t xml:space="preserve"> </w:t>
      </w:r>
      <w:r>
        <w:rPr>
          <w:rFonts w:ascii="SimSun" w:hAnsi="SimSun" w:eastAsia="SimSun" w:cs="SimSun"/>
          <w:sz w:val="31"/>
          <w:szCs w:val="31"/>
          <w:spacing w:val="-9"/>
        </w:rPr>
        <w:t>有关建议</w:t>
      </w:r>
    </w:p>
    <w:p>
      <w:pPr>
        <w:ind w:left="630"/>
        <w:spacing w:before="180" w:line="219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8"/>
        </w:rPr>
        <w:t>七、其他需要说明的问题</w:t>
      </w:r>
    </w:p>
    <w:p>
      <w:pPr>
        <w:spacing w:line="311" w:lineRule="auto"/>
        <w:rPr>
          <w:rFonts w:ascii="Arial"/>
          <w:sz w:val="21"/>
        </w:rPr>
      </w:pPr>
      <w:r/>
    </w:p>
    <w:p>
      <w:pPr>
        <w:spacing w:line="311" w:lineRule="auto"/>
        <w:rPr>
          <w:rFonts w:ascii="Arial"/>
          <w:sz w:val="21"/>
        </w:rPr>
      </w:pPr>
      <w:r/>
    </w:p>
    <w:p>
      <w:pPr>
        <w:ind w:left="6010"/>
        <w:spacing w:before="101" w:line="633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9"/>
          <w:position w:val="24"/>
        </w:rPr>
        <w:t>项目单位(签)</w:t>
      </w:r>
    </w:p>
    <w:p>
      <w:pPr>
        <w:ind w:left="6080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1"/>
        </w:rPr>
        <w:t>年</w:t>
      </w:r>
      <w:r>
        <w:rPr>
          <w:rFonts w:ascii="FangSong" w:hAnsi="FangSong" w:eastAsia="FangSong" w:cs="FangSong"/>
          <w:sz w:val="31"/>
          <w:szCs w:val="31"/>
          <w:spacing w:val="17"/>
        </w:rPr>
        <w:t xml:space="preserve">   </w:t>
      </w:r>
      <w:r>
        <w:rPr>
          <w:rFonts w:ascii="FangSong" w:hAnsi="FangSong" w:eastAsia="FangSong" w:cs="FangSong"/>
          <w:sz w:val="31"/>
          <w:szCs w:val="31"/>
          <w:spacing w:val="-21"/>
        </w:rPr>
        <w:t>月</w:t>
      </w:r>
      <w:r>
        <w:rPr>
          <w:rFonts w:ascii="FangSong" w:hAnsi="FangSong" w:eastAsia="FangSong" w:cs="FangSong"/>
          <w:sz w:val="31"/>
          <w:szCs w:val="31"/>
          <w:spacing w:val="26"/>
        </w:rPr>
        <w:t xml:space="preserve">   </w:t>
      </w:r>
      <w:r>
        <w:rPr>
          <w:rFonts w:ascii="FangSong" w:hAnsi="FangSong" w:eastAsia="FangSong" w:cs="FangSong"/>
          <w:sz w:val="31"/>
          <w:szCs w:val="31"/>
          <w:spacing w:val="-21"/>
        </w:rPr>
        <w:t>日</w:t>
      </w:r>
    </w:p>
    <w:p>
      <w:pPr>
        <w:sectPr>
          <w:footerReference w:type="default" r:id="rId15"/>
          <w:pgSz w:w="11910" w:h="16840"/>
          <w:pgMar w:top="1431" w:right="1567" w:bottom="1126" w:left="1539" w:header="0" w:footer="947" w:gutter="0"/>
        </w:sectPr>
        <w:rPr/>
      </w:pPr>
    </w:p>
    <w:p>
      <w:pPr>
        <w:ind w:left="339"/>
        <w:spacing w:before="145" w:line="222" w:lineRule="auto"/>
        <w:rPr>
          <w:rFonts w:ascii="FangSong" w:hAnsi="FangSong" w:eastAsia="FangSong" w:cs="FangSong"/>
          <w:sz w:val="34"/>
          <w:szCs w:val="34"/>
        </w:rPr>
      </w:pPr>
      <w:r>
        <w:rPr>
          <w:rFonts w:ascii="FangSong" w:hAnsi="FangSong" w:eastAsia="FangSong" w:cs="FangSong"/>
          <w:sz w:val="34"/>
          <w:szCs w:val="34"/>
          <w:b/>
          <w:bCs/>
          <w:spacing w:val="5"/>
        </w:rPr>
        <w:t>附件3-1</w:t>
      </w:r>
    </w:p>
    <w:p>
      <w:pPr>
        <w:ind w:left="1999"/>
        <w:spacing w:before="190" w:line="221" w:lineRule="auto"/>
        <w:rPr>
          <w:rFonts w:ascii="SimHei" w:hAnsi="SimHei" w:eastAsia="SimHei" w:cs="SimHei"/>
          <w:sz w:val="34"/>
          <w:szCs w:val="34"/>
        </w:rPr>
      </w:pPr>
      <w:r>
        <w:rPr>
          <w:rFonts w:ascii="SimHei" w:hAnsi="SimHei" w:eastAsia="SimHei" w:cs="SimHei"/>
          <w:sz w:val="34"/>
          <w:szCs w:val="34"/>
          <w:b/>
          <w:bCs/>
          <w:spacing w:val="18"/>
        </w:rPr>
        <w:t>2022年度绩效自评完成情况汇总表</w:t>
      </w:r>
    </w:p>
    <w:p>
      <w:pPr>
        <w:ind w:left="354"/>
        <w:spacing w:before="247" w:line="22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6"/>
        </w:rPr>
        <w:t>主管部门(盖章):</w:t>
      </w:r>
      <w:r>
        <w:rPr>
          <w:rFonts w:ascii="SimSun" w:hAnsi="SimSun" w:eastAsia="SimSun" w:cs="SimSun"/>
          <w:sz w:val="24"/>
          <w:szCs w:val="24"/>
          <w:spacing w:val="6"/>
        </w:rPr>
        <w:t xml:space="preserve">                 </w:t>
      </w:r>
      <w:r>
        <w:rPr>
          <w:rFonts w:ascii="SimSun" w:hAnsi="SimSun" w:eastAsia="SimSun" w:cs="SimSun"/>
          <w:sz w:val="24"/>
          <w:szCs w:val="24"/>
          <w:spacing w:val="6"/>
        </w:rPr>
        <w:t>填</w:t>
      </w:r>
      <w:r>
        <w:rPr>
          <w:rFonts w:ascii="SimSun" w:hAnsi="SimSun" w:eastAsia="SimSun" w:cs="SimSun"/>
          <w:sz w:val="24"/>
          <w:szCs w:val="24"/>
          <w:spacing w:val="-4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6"/>
        </w:rPr>
        <w:t>报</w:t>
      </w:r>
      <w:r>
        <w:rPr>
          <w:rFonts w:ascii="SimSun" w:hAnsi="SimSun" w:eastAsia="SimSun" w:cs="SimSun"/>
          <w:sz w:val="24"/>
          <w:szCs w:val="24"/>
          <w:spacing w:val="-4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6"/>
        </w:rPr>
        <w:t>人</w:t>
      </w:r>
      <w:r>
        <w:rPr>
          <w:rFonts w:ascii="SimSun" w:hAnsi="SimSun" w:eastAsia="SimSun" w:cs="SimSun"/>
          <w:sz w:val="24"/>
          <w:szCs w:val="24"/>
          <w:spacing w:val="-2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6"/>
        </w:rPr>
        <w:t>：</w:t>
      </w:r>
      <w:r>
        <w:rPr>
          <w:rFonts w:ascii="SimSun" w:hAnsi="SimSun" w:eastAsia="SimSun" w:cs="SimSun"/>
          <w:sz w:val="24"/>
          <w:szCs w:val="24"/>
          <w:spacing w:val="1"/>
        </w:rPr>
        <w:t xml:space="preserve">           </w:t>
      </w:r>
      <w:r>
        <w:rPr>
          <w:rFonts w:ascii="SimSun" w:hAnsi="SimSun" w:eastAsia="SimSun" w:cs="SimSun"/>
          <w:sz w:val="24"/>
          <w:szCs w:val="24"/>
          <w:spacing w:val="6"/>
        </w:rPr>
        <w:t>联系电话：</w:t>
      </w:r>
    </w:p>
    <w:p>
      <w:pPr>
        <w:spacing w:line="28" w:lineRule="exact"/>
        <w:rPr/>
      </w:pPr>
      <w:r/>
    </w:p>
    <w:tbl>
      <w:tblPr>
        <w:tblStyle w:val="2"/>
        <w:tblW w:w="9480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694"/>
        <w:gridCol w:w="1778"/>
        <w:gridCol w:w="2298"/>
        <w:gridCol w:w="779"/>
        <w:gridCol w:w="1009"/>
        <w:gridCol w:w="959"/>
        <w:gridCol w:w="619"/>
        <w:gridCol w:w="630"/>
        <w:gridCol w:w="714"/>
      </w:tblGrid>
      <w:tr>
        <w:trPr>
          <w:trHeight w:val="385" w:hRule="atLeast"/>
        </w:trPr>
        <w:tc>
          <w:tcPr>
            <w:tcW w:w="694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ind w:left="94"/>
              <w:spacing w:before="78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7"/>
              </w:rPr>
              <w:t>序号</w:t>
            </w:r>
          </w:p>
        </w:tc>
        <w:tc>
          <w:tcPr>
            <w:tcW w:w="1778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ind w:left="400"/>
              <w:spacing w:before="78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2"/>
              </w:rPr>
              <w:t>项目单位</w:t>
            </w:r>
          </w:p>
        </w:tc>
        <w:tc>
          <w:tcPr>
            <w:tcW w:w="2298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ind w:left="662"/>
              <w:spacing w:before="78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3"/>
              </w:rPr>
              <w:t>项目名称</w:t>
            </w:r>
          </w:p>
        </w:tc>
        <w:tc>
          <w:tcPr>
            <w:tcW w:w="2747" w:type="dxa"/>
            <w:vAlign w:val="top"/>
            <w:gridSpan w:val="3"/>
          </w:tcPr>
          <w:p>
            <w:pPr>
              <w:ind w:left="645"/>
              <w:spacing w:before="75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1"/>
              </w:rPr>
              <w:t>项目资金情况</w:t>
            </w:r>
          </w:p>
        </w:tc>
        <w:tc>
          <w:tcPr>
            <w:tcW w:w="619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ind w:left="77" w:right="40"/>
              <w:spacing w:before="78" w:line="25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4"/>
              </w:rPr>
              <w:t>自评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5"/>
              </w:rPr>
              <w:t>分数</w:t>
            </w:r>
          </w:p>
        </w:tc>
        <w:tc>
          <w:tcPr>
            <w:tcW w:w="630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ind w:left="68" w:right="56"/>
              <w:spacing w:before="78" w:line="25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4"/>
              </w:rPr>
              <w:t>自评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7"/>
              </w:rPr>
              <w:t>等级</w:t>
            </w:r>
          </w:p>
        </w:tc>
        <w:tc>
          <w:tcPr>
            <w:tcW w:w="714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ind w:left="108"/>
              <w:spacing w:before="78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6"/>
              </w:rPr>
              <w:t>备注</w:t>
            </w:r>
          </w:p>
        </w:tc>
      </w:tr>
      <w:tr>
        <w:trPr>
          <w:trHeight w:val="749" w:hRule="atLeast"/>
        </w:trPr>
        <w:tc>
          <w:tcPr>
            <w:tcW w:w="69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78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98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79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spacing w:line="369" w:lineRule="auto"/>
              <w:rPr>
                <w:rFonts w:ascii="Arial"/>
                <w:sz w:val="21"/>
              </w:rPr>
            </w:pPr>
            <w:r/>
          </w:p>
          <w:p>
            <w:pPr>
              <w:ind w:left="24"/>
              <w:spacing w:before="78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6"/>
              </w:rPr>
              <w:t>预算总</w:t>
            </w:r>
          </w:p>
          <w:p>
            <w:pPr>
              <w:ind w:left="144"/>
              <w:spacing w:before="55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4"/>
              </w:rPr>
              <w:t>金额</w:t>
            </w:r>
          </w:p>
        </w:tc>
        <w:tc>
          <w:tcPr>
            <w:tcW w:w="1968" w:type="dxa"/>
            <w:vAlign w:val="top"/>
            <w:gridSpan w:val="2"/>
          </w:tcPr>
          <w:p>
            <w:pPr>
              <w:ind w:left="5"/>
              <w:spacing w:before="60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5"/>
              </w:rPr>
              <w:t>其</w:t>
            </w:r>
            <w:r>
              <w:rPr>
                <w:rFonts w:ascii="SimSun" w:hAnsi="SimSun" w:eastAsia="SimSun" w:cs="SimSun"/>
                <w:sz w:val="24"/>
                <w:szCs w:val="24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5"/>
              </w:rPr>
              <w:t>中</w:t>
            </w:r>
            <w:r>
              <w:rPr>
                <w:rFonts w:ascii="SimSun" w:hAnsi="SimSun" w:eastAsia="SimSun" w:cs="SimSun"/>
                <w:sz w:val="24"/>
                <w:szCs w:val="24"/>
                <w:spacing w:val="-27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5"/>
              </w:rPr>
              <w:t>：</w:t>
            </w:r>
          </w:p>
          <w:p>
            <w:pPr>
              <w:ind w:left="505"/>
              <w:spacing w:before="94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1"/>
              </w:rPr>
              <w:t>县级财政资金</w:t>
            </w:r>
          </w:p>
        </w:tc>
        <w:tc>
          <w:tcPr>
            <w:tcW w:w="619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30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1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49" w:hRule="atLeast"/>
        </w:trPr>
        <w:tc>
          <w:tcPr>
            <w:tcW w:w="694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78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98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79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09" w:type="dxa"/>
            <w:vAlign w:val="top"/>
          </w:tcPr>
          <w:p>
            <w:pPr>
              <w:ind w:left="255"/>
              <w:spacing w:before="60" w:line="372" w:lineRule="exact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5"/>
                <w:position w:val="9"/>
              </w:rPr>
              <w:t>预算</w:t>
            </w:r>
          </w:p>
          <w:p>
            <w:pPr>
              <w:ind w:left="255"/>
              <w:spacing w:before="1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4"/>
              </w:rPr>
              <w:t>安排</w:t>
            </w:r>
          </w:p>
        </w:tc>
        <w:tc>
          <w:tcPr>
            <w:tcW w:w="959" w:type="dxa"/>
            <w:vAlign w:val="top"/>
          </w:tcPr>
          <w:p>
            <w:pPr>
              <w:ind w:left="236"/>
              <w:spacing w:before="71" w:line="360" w:lineRule="exact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5"/>
                <w:position w:val="8"/>
              </w:rPr>
              <w:t>实际</w:t>
            </w:r>
          </w:p>
          <w:p>
            <w:pPr>
              <w:ind w:left="236"/>
              <w:spacing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14"/>
              </w:rPr>
              <w:t>支出</w:t>
            </w:r>
          </w:p>
        </w:tc>
        <w:tc>
          <w:tcPr>
            <w:tcW w:w="619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30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14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90" w:hRule="atLeast"/>
        </w:trPr>
        <w:tc>
          <w:tcPr>
            <w:tcW w:w="9480" w:type="dxa"/>
            <w:vAlign w:val="top"/>
            <w:gridSpan w:val="9"/>
          </w:tcPr>
          <w:p>
            <w:pPr>
              <w:ind w:left="24"/>
              <w:spacing w:before="82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一、项目绩效自评</w:t>
            </w:r>
          </w:p>
        </w:tc>
      </w:tr>
      <w:tr>
        <w:trPr>
          <w:trHeight w:val="580" w:hRule="atLeast"/>
        </w:trPr>
        <w:tc>
          <w:tcPr>
            <w:tcW w:w="69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9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3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99" w:hRule="atLeast"/>
        </w:trPr>
        <w:tc>
          <w:tcPr>
            <w:tcW w:w="69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9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3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99" w:hRule="atLeast"/>
        </w:trPr>
        <w:tc>
          <w:tcPr>
            <w:tcW w:w="69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9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3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10" w:hRule="atLeast"/>
        </w:trPr>
        <w:tc>
          <w:tcPr>
            <w:tcW w:w="69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9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3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89" w:hRule="atLeast"/>
        </w:trPr>
        <w:tc>
          <w:tcPr>
            <w:tcW w:w="69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9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3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89" w:hRule="atLeast"/>
        </w:trPr>
        <w:tc>
          <w:tcPr>
            <w:tcW w:w="69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9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3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89" w:hRule="atLeast"/>
        </w:trPr>
        <w:tc>
          <w:tcPr>
            <w:tcW w:w="69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9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3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99" w:hRule="atLeast"/>
        </w:trPr>
        <w:tc>
          <w:tcPr>
            <w:tcW w:w="69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9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3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89" w:hRule="atLeast"/>
        </w:trPr>
        <w:tc>
          <w:tcPr>
            <w:tcW w:w="69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9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3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10" w:hRule="atLeast"/>
        </w:trPr>
        <w:tc>
          <w:tcPr>
            <w:tcW w:w="69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9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3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99" w:hRule="atLeast"/>
        </w:trPr>
        <w:tc>
          <w:tcPr>
            <w:tcW w:w="69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9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3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90" w:hRule="atLeast"/>
        </w:trPr>
        <w:tc>
          <w:tcPr>
            <w:tcW w:w="69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9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5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3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1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174" w:hRule="atLeast"/>
        </w:trPr>
        <w:tc>
          <w:tcPr>
            <w:tcW w:w="9480" w:type="dxa"/>
            <w:vAlign w:val="top"/>
            <w:gridSpan w:val="9"/>
          </w:tcPr>
          <w:p>
            <w:pPr>
              <w:ind w:left="24"/>
              <w:spacing w:before="139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7"/>
              </w:rPr>
              <w:t>二、部门(单位)整体支出绩效自评：</w:t>
            </w:r>
          </w:p>
          <w:p>
            <w:pPr>
              <w:spacing w:line="334" w:lineRule="auto"/>
              <w:rPr>
                <w:rFonts w:ascii="Arial"/>
                <w:sz w:val="21"/>
              </w:rPr>
            </w:pPr>
            <w:r/>
          </w:p>
          <w:p>
            <w:pPr>
              <w:ind w:left="484"/>
              <w:spacing w:before="78" w:line="227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9"/>
              </w:rPr>
              <w:t>部门(单位):</w:t>
            </w:r>
            <w:r>
              <w:rPr>
                <w:rFonts w:ascii="SimSun" w:hAnsi="SimSun" w:eastAsia="SimSun" w:cs="SimSun"/>
                <w:sz w:val="24"/>
                <w:szCs w:val="24"/>
                <w:spacing w:val="5"/>
              </w:rPr>
              <w:t xml:space="preserve">                  </w:t>
            </w:r>
            <w:r>
              <w:rPr>
                <w:rFonts w:ascii="SimSun" w:hAnsi="SimSun" w:eastAsia="SimSun" w:cs="SimSun"/>
                <w:sz w:val="24"/>
                <w:szCs w:val="24"/>
                <w:spacing w:val="-9"/>
              </w:rPr>
              <w:t>自</w:t>
            </w:r>
            <w:r>
              <w:rPr>
                <w:rFonts w:ascii="SimSun" w:hAnsi="SimSun" w:eastAsia="SimSun" w:cs="SimSun"/>
                <w:sz w:val="24"/>
                <w:szCs w:val="24"/>
                <w:spacing w:val="-46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9"/>
              </w:rPr>
              <w:t>评</w:t>
            </w:r>
            <w:r>
              <w:rPr>
                <w:rFonts w:ascii="SimSun" w:hAnsi="SimSun" w:eastAsia="SimSun" w:cs="SimSun"/>
                <w:sz w:val="24"/>
                <w:szCs w:val="24"/>
                <w:spacing w:val="-52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9"/>
              </w:rPr>
              <w:t>分</w:t>
            </w:r>
            <w:r>
              <w:rPr>
                <w:rFonts w:ascii="SimSun" w:hAnsi="SimSun" w:eastAsia="SimSun" w:cs="SimSun"/>
                <w:sz w:val="24"/>
                <w:szCs w:val="24"/>
                <w:spacing w:val="-53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9"/>
              </w:rPr>
              <w:t>数</w:t>
            </w:r>
            <w:r>
              <w:rPr>
                <w:rFonts w:ascii="SimSun" w:hAnsi="SimSun" w:eastAsia="SimSun" w:cs="SimSun"/>
                <w:sz w:val="24"/>
                <w:szCs w:val="24"/>
                <w:spacing w:val="-3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9"/>
              </w:rPr>
              <w:t>：</w:t>
            </w:r>
            <w:r>
              <w:rPr>
                <w:rFonts w:ascii="SimSun" w:hAnsi="SimSun" w:eastAsia="SimSun" w:cs="SimSun"/>
                <w:sz w:val="24"/>
                <w:szCs w:val="24"/>
                <w:spacing w:val="10"/>
              </w:rPr>
              <w:t xml:space="preserve">           </w:t>
            </w:r>
            <w:r>
              <w:rPr>
                <w:rFonts w:ascii="SimSun" w:hAnsi="SimSun" w:eastAsia="SimSun" w:cs="SimSun"/>
                <w:sz w:val="24"/>
                <w:szCs w:val="24"/>
                <w:spacing w:val="-9"/>
              </w:rPr>
              <w:t>自</w:t>
            </w:r>
            <w:r>
              <w:rPr>
                <w:rFonts w:ascii="SimSun" w:hAnsi="SimSun" w:eastAsia="SimSun" w:cs="SimSun"/>
                <w:sz w:val="24"/>
                <w:szCs w:val="24"/>
                <w:spacing w:val="-5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9"/>
              </w:rPr>
              <w:t>评</w:t>
            </w:r>
            <w:r>
              <w:rPr>
                <w:rFonts w:ascii="SimSun" w:hAnsi="SimSun" w:eastAsia="SimSun" w:cs="SimSun"/>
                <w:sz w:val="24"/>
                <w:szCs w:val="24"/>
                <w:spacing w:val="-52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9"/>
              </w:rPr>
              <w:t>等</w:t>
            </w:r>
            <w:r>
              <w:rPr>
                <w:rFonts w:ascii="SimSun" w:hAnsi="SimSun" w:eastAsia="SimSun" w:cs="SimSun"/>
                <w:sz w:val="24"/>
                <w:szCs w:val="24"/>
                <w:spacing w:val="-5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9"/>
              </w:rPr>
              <w:t>级</w:t>
            </w:r>
            <w:r>
              <w:rPr>
                <w:rFonts w:ascii="SimSun" w:hAnsi="SimSun" w:eastAsia="SimSun" w:cs="SimSun"/>
                <w:sz w:val="24"/>
                <w:szCs w:val="24"/>
                <w:spacing w:val="-6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9"/>
              </w:rPr>
              <w:t>：</w:t>
            </w:r>
          </w:p>
        </w:tc>
      </w:tr>
    </w:tbl>
    <w:p>
      <w:pPr>
        <w:ind w:left="334"/>
        <w:spacing w:before="113" w:line="222" w:lineRule="auto"/>
        <w:rPr>
          <w:rFonts w:ascii="FangSong" w:hAnsi="FangSong" w:eastAsia="FangSong" w:cs="FangSong"/>
          <w:sz w:val="25"/>
          <w:szCs w:val="25"/>
        </w:rPr>
      </w:pPr>
      <w:r>
        <w:rPr>
          <w:rFonts w:ascii="FangSong" w:hAnsi="FangSong" w:eastAsia="FangSong" w:cs="FangSong"/>
          <w:sz w:val="25"/>
          <w:szCs w:val="25"/>
          <w:spacing w:val="-11"/>
        </w:rPr>
        <w:t>备注：评价等级划分如下</w:t>
      </w:r>
    </w:p>
    <w:p>
      <w:pPr>
        <w:ind w:left="334" w:right="779"/>
        <w:spacing w:before="86" w:line="256" w:lineRule="auto"/>
        <w:rPr>
          <w:rFonts w:ascii="FangSong" w:hAnsi="FangSong" w:eastAsia="FangSong" w:cs="FangSong"/>
          <w:sz w:val="25"/>
          <w:szCs w:val="25"/>
        </w:rPr>
      </w:pPr>
      <w:r>
        <w:rPr>
          <w:rFonts w:ascii="FangSong" w:hAnsi="FangSong" w:eastAsia="FangSong" w:cs="FangSong"/>
          <w:sz w:val="25"/>
          <w:szCs w:val="25"/>
          <w:spacing w:val="6"/>
        </w:rPr>
        <w:t>优秀90分≤得分≤100分；良好80分≤得分&lt;90分；较差60分≤得分&lt;80分；</w:t>
      </w:r>
      <w:r>
        <w:rPr>
          <w:rFonts w:ascii="FangSong" w:hAnsi="FangSong" w:eastAsia="FangSong" w:cs="FangSong"/>
          <w:sz w:val="25"/>
          <w:szCs w:val="25"/>
          <w:spacing w:val="9"/>
        </w:rPr>
        <w:t xml:space="preserve"> </w:t>
      </w:r>
      <w:r>
        <w:rPr>
          <w:rFonts w:ascii="FangSong" w:hAnsi="FangSong" w:eastAsia="FangSong" w:cs="FangSong"/>
          <w:sz w:val="25"/>
          <w:szCs w:val="25"/>
          <w:spacing w:val="18"/>
        </w:rPr>
        <w:t>差</w:t>
      </w:r>
      <w:r>
        <w:rPr>
          <w:rFonts w:ascii="FangSong" w:hAnsi="FangSong" w:eastAsia="FangSong" w:cs="FangSong"/>
          <w:sz w:val="25"/>
          <w:szCs w:val="25"/>
          <w:spacing w:val="12"/>
        </w:rPr>
        <w:t xml:space="preserve">   </w:t>
      </w:r>
      <w:r>
        <w:rPr>
          <w:rFonts w:ascii="FangSong" w:hAnsi="FangSong" w:eastAsia="FangSong" w:cs="FangSong"/>
          <w:sz w:val="25"/>
          <w:szCs w:val="25"/>
          <w:spacing w:val="18"/>
        </w:rPr>
        <w:t>得分&lt;60分</w:t>
      </w:r>
    </w:p>
    <w:sectPr>
      <w:footerReference w:type="default" r:id="rId16"/>
      <w:pgSz w:w="11910" w:h="16840"/>
      <w:pgMar w:top="1431" w:right="1214" w:bottom="1126" w:left="1205" w:header="0" w:footer="947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093"/>
      <w:spacing w:line="182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</w:rPr>
      <w:t>2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64"/>
      <w:spacing w:line="183" w:lineRule="auto"/>
      <w:rPr>
        <w:rFonts w:ascii="SimSun" w:hAnsi="SimSun" w:eastAsia="SimSun" w:cs="SimSun"/>
        <w:sz w:val="19"/>
        <w:szCs w:val="19"/>
      </w:rPr>
    </w:pPr>
    <w:r>
      <w:rPr>
        <w:rFonts w:ascii="SimSun" w:hAnsi="SimSun" w:eastAsia="SimSun" w:cs="SimSun"/>
        <w:sz w:val="19"/>
        <w:szCs w:val="19"/>
        <w:spacing w:val="-6"/>
      </w:rPr>
      <w:t>11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424"/>
      <w:spacing w:line="183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  <w:spacing w:val="-6"/>
      </w:rPr>
      <w:t>12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434"/>
      <w:spacing w:line="183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  <w:spacing w:val="-6"/>
      </w:rPr>
      <w:t>13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289"/>
      <w:spacing w:line="183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  <w:spacing w:val="-6"/>
      </w:rPr>
      <w:t>14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634"/>
      <w:spacing w:line="183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  <w:spacing w:val="-6"/>
      </w:rPr>
      <w:t>15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093"/>
      <w:spacing w:line="183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</w:rPr>
      <w:t>3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083"/>
      <w:spacing w:line="182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</w:rPr>
      <w:t>4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053"/>
      <w:spacing w:line="181" w:lineRule="auto"/>
      <w:rPr>
        <w:rFonts w:ascii="SimSun" w:hAnsi="SimSun" w:eastAsia="SimSun" w:cs="SimSun"/>
        <w:sz w:val="24"/>
        <w:szCs w:val="24"/>
      </w:rPr>
    </w:pPr>
    <w:r>
      <w:rPr>
        <w:rFonts w:ascii="SimSun" w:hAnsi="SimSun" w:eastAsia="SimSun" w:cs="SimSun"/>
        <w:sz w:val="24"/>
        <w:szCs w:val="24"/>
      </w:rPr>
      <w:t>5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315"/>
      <w:spacing w:line="183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</w:rPr>
      <w:t>6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315"/>
      <w:spacing w:line="181" w:lineRule="auto"/>
      <w:rPr>
        <w:rFonts w:ascii="SimSun" w:hAnsi="SimSun" w:eastAsia="SimSun" w:cs="SimSun"/>
        <w:sz w:val="17"/>
        <w:szCs w:val="17"/>
      </w:rPr>
    </w:pPr>
    <w:r>
      <w:rPr>
        <w:rFonts w:ascii="SimSun" w:hAnsi="SimSun" w:eastAsia="SimSun" w:cs="SimSun"/>
        <w:sz w:val="17"/>
        <w:szCs w:val="17"/>
      </w:rPr>
      <w:t>7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315"/>
      <w:spacing w:line="183" w:lineRule="auto"/>
      <w:rPr>
        <w:rFonts w:ascii="SimSun" w:hAnsi="SimSun" w:eastAsia="SimSun" w:cs="SimSun"/>
        <w:sz w:val="17"/>
        <w:szCs w:val="17"/>
      </w:rPr>
    </w:pPr>
    <w:r>
      <w:rPr>
        <w:rFonts w:ascii="SimSun" w:hAnsi="SimSun" w:eastAsia="SimSun" w:cs="SimSun"/>
        <w:sz w:val="17"/>
        <w:szCs w:val="17"/>
      </w:rPr>
      <w:t>8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305"/>
      <w:spacing w:line="183" w:lineRule="auto"/>
      <w:rPr>
        <w:rFonts w:ascii="SimSun" w:hAnsi="SimSun" w:eastAsia="SimSun" w:cs="SimSun"/>
        <w:sz w:val="17"/>
        <w:szCs w:val="17"/>
      </w:rPr>
    </w:pPr>
    <w:r>
      <w:rPr>
        <w:rFonts w:ascii="SimSun" w:hAnsi="SimSun" w:eastAsia="SimSun" w:cs="SimSun"/>
        <w:sz w:val="17"/>
        <w:szCs w:val="17"/>
      </w:rPr>
      <w:t>9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299"/>
      <w:spacing w:line="183" w:lineRule="auto"/>
      <w:rPr>
        <w:rFonts w:ascii="SimSun" w:hAnsi="SimSun" w:eastAsia="SimSun" w:cs="SimSun"/>
        <w:sz w:val="18"/>
        <w:szCs w:val="18"/>
      </w:rPr>
    </w:pPr>
    <w:r>
      <w:rPr>
        <w:rFonts w:ascii="SimSun" w:hAnsi="SimSun" w:eastAsia="SimSun" w:cs="SimSun"/>
        <w:sz w:val="18"/>
        <w:szCs w:val="18"/>
        <w:spacing w:val="-6"/>
      </w:rPr>
      <w:t>10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color w:val="000000"/>
        <w:kern w:val="0"/>
        <w:snapToGrid w:val="0"/>
      </w:rPr>
    </w:rPrDefault>
  </w:docDefaults>
  <w:style w:type="paragraph" w:styleId="1" w:default="1">
    <w:name w:val="Normal"/>
    <w:semiHidden/>
    <w:qFormat/>
    <w:pPr>
      <w:spacing w:line="240" w:lineRule="w: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2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image" Target="media/image2.png"/><Relationship Id="rId5" Type="http://schemas.openxmlformats.org/officeDocument/2006/relationships/footer" Target="footer4.xml"/><Relationship Id="rId4" Type="http://schemas.openxmlformats.org/officeDocument/2006/relationships/footer" Target="footer3.xml"/><Relationship Id="rId3" Type="http://schemas.openxmlformats.org/officeDocument/2006/relationships/footer" Target="footer2.xml"/><Relationship Id="rId2" Type="http://schemas.openxmlformats.org/officeDocument/2006/relationships/footer" Target="footer1.xml"/><Relationship Id="rId19" Type="http://schemas.openxmlformats.org/officeDocument/2006/relationships/fontTable" Target="fontTable.xml"/><Relationship Id="rId18" Type="http://schemas.openxmlformats.org/officeDocument/2006/relationships/styles" Target="styles.xml"/><Relationship Id="rId17" Type="http://schemas.openxmlformats.org/officeDocument/2006/relationships/settings" Target="settings.xml"/><Relationship Id="rId16" Type="http://schemas.openxmlformats.org/officeDocument/2006/relationships/footer" Target="footer14.xml"/><Relationship Id="rId15" Type="http://schemas.openxmlformats.org/officeDocument/2006/relationships/footer" Target="footer13.xml"/><Relationship Id="rId14" Type="http://schemas.openxmlformats.org/officeDocument/2006/relationships/footer" Target="footer12.xml"/><Relationship Id="rId13" Type="http://schemas.openxmlformats.org/officeDocument/2006/relationships/footer" Target="footer11.xml"/><Relationship Id="rId12" Type="http://schemas.openxmlformats.org/officeDocument/2006/relationships/footer" Target="footer10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image" Target="media/image1.jpe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Kingsoft-PDF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dcterms:created xsi:type="dcterms:W3CDTF">2023-05-17T22:03:05Z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2023-05-17T22:03:07</vt:filetime>
  </property>
  <property fmtid="{D5CDD505-2E9C-101B-9397-08002B2CF9AE}" pid="4" name="UsrData">
    <vt:lpwstr>6464de8a08722f001ec8f80d</vt:lpwstr>
  </property>
</Properties>
</file>