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74" w:line="222" w:lineRule="auto"/>
        <w:ind w:left="4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11"/>
          <w:sz w:val="31"/>
          <w:szCs w:val="31"/>
        </w:rPr>
        <w:t>附件2-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11"/>
          <w:sz w:val="31"/>
          <w:szCs w:val="31"/>
        </w:rPr>
        <w:t>1</w:t>
      </w:r>
    </w:p>
    <w:p>
      <w:pPr>
        <w:spacing w:before="216" w:line="221" w:lineRule="auto"/>
        <w:ind w:left="239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6"/>
          <w:sz w:val="31"/>
          <w:szCs w:val="31"/>
        </w:rPr>
        <w:t>2022年度新晃县项目支出绩效自评表</w:t>
      </w:r>
    </w:p>
    <w:p>
      <w:pPr>
        <w:spacing w:before="187" w:line="221" w:lineRule="auto"/>
        <w:ind w:left="7784"/>
        <w:rPr>
          <w:rFonts w:ascii="仿宋" w:hAnsi="仿宋" w:eastAsia="仿宋" w:cs="仿宋"/>
          <w:sz w:val="19"/>
          <w:szCs w:val="19"/>
        </w:rPr>
      </w:pPr>
      <w:r>
        <w:rPr>
          <w:rFonts w:ascii="仿宋" w:hAnsi="仿宋" w:eastAsia="仿宋" w:cs="仿宋"/>
          <w:spacing w:val="9"/>
          <w:sz w:val="19"/>
          <w:szCs w:val="19"/>
        </w:rPr>
        <w:t>金额单位：万元</w:t>
      </w:r>
    </w:p>
    <w:p>
      <w:pPr>
        <w:spacing w:line="113" w:lineRule="exact"/>
      </w:pPr>
    </w:p>
    <w:tbl>
      <w:tblPr>
        <w:tblStyle w:val="8"/>
        <w:tblW w:w="9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4"/>
        <w:gridCol w:w="1129"/>
        <w:gridCol w:w="1808"/>
        <w:gridCol w:w="1418"/>
        <w:gridCol w:w="1299"/>
        <w:gridCol w:w="1199"/>
        <w:gridCol w:w="839"/>
        <w:gridCol w:w="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314" w:type="dxa"/>
            <w:vAlign w:val="top"/>
          </w:tcPr>
          <w:p>
            <w:pPr>
              <w:spacing w:before="64" w:line="259" w:lineRule="auto"/>
              <w:ind w:left="244" w:right="2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项目单位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称</w:t>
            </w:r>
          </w:p>
        </w:tc>
        <w:tc>
          <w:tcPr>
            <w:tcW w:w="2937" w:type="dxa"/>
            <w:gridSpan w:val="2"/>
            <w:vAlign w:val="top"/>
          </w:tcPr>
          <w:p>
            <w:pPr>
              <w:spacing w:before="221" w:line="219" w:lineRule="auto"/>
              <w:ind w:right="142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(盖章)</w:t>
            </w:r>
          </w:p>
        </w:tc>
        <w:tc>
          <w:tcPr>
            <w:tcW w:w="1418" w:type="dxa"/>
            <w:vAlign w:val="top"/>
          </w:tcPr>
          <w:p>
            <w:pPr>
              <w:spacing w:before="223" w:line="220" w:lineRule="auto"/>
              <w:ind w:left="3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4191" w:type="dxa"/>
            <w:gridSpan w:val="4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"五证合一"商事制度改革专项经费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314" w:type="dxa"/>
            <w:vAlign w:val="top"/>
          </w:tcPr>
          <w:p>
            <w:pPr>
              <w:spacing w:before="80" w:line="252" w:lineRule="auto"/>
              <w:ind w:left="244" w:right="2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9"/>
                <w:sz w:val="20"/>
                <w:szCs w:val="20"/>
              </w:rPr>
              <w:t>项</w:t>
            </w:r>
            <w:r>
              <w:rPr>
                <w:rFonts w:ascii="宋体" w:hAnsi="宋体" w:eastAsia="宋体" w:cs="宋体"/>
                <w:spacing w:val="23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29"/>
                <w:sz w:val="20"/>
                <w:szCs w:val="20"/>
              </w:rPr>
              <w:t>目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责任部门</w:t>
            </w:r>
          </w:p>
        </w:tc>
        <w:tc>
          <w:tcPr>
            <w:tcW w:w="293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行政审批股</w:t>
            </w:r>
          </w:p>
        </w:tc>
        <w:tc>
          <w:tcPr>
            <w:tcW w:w="1418" w:type="dxa"/>
            <w:vAlign w:val="top"/>
          </w:tcPr>
          <w:p>
            <w:pPr>
              <w:spacing w:before="219" w:line="219" w:lineRule="auto"/>
              <w:ind w:left="2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项目负责人</w:t>
            </w:r>
          </w:p>
        </w:tc>
        <w:tc>
          <w:tcPr>
            <w:tcW w:w="1299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杨秀忠</w:t>
            </w:r>
          </w:p>
        </w:tc>
        <w:tc>
          <w:tcPr>
            <w:tcW w:w="1199" w:type="dxa"/>
            <w:vAlign w:val="top"/>
          </w:tcPr>
          <w:p>
            <w:pPr>
              <w:spacing w:before="221" w:line="221" w:lineRule="auto"/>
              <w:ind w:left="1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联系电话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Arial"/>
                <w:sz w:val="21"/>
              </w:rPr>
              <w:t>13874521199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314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65" w:line="318" w:lineRule="exact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position w:val="8"/>
                <w:sz w:val="20"/>
                <w:szCs w:val="20"/>
              </w:rPr>
              <w:t>项目资金</w:t>
            </w:r>
          </w:p>
          <w:p>
            <w:pPr>
              <w:spacing w:line="218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基本情况</w:t>
            </w:r>
          </w:p>
        </w:tc>
        <w:tc>
          <w:tcPr>
            <w:tcW w:w="1129" w:type="dxa"/>
            <w:vAlign w:val="top"/>
          </w:tcPr>
          <w:p>
            <w:pPr>
              <w:spacing w:before="200" w:line="219" w:lineRule="auto"/>
              <w:ind w:left="1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上年结转</w:t>
            </w:r>
          </w:p>
        </w:tc>
        <w:tc>
          <w:tcPr>
            <w:tcW w:w="1808" w:type="dxa"/>
            <w:vAlign w:val="top"/>
          </w:tcPr>
          <w:p>
            <w:pPr>
              <w:spacing w:before="200" w:line="219" w:lineRule="auto"/>
              <w:ind w:left="1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年初预算安排数</w:t>
            </w:r>
          </w:p>
        </w:tc>
        <w:tc>
          <w:tcPr>
            <w:tcW w:w="1418" w:type="dxa"/>
            <w:vAlign w:val="top"/>
          </w:tcPr>
          <w:p>
            <w:pPr>
              <w:spacing w:before="200" w:line="219" w:lineRule="auto"/>
              <w:ind w:left="2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预算调整数</w:t>
            </w:r>
          </w:p>
        </w:tc>
        <w:tc>
          <w:tcPr>
            <w:tcW w:w="2498" w:type="dxa"/>
            <w:gridSpan w:val="2"/>
            <w:vAlign w:val="top"/>
          </w:tcPr>
          <w:p>
            <w:pPr>
              <w:spacing w:before="200" w:line="219" w:lineRule="auto"/>
              <w:ind w:left="7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全年执行数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spacing w:before="200" w:line="219" w:lineRule="auto"/>
              <w:ind w:left="3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预算执行率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3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8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2498" w:type="dxa"/>
            <w:gridSpan w:val="2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14" w:type="dxa"/>
            <w:vAlign w:val="top"/>
          </w:tcPr>
          <w:p>
            <w:pPr>
              <w:spacing w:before="258" w:line="218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评价内容</w:t>
            </w:r>
          </w:p>
        </w:tc>
        <w:tc>
          <w:tcPr>
            <w:tcW w:w="1129" w:type="dxa"/>
            <w:vAlign w:val="top"/>
          </w:tcPr>
          <w:p>
            <w:pPr>
              <w:spacing w:before="260" w:line="219" w:lineRule="auto"/>
              <w:ind w:left="3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分值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58" w:line="218" w:lineRule="auto"/>
              <w:ind w:left="249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评价简述</w:t>
            </w:r>
          </w:p>
        </w:tc>
        <w:tc>
          <w:tcPr>
            <w:tcW w:w="839" w:type="dxa"/>
            <w:vAlign w:val="top"/>
          </w:tcPr>
          <w:p>
            <w:pPr>
              <w:spacing w:before="99" w:line="262" w:lineRule="auto"/>
              <w:ind w:left="117" w:right="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单位自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评得分</w:t>
            </w:r>
          </w:p>
        </w:tc>
        <w:tc>
          <w:tcPr>
            <w:tcW w:w="854" w:type="dxa"/>
            <w:vAlign w:val="top"/>
          </w:tcPr>
          <w:p>
            <w:pPr>
              <w:spacing w:before="99" w:line="262" w:lineRule="auto"/>
              <w:ind w:left="118" w:right="1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财政复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评得分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314" w:type="dxa"/>
            <w:vAlign w:val="top"/>
          </w:tcPr>
          <w:p>
            <w:pPr>
              <w:spacing w:before="69" w:line="255" w:lineRule="auto"/>
              <w:ind w:left="144" w:right="12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项目预算及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预期绩效目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标编制水平</w:t>
            </w:r>
          </w:p>
        </w:tc>
        <w:tc>
          <w:tcPr>
            <w:tcW w:w="1129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5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49" w:line="275" w:lineRule="auto"/>
              <w:ind w:left="131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本项目预算编制科学、规范、合理，预期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绩效目标申报完整，产出、效果类关键性指标清晰、明确、量化，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投入与项目产出、效果目标匹配。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314" w:type="dxa"/>
            <w:vAlign w:val="top"/>
          </w:tcPr>
          <w:p>
            <w:pPr>
              <w:spacing w:before="222" w:line="219" w:lineRule="auto"/>
              <w:ind w:left="1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预算执行率</w:t>
            </w:r>
          </w:p>
        </w:tc>
        <w:tc>
          <w:tcPr>
            <w:tcW w:w="1129" w:type="dxa"/>
            <w:vAlign w:val="top"/>
          </w:tcPr>
          <w:p>
            <w:pPr>
              <w:spacing w:before="272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22" w:line="219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该项目预算执行率为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。根据实际情况评分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314" w:type="dxa"/>
            <w:vAlign w:val="top"/>
          </w:tcPr>
          <w:p>
            <w:pPr>
              <w:spacing w:before="72" w:line="248" w:lineRule="auto"/>
              <w:ind w:left="244" w:right="2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项目组织 管理水平</w:t>
            </w:r>
          </w:p>
        </w:tc>
        <w:tc>
          <w:tcPr>
            <w:tcW w:w="1129" w:type="dxa"/>
            <w:vAlign w:val="top"/>
          </w:tcPr>
          <w:p>
            <w:pPr>
              <w:spacing w:before="272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21" w:line="228" w:lineRule="auto"/>
              <w:ind w:left="131"/>
              <w:rPr>
                <w:rFonts w:hint="eastAsia" w:ascii="宋体" w:hAnsi="宋体" w:eastAsia="宋体" w:cs="宋体"/>
                <w:sz w:val="19"/>
                <w:szCs w:val="19"/>
                <w:lang w:eastAsia="zh-CN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本项目建立了</w:t>
            </w: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  <w:lang w:eastAsia="zh-CN"/>
              </w:rPr>
              <w:t>市场监督专项业务、五证合一商事制度改革、食用农产品抽检检测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等项目管理制度，并严格按相关制度执行。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314" w:type="dxa"/>
            <w:vAlign w:val="top"/>
          </w:tcPr>
          <w:p>
            <w:pPr>
              <w:spacing w:before="233" w:line="250" w:lineRule="auto"/>
              <w:ind w:left="244" w:right="2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资金支出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合理合规</w:t>
            </w:r>
          </w:p>
        </w:tc>
        <w:tc>
          <w:tcPr>
            <w:tcW w:w="1129" w:type="dxa"/>
            <w:vAlign w:val="top"/>
          </w:tcPr>
          <w:p>
            <w:pPr>
              <w:spacing w:line="366" w:lineRule="auto"/>
              <w:rPr>
                <w:rFonts w:ascii="Arial"/>
                <w:sz w:val="21"/>
              </w:rPr>
            </w:pPr>
          </w:p>
          <w:p>
            <w:pPr>
              <w:spacing w:before="65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73" w:line="273" w:lineRule="auto"/>
              <w:ind w:left="131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本年项目支出符合国家相关法律法规、财务管理制度等规定，且均在预算范围内，无与本项目预算不相符或无关的资金支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出</w:t>
            </w:r>
            <w:r>
              <w:rPr>
                <w:rFonts w:ascii="宋体" w:hAnsi="宋体" w:eastAsia="宋体" w:cs="宋体"/>
                <w:spacing w:val="6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</w:trPr>
        <w:tc>
          <w:tcPr>
            <w:tcW w:w="1314" w:type="dxa"/>
            <w:vAlign w:val="top"/>
          </w:tcPr>
          <w:p>
            <w:pPr>
              <w:spacing w:before="254" w:line="219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项目产出</w:t>
            </w:r>
          </w:p>
        </w:tc>
        <w:tc>
          <w:tcPr>
            <w:tcW w:w="1129" w:type="dxa"/>
            <w:vAlign w:val="top"/>
          </w:tcPr>
          <w:p>
            <w:pPr>
              <w:spacing w:before="305" w:line="183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30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16" w:firstLineChars="200"/>
              <w:textAlignment w:val="auto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</w:rPr>
              <w:t>全年</w:t>
            </w: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  <w:lang w:eastAsia="zh-CN"/>
              </w:rPr>
              <w:t>完成</w:t>
            </w: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</w:rPr>
              <w:t>新登记市场主体</w:t>
            </w: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  <w:lang w:val="en-US" w:eastAsia="zh-CN"/>
              </w:rPr>
              <w:t>3805</w:t>
            </w: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</w:rPr>
              <w:t>户，办结全程电子化企业登记业务</w:t>
            </w: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  <w:lang w:val="en-US" w:eastAsia="zh-CN"/>
              </w:rPr>
              <w:t>524</w:t>
            </w: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</w:rPr>
              <w:t>家。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全县企业需要报送年报户数为1441户，已报送1320户，企业年报率达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到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91.6%；全县农专需报送户数为363户，已报送362户，农专年报率达到99.72%；全县个体需报送11601户，已报送10801户，个体年报率达到93.1%，均已达到年报要求。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更换</w:t>
            </w: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</w:rPr>
              <w:t>营业执照正副本芯</w:t>
            </w: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</w:rPr>
              <w:t>500套，营业执照木制框架3</w:t>
            </w: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</w:rPr>
              <w:t>0个，营业执照副本壳</w:t>
            </w: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</w:rPr>
              <w:t>500个</w:t>
            </w: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  <w:lang w:eastAsia="zh-CN"/>
              </w:rPr>
              <w:t>。</w:t>
            </w:r>
          </w:p>
          <w:p>
            <w:pPr>
              <w:spacing w:before="83" w:line="26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314" w:type="dxa"/>
            <w:vAlign w:val="top"/>
          </w:tcPr>
          <w:p>
            <w:pPr>
              <w:spacing w:before="226" w:line="253" w:lineRule="auto"/>
              <w:ind w:left="344" w:right="249" w:hanging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项目效益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(效果)</w:t>
            </w:r>
          </w:p>
        </w:tc>
        <w:tc>
          <w:tcPr>
            <w:tcW w:w="1129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spacing w:before="65" w:line="183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20</w:t>
            </w:r>
          </w:p>
        </w:tc>
        <w:tc>
          <w:tcPr>
            <w:tcW w:w="5724" w:type="dxa"/>
            <w:gridSpan w:val="4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40" w:firstLineChars="200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20"/>
                <w:sz w:val="18"/>
                <w:szCs w:val="18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改革推动了工商注册制度便利化，市场主体注册时间大幅缩短，资金利用效率显著提升，营商环境明显改善。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360" w:firstLineChars="200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简化程序压缩办证时限，提高办事效率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36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改革对引导创业、促进就业作出了显著贡献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</w:rPr>
              <w:t>激发了市场活力和发展动力</w:t>
            </w:r>
            <w:r>
              <w:rPr>
                <w:rFonts w:hint="eastAsia" w:ascii="仿宋" w:hAnsi="仿宋" w:eastAsia="仿宋" w:cs="仿宋"/>
                <w:b w:val="0"/>
                <w:bCs/>
                <w:sz w:val="18"/>
                <w:szCs w:val="18"/>
                <w:lang w:eastAsia="zh-CN"/>
              </w:rPr>
              <w:t>。</w:t>
            </w:r>
          </w:p>
          <w:p>
            <w:pPr>
              <w:spacing w:before="234" w:line="259" w:lineRule="auto"/>
              <w:ind w:left="131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1314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5" w:line="219" w:lineRule="auto"/>
              <w:ind w:left="3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满意度</w:t>
            </w:r>
          </w:p>
        </w:tc>
        <w:tc>
          <w:tcPr>
            <w:tcW w:w="1129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before="65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56" w:line="219" w:lineRule="auto"/>
              <w:ind w:left="131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服务对象满意度计分：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满意度</w:t>
            </w:r>
            <w:r>
              <w:rPr>
                <w:rFonts w:hint="eastAsia" w:ascii="宋体" w:hAnsi="宋体" w:eastAsia="宋体" w:cs="宋体"/>
                <w:spacing w:val="4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314" w:type="dxa"/>
            <w:vAlign w:val="top"/>
          </w:tcPr>
          <w:p>
            <w:pPr>
              <w:spacing w:before="198" w:line="221" w:lineRule="auto"/>
              <w:ind w:left="4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小计</w:t>
            </w:r>
          </w:p>
        </w:tc>
        <w:tc>
          <w:tcPr>
            <w:tcW w:w="1129" w:type="dxa"/>
            <w:vAlign w:val="top"/>
          </w:tcPr>
          <w:p>
            <w:pPr>
              <w:spacing w:before="247" w:line="184" w:lineRule="auto"/>
              <w:ind w:left="4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90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1314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before="65" w:line="219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负向指标</w:t>
            </w: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24" w:type="dxa"/>
            <w:gridSpan w:val="4"/>
            <w:vAlign w:val="top"/>
          </w:tcPr>
          <w:p>
            <w:pPr>
              <w:spacing w:before="63" w:line="260" w:lineRule="auto"/>
              <w:ind w:left="131" w:right="82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主要评价自评得分与复评得分差异率。差异率≤10%,不扣分；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10%&lt;差异率≤15%,扣2分；15%&lt;差异率≤20%,扣4分；差异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率&gt;20%,扣6分。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314" w:type="dxa"/>
            <w:vAlign w:val="top"/>
          </w:tcPr>
          <w:p>
            <w:pPr>
              <w:spacing w:before="129" w:line="221" w:lineRule="auto"/>
              <w:ind w:left="4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合计</w:t>
            </w:r>
          </w:p>
        </w:tc>
        <w:tc>
          <w:tcPr>
            <w:tcW w:w="1129" w:type="dxa"/>
            <w:vAlign w:val="top"/>
          </w:tcPr>
          <w:p>
            <w:pPr>
              <w:spacing w:before="178" w:line="184" w:lineRule="auto"/>
              <w:ind w:left="4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90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314" w:type="dxa"/>
            <w:vAlign w:val="top"/>
          </w:tcPr>
          <w:p>
            <w:pPr>
              <w:spacing w:before="236" w:line="218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评价结果</w:t>
            </w: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26" w:type="dxa"/>
            <w:gridSpan w:val="2"/>
            <w:tcBorders>
              <w:right w:val="nil"/>
            </w:tcBorders>
            <w:vAlign w:val="top"/>
          </w:tcPr>
          <w:p>
            <w:pPr>
              <w:spacing w:before="108" w:line="219" w:lineRule="auto"/>
              <w:ind w:left="2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]优秀90分≤得分≤100分；</w:t>
            </w:r>
          </w:p>
          <w:p>
            <w:pPr>
              <w:spacing w:before="72" w:line="219" w:lineRule="auto"/>
              <w:ind w:left="1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□较差60分≤得分&lt;80分；</w:t>
            </w:r>
          </w:p>
        </w:tc>
        <w:tc>
          <w:tcPr>
            <w:tcW w:w="4191" w:type="dxa"/>
            <w:gridSpan w:val="4"/>
            <w:tcBorders>
              <w:left w:val="nil"/>
            </w:tcBorders>
            <w:vAlign w:val="top"/>
          </w:tcPr>
          <w:p>
            <w:pPr>
              <w:spacing w:before="108" w:line="219" w:lineRule="auto"/>
              <w:ind w:left="5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良好80分≤得分&lt;90分；</w:t>
            </w:r>
          </w:p>
          <w:p>
            <w:pPr>
              <w:spacing w:before="52" w:line="219" w:lineRule="auto"/>
              <w:ind w:left="3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□差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得分&lt;60分</w:t>
            </w:r>
          </w:p>
        </w:tc>
      </w:tr>
    </w:tbl>
    <w:p>
      <w:pPr>
        <w:spacing w:line="346" w:lineRule="auto"/>
        <w:rPr>
          <w:rFonts w:ascii="Arial"/>
          <w:sz w:val="21"/>
        </w:rPr>
      </w:pPr>
    </w:p>
    <w:p>
      <w:pPr>
        <w:spacing w:before="62" w:line="232" w:lineRule="auto"/>
        <w:ind w:left="454"/>
        <w:rPr>
          <w:rFonts w:ascii="仿宋" w:hAnsi="仿宋" w:eastAsia="仿宋" w:cs="仿宋"/>
          <w:sz w:val="19"/>
          <w:szCs w:val="19"/>
        </w:rPr>
      </w:pPr>
      <w:r>
        <w:rPr>
          <w:rFonts w:ascii="仿宋" w:hAnsi="仿宋" w:eastAsia="仿宋" w:cs="仿宋"/>
          <w:spacing w:val="11"/>
          <w:sz w:val="19"/>
          <w:szCs w:val="19"/>
        </w:rPr>
        <w:t>单位负责人(签字):</w:t>
      </w:r>
      <w:r>
        <w:rPr>
          <w:rFonts w:ascii="仿宋" w:hAnsi="仿宋" w:eastAsia="仿宋" w:cs="仿宋"/>
          <w:spacing w:val="2"/>
          <w:sz w:val="19"/>
          <w:szCs w:val="19"/>
        </w:rPr>
        <w:t xml:space="preserve">              </w:t>
      </w:r>
      <w:r>
        <w:rPr>
          <w:rFonts w:ascii="仿宋" w:hAnsi="仿宋" w:eastAsia="仿宋" w:cs="仿宋"/>
          <w:spacing w:val="11"/>
          <w:sz w:val="19"/>
          <w:szCs w:val="19"/>
        </w:rPr>
        <w:t>项目负责人(签字):</w:t>
      </w:r>
      <w:r>
        <w:rPr>
          <w:rFonts w:ascii="仿宋" w:hAnsi="仿宋" w:eastAsia="仿宋" w:cs="仿宋"/>
          <w:spacing w:val="5"/>
          <w:sz w:val="19"/>
          <w:szCs w:val="19"/>
        </w:rPr>
        <w:t xml:space="preserve">           </w:t>
      </w:r>
      <w:r>
        <w:rPr>
          <w:rFonts w:ascii="仿宋" w:hAnsi="仿宋" w:eastAsia="仿宋" w:cs="仿宋"/>
          <w:spacing w:val="11"/>
          <w:sz w:val="19"/>
          <w:szCs w:val="19"/>
        </w:rPr>
        <w:t>填表日期：年</w:t>
      </w:r>
      <w:r>
        <w:rPr>
          <w:rFonts w:ascii="仿宋" w:hAnsi="仿宋" w:eastAsia="仿宋" w:cs="仿宋"/>
          <w:spacing w:val="10"/>
          <w:sz w:val="19"/>
          <w:szCs w:val="19"/>
        </w:rPr>
        <w:t xml:space="preserve">        </w:t>
      </w:r>
      <w:r>
        <w:rPr>
          <w:rFonts w:ascii="仿宋" w:hAnsi="仿宋" w:eastAsia="仿宋" w:cs="仿宋"/>
          <w:spacing w:val="11"/>
          <w:sz w:val="19"/>
          <w:szCs w:val="19"/>
        </w:rPr>
        <w:t>月</w:t>
      </w:r>
      <w:r>
        <w:rPr>
          <w:rFonts w:ascii="仿宋" w:hAnsi="仿宋" w:eastAsia="仿宋" w:cs="仿宋"/>
          <w:spacing w:val="26"/>
          <w:sz w:val="19"/>
          <w:szCs w:val="19"/>
        </w:rPr>
        <w:t xml:space="preserve">  </w:t>
      </w:r>
      <w:r>
        <w:rPr>
          <w:rFonts w:ascii="仿宋" w:hAnsi="仿宋" w:eastAsia="仿宋" w:cs="仿宋"/>
          <w:spacing w:val="11"/>
          <w:sz w:val="19"/>
          <w:szCs w:val="19"/>
        </w:rPr>
        <w:t>日</w:t>
      </w:r>
    </w:p>
    <w:p>
      <w:pPr>
        <w:sectPr>
          <w:footerReference r:id="rId5" w:type="default"/>
          <w:pgSz w:w="11910" w:h="16840"/>
          <w:pgMar w:top="1431" w:right="954" w:bottom="1153" w:left="1085" w:header="0" w:footer="964" w:gutter="0"/>
          <w:cols w:space="720" w:num="1"/>
        </w:sectPr>
      </w:pPr>
    </w:p>
    <w:p>
      <w:pPr>
        <w:spacing w:before="68" w:line="222" w:lineRule="auto"/>
        <w:ind w:left="13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5"/>
          <w:sz w:val="33"/>
          <w:szCs w:val="33"/>
        </w:rPr>
        <w:t>附件2-2</w:t>
      </w:r>
    </w:p>
    <w:p>
      <w:pPr>
        <w:spacing w:before="335" w:line="219" w:lineRule="auto"/>
        <w:ind w:left="1739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-4"/>
          <w:sz w:val="33"/>
          <w:szCs w:val="33"/>
        </w:rPr>
        <w:t>2022年度新晃县项目绩效自评计分标准</w:t>
      </w:r>
    </w:p>
    <w:p>
      <w:pPr>
        <w:spacing w:line="64" w:lineRule="exact"/>
      </w:pPr>
    </w:p>
    <w:tbl>
      <w:tblPr>
        <w:tblStyle w:val="8"/>
        <w:tblW w:w="89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4"/>
        <w:gridCol w:w="709"/>
        <w:gridCol w:w="6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334" w:type="dxa"/>
            <w:vAlign w:val="top"/>
          </w:tcPr>
          <w:p>
            <w:pPr>
              <w:spacing w:before="239" w:line="218" w:lineRule="auto"/>
              <w:ind w:left="1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评价内容</w:t>
            </w:r>
          </w:p>
        </w:tc>
        <w:tc>
          <w:tcPr>
            <w:tcW w:w="709" w:type="dxa"/>
            <w:vAlign w:val="top"/>
          </w:tcPr>
          <w:p>
            <w:pPr>
              <w:spacing w:before="241" w:line="219" w:lineRule="auto"/>
              <w:ind w:left="1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分值</w:t>
            </w:r>
          </w:p>
        </w:tc>
        <w:tc>
          <w:tcPr>
            <w:tcW w:w="6917" w:type="dxa"/>
            <w:vAlign w:val="top"/>
          </w:tcPr>
          <w:p>
            <w:pPr>
              <w:spacing w:before="241" w:line="220" w:lineRule="auto"/>
              <w:ind w:left="25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评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分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标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3" w:hRule="atLeast"/>
        </w:trPr>
        <w:tc>
          <w:tcPr>
            <w:tcW w:w="13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74" w:line="219" w:lineRule="auto"/>
              <w:ind w:left="1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项目预算</w:t>
            </w:r>
          </w:p>
          <w:p>
            <w:pPr>
              <w:spacing w:before="47" w:line="220" w:lineRule="auto"/>
              <w:ind w:left="1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及预期绩</w:t>
            </w:r>
          </w:p>
          <w:p>
            <w:pPr>
              <w:spacing w:before="95" w:line="219" w:lineRule="auto"/>
              <w:ind w:left="1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效目标编</w:t>
            </w:r>
          </w:p>
          <w:p>
            <w:pPr>
              <w:spacing w:before="57" w:line="219" w:lineRule="auto"/>
              <w:ind w:left="3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制水平</w:t>
            </w:r>
          </w:p>
        </w:tc>
        <w:tc>
          <w:tcPr>
            <w:tcW w:w="709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191" w:line="345" w:lineRule="auto"/>
              <w:ind w:left="132" w:right="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1、项目预算(即投入目标)的科学、合理性，5分。项目预算编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制存在下列问题的，各扣1分，扣完为止：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(1)项目设置与部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5"/>
                <w:sz w:val="23"/>
                <w:szCs w:val="23"/>
              </w:rPr>
              <w:t>门(单位)履职无关或与部门(单位)职能衔接不</w:t>
            </w:r>
            <w:r>
              <w:rPr>
                <w:rFonts w:ascii="宋体" w:hAnsi="宋体" w:eastAsia="宋体" w:cs="宋体"/>
                <w:spacing w:val="24"/>
                <w:sz w:val="23"/>
                <w:szCs w:val="23"/>
              </w:rPr>
              <w:t>够，与其他项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目存在重叠交叉；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(2)将由非本级政府(财政)承担的事项列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入本级项目支出责任范围；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(3)项目支出事项测算没有具体的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数量、规格、型号或人数、天数等基本信息；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(4)项目支出事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项测算与市场价格相差很远，或没有体现厉行节约原则；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(5)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将未经政府批准，或未受委托履行政府职能的中介机构、协会、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学会等非预算单位的经费补助编入项目预算；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(6)将接待经费、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未经批准的临时人员工资或没有依据的津补贴、奖金、福利等编</w:t>
            </w:r>
          </w:p>
          <w:p>
            <w:pPr>
              <w:spacing w:line="218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入项目预算；(7)将没有具体内容的"其他”、"不可预见费"和"机</w:t>
            </w:r>
          </w:p>
          <w:p>
            <w:pPr>
              <w:spacing w:before="178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动经费"等编入项目预算。</w:t>
            </w:r>
          </w:p>
          <w:p>
            <w:pPr>
              <w:spacing w:before="127" w:line="353" w:lineRule="auto"/>
              <w:ind w:left="132" w:right="7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2、项目预期绩效目标的完整性、相关性，3分。申报的产出或效</w:t>
            </w: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果类绩效目标没有设定相关联的绩效指标，各扣0.8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分；设置的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产出或效果类关键性指标可以量化而没有量化的，各扣0.7分；</w:t>
            </w:r>
          </w:p>
          <w:p>
            <w:pPr>
              <w:spacing w:before="127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没有申报项目预期绩效目标的，不得分。</w:t>
            </w:r>
          </w:p>
          <w:p>
            <w:pPr>
              <w:spacing w:before="168" w:line="343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3、项目预算(投入目标)与项目产出、效果目标的匹配性，2分。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在既定资金规模下，项目产出、效果目标过高或过低；或者要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完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成既定项目产出、效果目标，资金规模过大或过小的，不得分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；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没有申报绩效目标，无法判定项目投入目标与产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出、效果目标的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匹配性的，不得分。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334" w:type="dxa"/>
            <w:vAlign w:val="top"/>
          </w:tcPr>
          <w:p>
            <w:pPr>
              <w:spacing w:before="147" w:line="340" w:lineRule="exact"/>
              <w:ind w:left="4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position w:val="7"/>
                <w:sz w:val="23"/>
                <w:szCs w:val="23"/>
              </w:rPr>
              <w:t>预算</w:t>
            </w:r>
          </w:p>
          <w:p>
            <w:pPr>
              <w:spacing w:line="219" w:lineRule="auto"/>
              <w:ind w:left="3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执行率</w:t>
            </w:r>
          </w:p>
        </w:tc>
        <w:tc>
          <w:tcPr>
            <w:tcW w:w="709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75" w:line="216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预算执行率S≥95%,得满分；每下降1%,扣0.25分，扣完为止。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</w:trPr>
        <w:tc>
          <w:tcPr>
            <w:tcW w:w="1334" w:type="dxa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spacing w:before="74" w:line="230" w:lineRule="auto"/>
              <w:ind w:left="194" w:right="19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项目组织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管理水平</w:t>
            </w:r>
          </w:p>
        </w:tc>
        <w:tc>
          <w:tcPr>
            <w:tcW w:w="709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74" w:line="184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218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1、建立健全项目管理制度，得4分。</w:t>
            </w:r>
          </w:p>
          <w:p>
            <w:pPr>
              <w:spacing w:before="175" w:line="286" w:lineRule="auto"/>
              <w:ind w:left="132" w:right="5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2、严格执行项目管理制度，得6分。其中，购买商品、工程和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服务不依法政府采购或工程项目不按规定招投标的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，不得分。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6" w:type="default"/>
          <w:pgSz w:w="11910" w:h="16840"/>
          <w:pgMar w:top="1408" w:right="1524" w:bottom="1126" w:left="1415" w:header="0" w:footer="947" w:gutter="0"/>
          <w:cols w:space="720" w:num="1"/>
        </w:sectPr>
      </w:pPr>
    </w:p>
    <w:p>
      <w:pPr>
        <w:spacing w:line="141" w:lineRule="auto"/>
        <w:rPr>
          <w:rFonts w:ascii="Arial"/>
          <w:sz w:val="2"/>
        </w:rPr>
      </w:pPr>
    </w:p>
    <w:tbl>
      <w:tblPr>
        <w:tblStyle w:val="8"/>
        <w:tblW w:w="89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739"/>
        <w:gridCol w:w="6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324" w:type="dxa"/>
            <w:vAlign w:val="top"/>
          </w:tcPr>
          <w:p>
            <w:pPr>
              <w:spacing w:before="229" w:line="218" w:lineRule="auto"/>
              <w:ind w:left="1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评价内容</w:t>
            </w:r>
          </w:p>
        </w:tc>
        <w:tc>
          <w:tcPr>
            <w:tcW w:w="739" w:type="dxa"/>
            <w:vAlign w:val="top"/>
          </w:tcPr>
          <w:p>
            <w:pPr>
              <w:spacing w:before="231" w:line="219" w:lineRule="auto"/>
              <w:ind w:left="8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分值</w:t>
            </w:r>
          </w:p>
        </w:tc>
        <w:tc>
          <w:tcPr>
            <w:tcW w:w="6917" w:type="dxa"/>
            <w:vAlign w:val="top"/>
          </w:tcPr>
          <w:p>
            <w:pPr>
              <w:spacing w:before="231" w:line="220" w:lineRule="auto"/>
              <w:ind w:left="2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评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分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标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6" w:hRule="atLeast"/>
        </w:trPr>
        <w:tc>
          <w:tcPr>
            <w:tcW w:w="1324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75" w:line="264" w:lineRule="auto"/>
              <w:ind w:left="194" w:right="17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资金支出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合理合规</w:t>
            </w:r>
          </w:p>
        </w:tc>
        <w:tc>
          <w:tcPr>
            <w:tcW w:w="73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289" w:line="481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position w:val="19"/>
                <w:sz w:val="23"/>
                <w:szCs w:val="23"/>
              </w:rPr>
              <w:t>资金支出合理合规比率=(项目资金支出-不合理合规资金支出)/</w:t>
            </w:r>
          </w:p>
          <w:p>
            <w:pPr>
              <w:spacing w:line="220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项目资金支出×100%。</w:t>
            </w:r>
          </w:p>
          <w:p>
            <w:pPr>
              <w:spacing w:before="162" w:line="368" w:lineRule="auto"/>
              <w:ind w:left="132" w:right="65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不合理合规资金支出是指项目资金支出超出项目预算范围，与本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项目预算不相符、无关或不符合国家财经法规和财务管理制度以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及专项资金管理办法等规定的支出，如以虚报、冒领等手段骗取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财政资金；截留、挪用财政资金；滞留应当下拨的财政资金；违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反规定扩大开支范围，提高开支标准；违规发放津贴补贴；白条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8"/>
                <w:sz w:val="23"/>
                <w:szCs w:val="23"/>
              </w:rPr>
              <w:t>入账等。</w:t>
            </w:r>
          </w:p>
          <w:p>
            <w:pPr>
              <w:spacing w:before="203" w:line="453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7"/>
                <w:position w:val="17"/>
                <w:sz w:val="23"/>
                <w:szCs w:val="23"/>
              </w:rPr>
              <w:t>资金支出合理合规比率S=100%,得满分；每下降1%,扣1分，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2"/>
                <w:sz w:val="23"/>
                <w:szCs w:val="23"/>
              </w:rPr>
              <w:t>扣完为止。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8" w:hRule="atLeast"/>
        </w:trPr>
        <w:tc>
          <w:tcPr>
            <w:tcW w:w="1324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75" w:line="349" w:lineRule="exact"/>
              <w:ind w:left="4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position w:val="8"/>
                <w:sz w:val="23"/>
                <w:szCs w:val="23"/>
              </w:rPr>
              <w:t>项</w:t>
            </w:r>
            <w:r>
              <w:rPr>
                <w:rFonts w:ascii="宋体" w:hAnsi="宋体" w:eastAsia="宋体" w:cs="宋体"/>
                <w:spacing w:val="-6"/>
                <w:position w:val="8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position w:val="8"/>
                <w:sz w:val="23"/>
                <w:szCs w:val="23"/>
              </w:rPr>
              <w:t>目</w:t>
            </w:r>
          </w:p>
          <w:p>
            <w:pPr>
              <w:spacing w:line="219" w:lineRule="auto"/>
              <w:ind w:left="4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产出</w:t>
            </w:r>
          </w:p>
        </w:tc>
        <w:tc>
          <w:tcPr>
            <w:tcW w:w="73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74" w:line="183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30</w:t>
            </w:r>
          </w:p>
        </w:tc>
        <w:tc>
          <w:tcPr>
            <w:tcW w:w="6917" w:type="dxa"/>
            <w:vAlign w:val="top"/>
          </w:tcPr>
          <w:p>
            <w:pPr>
              <w:spacing w:before="269" w:line="372" w:lineRule="auto"/>
              <w:ind w:left="112" w:right="84" w:firstLine="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0"/>
                <w:sz w:val="23"/>
                <w:szCs w:val="23"/>
              </w:rPr>
              <w:t>要求根据项目性质和项目预期绩效目标(产出类目标)</w:t>
            </w:r>
            <w:r>
              <w:rPr>
                <w:rFonts w:ascii="宋体" w:hAnsi="宋体" w:eastAsia="宋体" w:cs="宋体"/>
                <w:spacing w:val="19"/>
                <w:sz w:val="23"/>
                <w:szCs w:val="23"/>
              </w:rPr>
              <w:t>,细化为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产出数量、产出质量、产出时效、成本控制等方面进行评价。具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体指标可量化的，按完成量化比例计分；具体指标不可量化的，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按工作完成程度定性分成：完成、基本完成、基本未完成、未执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行四档，分别按100%、90%-60%、50%-</w:t>
            </w:r>
            <w:r>
              <w:rPr>
                <w:rFonts w:ascii="宋体" w:hAnsi="宋体" w:eastAsia="宋体" w:cs="宋体"/>
                <w:spacing w:val="-5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10%、0</w:t>
            </w:r>
            <w:r>
              <w:rPr>
                <w:rFonts w:ascii="宋体" w:hAnsi="宋体" w:eastAsia="宋体" w:cs="宋体"/>
                <w:spacing w:val="26"/>
                <w:sz w:val="23"/>
                <w:szCs w:val="23"/>
              </w:rPr>
              <w:t>%计分。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8" w:hRule="atLeast"/>
        </w:trPr>
        <w:tc>
          <w:tcPr>
            <w:tcW w:w="1324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75" w:line="246" w:lineRule="auto"/>
              <w:ind w:left="304" w:right="188" w:hanging="11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项目效益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(效果)</w:t>
            </w:r>
          </w:p>
        </w:tc>
        <w:tc>
          <w:tcPr>
            <w:tcW w:w="73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74" w:line="183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20</w:t>
            </w:r>
          </w:p>
        </w:tc>
        <w:tc>
          <w:tcPr>
            <w:tcW w:w="6917" w:type="dxa"/>
            <w:vAlign w:val="top"/>
          </w:tcPr>
          <w:p>
            <w:pPr>
              <w:spacing w:before="228" w:line="372" w:lineRule="auto"/>
              <w:ind w:left="132" w:right="6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要求根据项目性质和项目预期绩效目标(效益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或效果类目标),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细化为经济效益、社会效益、环境效益和可持续影响及服务对象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满意度等具体绩效指标进行评价。具体指标可量化的，按取得效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益或效果的量化比例计分；不可量化的，按目标达到程度分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成：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达到、基本达到、基本未达到、未达到四档，分别按100%、90%</w:t>
            </w:r>
          </w:p>
          <w:p>
            <w:pPr>
              <w:spacing w:line="220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-60%、50%-</w:t>
            </w:r>
            <w:r>
              <w:rPr>
                <w:rFonts w:ascii="宋体" w:hAnsi="宋体" w:eastAsia="宋体" w:cs="宋体"/>
                <w:spacing w:val="-5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10%、0%计分。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3" w:hRule="atLeast"/>
        </w:trPr>
        <w:tc>
          <w:tcPr>
            <w:tcW w:w="1324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75" w:line="242" w:lineRule="auto"/>
              <w:ind w:left="304" w:right="208" w:hanging="11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服务对象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满意度</w:t>
            </w:r>
          </w:p>
        </w:tc>
        <w:tc>
          <w:tcPr>
            <w:tcW w:w="73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247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服务对象满意度计分：</w:t>
            </w:r>
          </w:p>
          <w:p>
            <w:pPr>
              <w:spacing w:before="36" w:line="370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9"/>
                <w:position w:val="10"/>
                <w:sz w:val="23"/>
                <w:szCs w:val="23"/>
              </w:rPr>
              <w:t>90%≤满意度≤100%记10分，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0"/>
                <w:sz w:val="23"/>
                <w:szCs w:val="23"/>
              </w:rPr>
              <w:t>80%≤满意度&lt;90%记8分，</w:t>
            </w:r>
          </w:p>
          <w:p>
            <w:pPr>
              <w:spacing w:before="37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70%≤满意度&lt;80%</w:t>
            </w:r>
            <w:r>
              <w:rPr>
                <w:rFonts w:ascii="宋体" w:hAnsi="宋体" w:eastAsia="宋体" w:cs="宋体"/>
                <w:spacing w:val="49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记6分，</w:t>
            </w:r>
          </w:p>
          <w:p>
            <w:pPr>
              <w:spacing w:before="96" w:line="350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0"/>
                <w:position w:val="8"/>
                <w:sz w:val="23"/>
                <w:szCs w:val="23"/>
              </w:rPr>
              <w:t>60%≤满意度&lt;70%记4分，</w:t>
            </w:r>
          </w:p>
          <w:p>
            <w:pPr>
              <w:spacing w:before="1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满意度&lt;60%记0分。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7" w:type="default"/>
          <w:pgSz w:w="11910" w:h="16840"/>
          <w:pgMar w:top="1431" w:right="1514" w:bottom="1126" w:left="1405" w:header="0" w:footer="947" w:gutter="0"/>
          <w:cols w:space="720" w:num="1"/>
        </w:sectPr>
      </w:pPr>
    </w:p>
    <w:p>
      <w:pPr>
        <w:spacing w:before="224" w:line="222" w:lineRule="auto"/>
        <w:ind w:left="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21"/>
          <w:sz w:val="31"/>
          <w:szCs w:val="31"/>
        </w:rPr>
        <w:t>附件2-3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kern w:val="0"/>
          <w:sz w:val="44"/>
          <w:szCs w:val="44"/>
        </w:rPr>
      </w:pPr>
      <w:r>
        <w:rPr>
          <w:rFonts w:hAnsi="方正粗宋简体" w:eastAsia="方正粗宋简体"/>
          <w:w w:val="85"/>
          <w:kern w:val="0"/>
          <w:sz w:val="44"/>
          <w:szCs w:val="44"/>
        </w:rPr>
        <w:t>新晃县</w:t>
      </w:r>
      <w:r>
        <w:rPr>
          <w:rFonts w:hint="eastAsia" w:hAnsi="方正粗宋简体" w:eastAsia="方正粗宋简体"/>
          <w:w w:val="85"/>
          <w:kern w:val="0"/>
          <w:sz w:val="44"/>
          <w:szCs w:val="44"/>
          <w:lang w:eastAsia="zh-CN"/>
        </w:rPr>
        <w:t>市场监督管理</w:t>
      </w:r>
      <w:r>
        <w:rPr>
          <w:rFonts w:hint="eastAsia" w:hAnsi="方正粗宋简体" w:eastAsia="方正粗宋简体"/>
          <w:w w:val="85"/>
          <w:kern w:val="0"/>
          <w:sz w:val="44"/>
          <w:szCs w:val="44"/>
        </w:rPr>
        <w:t>局</w:t>
      </w:r>
    </w:p>
    <w:p>
      <w:pPr>
        <w:spacing w:line="600" w:lineRule="exact"/>
        <w:jc w:val="center"/>
        <w:rPr>
          <w:rFonts w:hAnsi="方正粗宋简体"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</w:t>
      </w: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22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年项目</w:t>
      </w:r>
      <w:r>
        <w:rPr>
          <w:rFonts w:hint="eastAsia" w:hAnsi="方正粗宋简体" w:eastAsia="方正粗宋简体"/>
          <w:w w:val="85"/>
          <w:kern w:val="0"/>
          <w:sz w:val="44"/>
          <w:szCs w:val="44"/>
          <w:lang w:eastAsia="zh-CN"/>
        </w:rPr>
        <w:t>支出绩效</w:t>
      </w:r>
      <w:r>
        <w:rPr>
          <w:rFonts w:hAnsi="方正粗宋简体" w:eastAsia="方正粗宋简体"/>
          <w:w w:val="85"/>
          <w:kern w:val="0"/>
          <w:sz w:val="44"/>
          <w:szCs w:val="44"/>
        </w:rPr>
        <w:t>自评报告</w:t>
      </w:r>
    </w:p>
    <w:p>
      <w:pPr>
        <w:ind w:firstLine="1920" w:firstLineChars="600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"五证合一"商事制度改革专项经费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before="244" w:line="222" w:lineRule="auto"/>
        <w:ind w:left="3710"/>
        <w:rPr>
          <w:rFonts w:ascii="仿宋" w:hAnsi="仿宋" w:eastAsia="仿宋" w:cs="仿宋"/>
          <w:sz w:val="31"/>
          <w:szCs w:val="3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00" w:lineRule="exact"/>
        <w:ind w:left="630"/>
        <w:textAlignment w:val="baseline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一、基本情况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1"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（一）项目概况。包括项目背景、主要内容及实施情况资金</w:t>
      </w:r>
      <w:r>
        <w:rPr>
          <w:rFonts w:hint="eastAsia" w:ascii="仿宋" w:hAnsi="仿宋" w:eastAsia="仿宋" w:cs="仿宋"/>
          <w:sz w:val="32"/>
          <w:szCs w:val="32"/>
        </w:rPr>
        <w:t>投入和使用情况等。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1"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企业和农民专业合作社（以下统称"企业"）工商营业执照、组织机构代码证、税务登记证"三证合一"登记制度改革的基础上，整合社会保险登记证和统计登记证，实行"一套材料、一表登记、一窗受理"的工作模式，由市场监督管理部门核发加载法人和其他组织统一社会信用代码（以下称统一代码）的营业执照，社会保险登记证和统计登记证不再另行发放。2018年1月1日后，一律使用加载统一代码的营业执照，未换发的证照不再有效。全面推行我省的"五证合一"登记制度改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个体户"两证合一"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96" w:firstLineChars="200"/>
        <w:textAlignment w:val="baseline"/>
        <w:rPr>
          <w:rFonts w:hint="eastAsia" w:ascii="仿宋" w:hAnsi="仿宋" w:eastAsia="仿宋" w:cs="仿宋"/>
          <w:spacing w:val="14"/>
          <w:sz w:val="32"/>
          <w:szCs w:val="32"/>
        </w:rPr>
      </w:pPr>
      <w:r>
        <w:rPr>
          <w:rFonts w:hint="eastAsia" w:ascii="仿宋" w:hAnsi="仿宋" w:eastAsia="仿宋" w:cs="仿宋"/>
          <w:spacing w:val="14"/>
          <w:sz w:val="32"/>
          <w:szCs w:val="32"/>
        </w:rPr>
        <w:t>项目绩效目标。包括总体目标和阶段性目标。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96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4"/>
          <w:sz w:val="32"/>
          <w:szCs w:val="32"/>
        </w:rPr>
        <w:t>全年预计新登记市场主体1500户，办结全程电子化企业登记业务880家。完成营业执照正副本芯5500套，营业执照木制框架3080个，营业执照副本壳5500个</w:t>
      </w:r>
      <w:r>
        <w:rPr>
          <w:rFonts w:hint="eastAsia" w:ascii="仿宋" w:hAnsi="仿宋" w:eastAsia="仿宋" w:cs="仿宋"/>
          <w:spacing w:val="14"/>
          <w:sz w:val="32"/>
          <w:szCs w:val="32"/>
          <w:lang w:eastAsia="zh-CN"/>
        </w:rPr>
        <w:t>。</w:t>
      </w:r>
    </w:p>
    <w:p>
      <w:pPr>
        <w:spacing w:before="184" w:line="218" w:lineRule="auto"/>
        <w:ind w:left="63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二、</w:t>
      </w:r>
      <w:r>
        <w:rPr>
          <w:rFonts w:hint="eastAsia"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绩效评价工作开展情况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360" w:lineRule="auto"/>
        <w:ind w:firstLine="704" w:firstLineChars="200"/>
        <w:jc w:val="both"/>
        <w:textAlignment w:val="baseline"/>
        <w:rPr>
          <w:rFonts w:hint="eastAsia" w:ascii="仿宋" w:hAnsi="仿宋" w:eastAsia="仿宋" w:cs="仿宋"/>
          <w:spacing w:val="16"/>
          <w:sz w:val="32"/>
          <w:szCs w:val="32"/>
        </w:rPr>
      </w:pPr>
      <w:r>
        <w:rPr>
          <w:rFonts w:hint="eastAsia" w:ascii="仿宋" w:hAnsi="仿宋" w:eastAsia="仿宋" w:cs="仿宋"/>
          <w:spacing w:val="16"/>
          <w:sz w:val="32"/>
          <w:szCs w:val="32"/>
        </w:rPr>
        <w:t>(一)绩效评价目的、对象和范围。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360" w:lineRule="auto"/>
        <w:ind w:firstLine="704" w:firstLineChars="200"/>
        <w:jc w:val="both"/>
        <w:textAlignment w:val="baseline"/>
        <w:rPr>
          <w:rFonts w:hint="eastAsia" w:ascii="仿宋" w:hAnsi="仿宋" w:eastAsia="仿宋" w:cs="仿宋"/>
          <w:spacing w:val="16"/>
          <w:sz w:val="32"/>
          <w:szCs w:val="32"/>
        </w:rPr>
      </w:pPr>
      <w:r>
        <w:rPr>
          <w:rFonts w:hint="eastAsia" w:ascii="仿宋" w:hAnsi="仿宋" w:eastAsia="仿宋" w:cs="仿宋"/>
          <w:spacing w:val="16"/>
          <w:sz w:val="32"/>
          <w:szCs w:val="32"/>
        </w:rPr>
        <w:t>绩效评价目的是为进一步规范专项资金管理，强化绩效和责任意识，切实提高专项资金使用效益。评价对象为</w:t>
      </w:r>
      <w:r>
        <w:rPr>
          <w:rFonts w:hint="eastAsia" w:ascii="仿宋" w:hAnsi="仿宋" w:eastAsia="仿宋" w:cs="仿宋"/>
          <w:sz w:val="32"/>
          <w:szCs w:val="32"/>
        </w:rPr>
        <w:t>"五证合一"商事制度改革专项经费</w:t>
      </w:r>
      <w:r>
        <w:rPr>
          <w:rFonts w:hint="eastAsia" w:ascii="仿宋" w:hAnsi="仿宋" w:eastAsia="仿宋" w:cs="仿宋"/>
          <w:spacing w:val="16"/>
          <w:sz w:val="32"/>
          <w:szCs w:val="32"/>
        </w:rPr>
        <w:t>项目。评价范围包括2022年度</w:t>
      </w:r>
      <w:r>
        <w:rPr>
          <w:rFonts w:hint="eastAsia" w:ascii="仿宋" w:hAnsi="仿宋" w:eastAsia="仿宋" w:cs="仿宋"/>
          <w:sz w:val="32"/>
          <w:szCs w:val="32"/>
        </w:rPr>
        <w:t>"五证合一"商事制度改革专项经费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pacing w:val="16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360" w:lineRule="auto"/>
        <w:ind w:firstLine="728" w:firstLineChars="200"/>
        <w:jc w:val="both"/>
        <w:textAlignment w:val="baseline"/>
        <w:rPr>
          <w:rFonts w:hint="eastAsia" w:ascii="仿宋" w:hAnsi="仿宋" w:eastAsia="仿宋" w:cs="仿宋"/>
          <w:spacing w:val="1"/>
          <w:sz w:val="32"/>
          <w:szCs w:val="32"/>
        </w:rPr>
      </w:pPr>
      <w:r>
        <w:rPr>
          <w:rFonts w:hint="eastAsia" w:ascii="仿宋" w:hAnsi="仿宋" w:eastAsia="仿宋" w:cs="仿宋"/>
          <w:spacing w:val="22"/>
          <w:sz w:val="32"/>
          <w:szCs w:val="32"/>
        </w:rPr>
        <w:t>(二)绩效评价原则、评价指标体系(附表说明)、评价方</w:t>
      </w:r>
      <w:r>
        <w:rPr>
          <w:rFonts w:hint="eastAsia" w:ascii="仿宋" w:hAnsi="仿宋" w:eastAsia="仿宋" w:cs="仿宋"/>
          <w:spacing w:val="1"/>
          <w:sz w:val="32"/>
          <w:szCs w:val="32"/>
        </w:rPr>
        <w:t>法、评价标准等。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7" w:line="360" w:lineRule="auto"/>
        <w:ind w:firstLine="644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356" w:firstLineChars="100"/>
        <w:textAlignment w:val="baseline"/>
        <w:rPr>
          <w:rFonts w:hint="eastAsia" w:ascii="仿宋" w:hAnsi="仿宋" w:eastAsia="仿宋" w:cs="仿宋"/>
          <w:spacing w:val="18"/>
          <w:sz w:val="32"/>
          <w:szCs w:val="32"/>
        </w:rPr>
      </w:pPr>
      <w:r>
        <w:rPr>
          <w:rFonts w:hint="eastAsia" w:ascii="仿宋" w:hAnsi="仿宋" w:eastAsia="仿宋" w:cs="仿宋"/>
          <w:spacing w:val="18"/>
          <w:sz w:val="32"/>
          <w:szCs w:val="32"/>
          <w:lang w:eastAsia="zh-CN"/>
        </w:rPr>
        <w:t>（三）</w:t>
      </w:r>
      <w:r>
        <w:rPr>
          <w:rFonts w:hint="eastAsia" w:ascii="仿宋" w:hAnsi="仿宋" w:eastAsia="仿宋" w:cs="仿宋"/>
          <w:spacing w:val="18"/>
          <w:sz w:val="32"/>
          <w:szCs w:val="32"/>
        </w:rPr>
        <w:t>绩效评价工作过程。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360" w:lineRule="auto"/>
        <w:ind w:firstLine="712" w:firstLineChars="200"/>
        <w:textAlignment w:val="baseline"/>
        <w:rPr>
          <w:rFonts w:hint="eastAsia" w:ascii="仿宋" w:hAnsi="仿宋" w:eastAsia="仿宋" w:cs="仿宋"/>
          <w:spacing w:val="18"/>
          <w:sz w:val="32"/>
          <w:szCs w:val="32"/>
        </w:rPr>
      </w:pPr>
      <w:r>
        <w:rPr>
          <w:rFonts w:hint="eastAsia" w:ascii="仿宋" w:hAnsi="仿宋" w:eastAsia="仿宋" w:cs="仿宋"/>
          <w:spacing w:val="18"/>
          <w:sz w:val="32"/>
          <w:szCs w:val="32"/>
        </w:rPr>
        <w:t>根据《湖南省预算支出绩效评价管理办法》（湘财绩〔2020〕7号）和《新晃侗族自治县财政局关于开展2022年度部门预算支出绩效自评工作的通知》（晃财绩〔2023〕24号）等文件要求，我单位成立了绩效自评工作小组，对</w:t>
      </w:r>
      <w:r>
        <w:rPr>
          <w:rFonts w:hint="eastAsia" w:ascii="仿宋" w:hAnsi="仿宋" w:eastAsia="仿宋" w:cs="仿宋"/>
          <w:sz w:val="32"/>
          <w:szCs w:val="32"/>
        </w:rPr>
        <w:t>"五证合一"商事制度改革专项经费</w:t>
      </w:r>
      <w:r>
        <w:rPr>
          <w:rFonts w:hint="eastAsia" w:ascii="仿宋" w:hAnsi="仿宋" w:eastAsia="仿宋" w:cs="仿宋"/>
          <w:spacing w:val="18"/>
          <w:sz w:val="32"/>
          <w:szCs w:val="32"/>
        </w:rPr>
        <w:t>项目支出开展了绩效自评工作。组织人员收集项目资料，检查会计凭证，在规定的时间内，对项目的实施过程进行了全面、科学、细致的评价。</w:t>
      </w:r>
    </w:p>
    <w:p>
      <w:pPr>
        <w:spacing w:before="173" w:line="220" w:lineRule="auto"/>
        <w:ind w:left="760"/>
        <w:rPr>
          <w:rFonts w:hint="eastAsia" w:ascii="仿宋" w:hAnsi="仿宋" w:eastAsia="仿宋" w:cs="仿宋"/>
          <w:sz w:val="32"/>
          <w:szCs w:val="32"/>
        </w:rPr>
      </w:pPr>
    </w:p>
    <w:p>
      <w:pPr>
        <w:numPr>
          <w:ilvl w:val="0"/>
          <w:numId w:val="2"/>
        </w:numPr>
        <w:spacing w:before="204" w:line="218" w:lineRule="auto"/>
        <w:ind w:left="630"/>
        <w:rPr>
          <w:rFonts w:hint="eastAsia" w:ascii="仿宋" w:hAnsi="仿宋" w:eastAsia="仿宋" w:cs="仿宋"/>
          <w:spacing w:val="14"/>
          <w:sz w:val="32"/>
          <w:szCs w:val="32"/>
        </w:rPr>
      </w:pPr>
      <w:r>
        <w:rPr>
          <w:rFonts w:hint="eastAsia" w:ascii="仿宋" w:hAnsi="仿宋" w:eastAsia="仿宋" w:cs="仿宋"/>
          <w:spacing w:val="14"/>
          <w:sz w:val="32"/>
          <w:szCs w:val="32"/>
        </w:rPr>
        <w:t>综合评价情况及评价结论(附相关评分表)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4" w:line="360" w:lineRule="auto"/>
        <w:ind w:firstLine="348" w:firstLineChars="1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4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本次自评，对照项目绩效目标，从项目预算编制、项目组织管理、资金使用、项目产出、项目效益、满意度等方面逐一分析评价，总体自评得分9</w:t>
      </w:r>
      <w:r>
        <w:rPr>
          <w:rFonts w:hint="eastAsia" w:ascii="仿宋" w:hAnsi="仿宋" w:eastAsia="仿宋" w:cs="仿宋"/>
          <w:spacing w:val="1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pacing w:val="14"/>
          <w:sz w:val="32"/>
          <w:szCs w:val="32"/>
        </w:rPr>
        <w:t>分，绩效评价等级为“优”。</w:t>
      </w:r>
    </w:p>
    <w:p>
      <w:pPr>
        <w:numPr>
          <w:ilvl w:val="0"/>
          <w:numId w:val="2"/>
        </w:numPr>
        <w:ind w:left="630" w:leftChars="0"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</w:rPr>
        <w:t>绩效评价指标分析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pStyle w:val="5"/>
        <w:keepNext w:val="0"/>
        <w:keepLines w:val="0"/>
        <w:pageBreakBefore w:val="0"/>
        <w:widowControl w:val="0"/>
        <w:wordWrap/>
        <w:overflowPunct/>
        <w:topLinePunct w:val="0"/>
        <w:bidi w:val="0"/>
        <w:spacing w:before="0" w:beforeAutospacing="0" w:after="0" w:afterAutospacing="0" w:line="360" w:lineRule="auto"/>
        <w:ind w:firstLine="72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0"/>
          <w:sz w:val="32"/>
          <w:szCs w:val="32"/>
        </w:rPr>
        <w:t>(一)项目决策情况。</w:t>
      </w:r>
      <w:r>
        <w:rPr>
          <w:rFonts w:hint="eastAsia" w:ascii="仿宋" w:hAnsi="仿宋" w:eastAsia="仿宋" w:cs="仿宋"/>
          <w:sz w:val="32"/>
          <w:szCs w:val="32"/>
        </w:rPr>
        <w:t>根据县委常委专题办公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室</w:t>
      </w:r>
      <w:r>
        <w:rPr>
          <w:rFonts w:hint="eastAsia" w:ascii="仿宋" w:hAnsi="仿宋" w:eastAsia="仿宋" w:cs="仿宋"/>
          <w:sz w:val="32"/>
          <w:szCs w:val="32"/>
        </w:rPr>
        <w:t>2017年第9期(2017年9月1日)会议纪要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通过决定纳入财政预算。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="187" w:line="360" w:lineRule="auto"/>
        <w:ind w:firstLine="72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32"/>
          <w:szCs w:val="32"/>
        </w:rPr>
        <w:t>(二)项目过程情况。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根据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晃财预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[2022]1号《新晃侗族自治县财政局关于下达2022年度部门预算的通知》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文件执行。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核拨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仿宋" w:hAnsi="仿宋" w:eastAsia="仿宋" w:cs="仿宋"/>
          <w:sz w:val="32"/>
          <w:szCs w:val="32"/>
        </w:rPr>
        <w:t>"五证合一"商事制度改革专项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"/>
          <w:sz w:val="32"/>
          <w:szCs w:val="32"/>
        </w:rPr>
        <w:t>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5万元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200"/>
        <w:textAlignment w:val="baseline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pacing w:val="20"/>
          <w:sz w:val="32"/>
          <w:szCs w:val="32"/>
        </w:rPr>
        <w:t>(三)项目产出情况。</w:t>
      </w:r>
      <w:r>
        <w:rPr>
          <w:rFonts w:hint="eastAsia" w:ascii="仿宋" w:hAnsi="仿宋" w:eastAsia="仿宋" w:cs="仿宋"/>
          <w:spacing w:val="14"/>
          <w:sz w:val="32"/>
          <w:szCs w:val="32"/>
        </w:rPr>
        <w:t>全年</w:t>
      </w:r>
      <w:r>
        <w:rPr>
          <w:rFonts w:hint="eastAsia" w:ascii="仿宋" w:hAnsi="仿宋" w:eastAsia="仿宋" w:cs="仿宋"/>
          <w:spacing w:val="14"/>
          <w:sz w:val="32"/>
          <w:szCs w:val="32"/>
          <w:lang w:eastAsia="zh-CN"/>
        </w:rPr>
        <w:t>完成</w:t>
      </w:r>
      <w:r>
        <w:rPr>
          <w:rFonts w:hint="eastAsia" w:ascii="仿宋" w:hAnsi="仿宋" w:eastAsia="仿宋" w:cs="仿宋"/>
          <w:spacing w:val="14"/>
          <w:sz w:val="32"/>
          <w:szCs w:val="32"/>
        </w:rPr>
        <w:t>新登记市场主体</w:t>
      </w:r>
      <w:r>
        <w:rPr>
          <w:rFonts w:hint="eastAsia" w:ascii="仿宋" w:hAnsi="仿宋" w:eastAsia="仿宋" w:cs="仿宋"/>
          <w:spacing w:val="14"/>
          <w:sz w:val="32"/>
          <w:szCs w:val="32"/>
          <w:lang w:val="en-US" w:eastAsia="zh-CN"/>
        </w:rPr>
        <w:t>3805</w:t>
      </w:r>
      <w:r>
        <w:rPr>
          <w:rFonts w:hint="eastAsia" w:ascii="仿宋" w:hAnsi="仿宋" w:eastAsia="仿宋" w:cs="仿宋"/>
          <w:spacing w:val="14"/>
          <w:sz w:val="32"/>
          <w:szCs w:val="32"/>
        </w:rPr>
        <w:t>户，办结全程电子化企业登记业务</w:t>
      </w:r>
      <w:r>
        <w:rPr>
          <w:rFonts w:hint="eastAsia" w:ascii="仿宋" w:hAnsi="仿宋" w:eastAsia="仿宋" w:cs="仿宋"/>
          <w:spacing w:val="14"/>
          <w:sz w:val="32"/>
          <w:szCs w:val="32"/>
          <w:lang w:val="en-US" w:eastAsia="zh-CN"/>
        </w:rPr>
        <w:t>524</w:t>
      </w:r>
      <w:r>
        <w:rPr>
          <w:rFonts w:hint="eastAsia" w:ascii="仿宋" w:hAnsi="仿宋" w:eastAsia="仿宋" w:cs="仿宋"/>
          <w:spacing w:val="14"/>
          <w:sz w:val="32"/>
          <w:szCs w:val="32"/>
        </w:rPr>
        <w:t>家。</w:t>
      </w:r>
      <w:r>
        <w:rPr>
          <w:rFonts w:hint="eastAsia" w:ascii="仿宋" w:hAnsi="仿宋" w:eastAsia="仿宋" w:cs="仿宋"/>
          <w:sz w:val="32"/>
          <w:szCs w:val="32"/>
        </w:rPr>
        <w:t>全县企业需要报送年报户数为1441户，已报送1320户，企业年报率达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到</w:t>
      </w:r>
      <w:r>
        <w:rPr>
          <w:rFonts w:hint="eastAsia" w:ascii="仿宋" w:hAnsi="仿宋" w:eastAsia="仿宋" w:cs="仿宋"/>
          <w:sz w:val="32"/>
          <w:szCs w:val="32"/>
        </w:rPr>
        <w:t>91.6%；全县农专需报送户数为363户，已报送362户，农专年报率达到99.72%；全县个体需报送11601户，已报送10801户，个体年报率达到93.1%，均已达到年报要求。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更换</w:t>
      </w:r>
      <w:r>
        <w:rPr>
          <w:rFonts w:hint="eastAsia" w:ascii="仿宋" w:hAnsi="仿宋" w:eastAsia="仿宋" w:cs="仿宋"/>
          <w:spacing w:val="14"/>
          <w:sz w:val="32"/>
          <w:szCs w:val="32"/>
        </w:rPr>
        <w:t>营业执照正副本芯</w:t>
      </w:r>
      <w:r>
        <w:rPr>
          <w:rFonts w:hint="eastAsia" w:ascii="仿宋" w:hAnsi="仿宋" w:eastAsia="仿宋" w:cs="仿宋"/>
          <w:spacing w:val="14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pacing w:val="14"/>
          <w:sz w:val="32"/>
          <w:szCs w:val="32"/>
        </w:rPr>
        <w:t>500套，营业执照木制框架3</w:t>
      </w:r>
      <w:r>
        <w:rPr>
          <w:rFonts w:hint="eastAsia" w:ascii="仿宋" w:hAnsi="仿宋" w:eastAsia="仿宋" w:cs="仿宋"/>
          <w:spacing w:val="14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pacing w:val="14"/>
          <w:sz w:val="32"/>
          <w:szCs w:val="32"/>
        </w:rPr>
        <w:t>0个，营业执照副本壳</w:t>
      </w:r>
      <w:r>
        <w:rPr>
          <w:rFonts w:hint="eastAsia" w:ascii="仿宋" w:hAnsi="仿宋" w:eastAsia="仿宋" w:cs="仿宋"/>
          <w:spacing w:val="14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pacing w:val="14"/>
          <w:sz w:val="32"/>
          <w:szCs w:val="32"/>
        </w:rPr>
        <w:t>500个</w:t>
      </w:r>
      <w:r>
        <w:rPr>
          <w:rFonts w:hint="eastAsia" w:ascii="仿宋" w:hAnsi="仿宋" w:eastAsia="仿宋" w:cs="仿宋"/>
          <w:spacing w:val="14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/>
          <w:b w:val="0"/>
          <w:bCs/>
          <w:color w:val="auto"/>
          <w:sz w:val="32"/>
          <w:szCs w:val="32"/>
          <w:lang w:eastAsia="zh-CN"/>
        </w:rPr>
        <w:t>因财政资金困难未能拨付，欠江西昌河特种票证有限公司</w:t>
      </w:r>
      <w:r>
        <w:rPr>
          <w:rFonts w:hint="eastAsia" w:ascii="仿宋" w:hAnsi="仿宋" w:eastAsia="仿宋" w:cs="仿宋"/>
          <w:spacing w:val="14"/>
          <w:sz w:val="32"/>
          <w:szCs w:val="32"/>
        </w:rPr>
        <w:t>营业执照</w:t>
      </w:r>
      <w:r>
        <w:rPr>
          <w:rFonts w:hint="eastAsia" w:ascii="仿宋" w:hAnsi="仿宋" w:eastAsia="仿宋" w:cs="仿宋"/>
          <w:spacing w:val="14"/>
          <w:sz w:val="32"/>
          <w:szCs w:val="32"/>
          <w:lang w:eastAsia="zh-CN"/>
        </w:rPr>
        <w:t>工本费</w:t>
      </w:r>
      <w:r>
        <w:rPr>
          <w:rFonts w:hint="eastAsia" w:ascii="仿宋" w:hAnsi="仿宋" w:eastAsia="仿宋" w:cs="仿宋"/>
          <w:spacing w:val="14"/>
          <w:sz w:val="32"/>
          <w:szCs w:val="32"/>
          <w:lang w:val="en-US" w:eastAsia="zh-CN"/>
        </w:rPr>
        <w:t>5万元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20" w:firstLineChars="200"/>
        <w:textAlignment w:val="auto"/>
        <w:rPr>
          <w:rFonts w:hint="eastAsia" w:ascii="仿宋" w:hAnsi="仿宋" w:eastAsia="仿宋" w:cs="仿宋"/>
          <w:spacing w:val="20"/>
          <w:sz w:val="32"/>
          <w:szCs w:val="32"/>
        </w:rPr>
      </w:pPr>
      <w:r>
        <w:rPr>
          <w:rFonts w:hint="eastAsia" w:ascii="仿宋" w:hAnsi="仿宋" w:eastAsia="仿宋" w:cs="仿宋"/>
          <w:spacing w:val="20"/>
          <w:sz w:val="32"/>
          <w:szCs w:val="32"/>
        </w:rPr>
        <w:t>(四)项目效益情况。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2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改革推动了工商注册制度便利化，市场主体注册时间大幅缩短，资金利用效率显著提升，营商环境明显改善。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简化程序压缩办证时限，提高办事效率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改革对引导创业、促进就业作出了显著贡献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激发了市场活力和发展动力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。</w:t>
      </w:r>
    </w:p>
    <w:p>
      <w:pPr>
        <w:spacing w:before="188" w:line="222" w:lineRule="auto"/>
        <w:ind w:left="760"/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="199" w:line="219" w:lineRule="auto"/>
        <w:ind w:left="63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3"/>
          <w:sz w:val="32"/>
          <w:szCs w:val="32"/>
        </w:rPr>
        <w:t>五、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主要经验及做法、存在的问题及原因分析</w:t>
      </w:r>
    </w:p>
    <w:p>
      <w:pPr>
        <w:spacing w:before="183" w:line="220" w:lineRule="auto"/>
        <w:ind w:left="63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9"/>
          <w:sz w:val="32"/>
          <w:szCs w:val="32"/>
        </w:rPr>
        <w:t>六、</w:t>
      </w:r>
      <w:r>
        <w:rPr>
          <w:rFonts w:hint="eastAsia"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9"/>
          <w:sz w:val="32"/>
          <w:szCs w:val="32"/>
        </w:rPr>
        <w:t>有关建议</w:t>
      </w:r>
    </w:p>
    <w:p>
      <w:pPr>
        <w:spacing w:before="180" w:line="219" w:lineRule="auto"/>
        <w:ind w:left="63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七、其他需要说明的问题</w:t>
      </w:r>
    </w:p>
    <w:p>
      <w:pPr>
        <w:spacing w:line="311" w:lineRule="auto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11" w:lineRule="auto"/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="101" w:line="633" w:lineRule="exact"/>
        <w:ind w:left="601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39"/>
          <w:position w:val="24"/>
          <w:sz w:val="32"/>
          <w:szCs w:val="32"/>
        </w:rPr>
        <w:t>项目单位(签)</w:t>
      </w:r>
    </w:p>
    <w:p>
      <w:pPr>
        <w:spacing w:line="222" w:lineRule="auto"/>
        <w:ind w:firstLine="5838" w:firstLineChars="2100"/>
        <w:rPr>
          <w:rFonts w:hint="eastAsia" w:ascii="仿宋" w:hAnsi="仿宋" w:eastAsia="仿宋" w:cs="仿宋"/>
          <w:sz w:val="32"/>
          <w:szCs w:val="32"/>
          <w:lang w:val="en-US" w:eastAsia="zh-CN"/>
        </w:rPr>
        <w:sectPr>
          <w:footerReference r:id="rId8" w:type="default"/>
          <w:pgSz w:w="11910" w:h="16840"/>
          <w:pgMar w:top="1431" w:right="1567" w:bottom="1126" w:left="1539" w:header="0" w:footer="947" w:gutter="0"/>
          <w:cols w:space="720" w:num="1"/>
        </w:sectPr>
      </w:pPr>
      <w:r>
        <w:rPr>
          <w:rFonts w:hint="eastAsia" w:ascii="仿宋" w:hAnsi="仿宋" w:eastAsia="仿宋" w:cs="仿宋"/>
          <w:spacing w:val="-21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pacing w:val="-21"/>
          <w:sz w:val="32"/>
          <w:szCs w:val="32"/>
        </w:rPr>
        <w:t>年</w:t>
      </w:r>
      <w:r>
        <w:rPr>
          <w:rFonts w:hint="eastAsia"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7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1"/>
          <w:sz w:val="32"/>
          <w:szCs w:val="32"/>
        </w:rPr>
        <w:t>月</w:t>
      </w:r>
      <w:r>
        <w:rPr>
          <w:rFonts w:hint="eastAsia" w:ascii="仿宋" w:hAnsi="仿宋" w:eastAsia="仿宋" w:cs="仿宋"/>
          <w:spacing w:val="-21"/>
          <w:sz w:val="32"/>
          <w:szCs w:val="32"/>
          <w:lang w:val="en-US" w:eastAsia="zh-CN"/>
        </w:rPr>
        <w:t xml:space="preserve"> 12 日</w:t>
      </w:r>
    </w:p>
    <w:p>
      <w:pPr>
        <w:spacing w:before="86" w:line="256" w:lineRule="auto"/>
        <w:ind w:right="779"/>
        <w:rPr>
          <w:rFonts w:hint="eastAsia" w:ascii="仿宋" w:hAnsi="仿宋" w:eastAsia="仿宋" w:cs="仿宋"/>
          <w:sz w:val="32"/>
          <w:szCs w:val="32"/>
        </w:rPr>
      </w:pPr>
    </w:p>
    <w:sectPr>
      <w:footerReference r:id="rId9" w:type="default"/>
      <w:pgSz w:w="11910" w:h="16840"/>
      <w:pgMar w:top="1431" w:right="1214" w:bottom="1126" w:left="1205" w:header="0" w:footer="94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764"/>
      <w:rPr>
        <w:rFonts w:ascii="宋体" w:hAnsi="宋体" w:eastAsia="宋体" w:cs="宋体"/>
        <w:sz w:val="19"/>
        <w:szCs w:val="19"/>
      </w:rPr>
    </w:pPr>
    <w:r>
      <w:rPr>
        <w:rFonts w:ascii="宋体" w:hAnsi="宋体" w:eastAsia="宋体" w:cs="宋体"/>
        <w:spacing w:val="-6"/>
        <w:sz w:val="19"/>
        <w:szCs w:val="19"/>
      </w:rPr>
      <w:t>11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42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6"/>
        <w:sz w:val="18"/>
        <w:szCs w:val="18"/>
      </w:rPr>
      <w:t>12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434"/>
      <w:rPr>
        <w:rFonts w:ascii="宋体" w:hAnsi="宋体" w:eastAsia="宋体" w:cs="宋体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289"/>
      <w:rPr>
        <w:rFonts w:ascii="宋体" w:hAnsi="宋体" w:eastAsia="宋体" w:cs="宋体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634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DE118F"/>
    <w:multiLevelType w:val="singleLevel"/>
    <w:tmpl w:val="BFDE118F"/>
    <w:lvl w:ilvl="0" w:tentative="0">
      <w:start w:val="3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C6754BC5"/>
    <w:multiLevelType w:val="singleLevel"/>
    <w:tmpl w:val="C6754BC5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jY0NTc3NmZjZDdiMWJhZWYxOTcyNDRiZmVkYzQ0ZmIifQ=="/>
  </w:docVars>
  <w:rsids>
    <w:rsidRoot w:val="00000000"/>
    <w:rsid w:val="02E1776D"/>
    <w:rsid w:val="0C7F7CA9"/>
    <w:rsid w:val="10CB1539"/>
    <w:rsid w:val="12AC208B"/>
    <w:rsid w:val="1E4B3E2D"/>
    <w:rsid w:val="1EBA49A5"/>
    <w:rsid w:val="28083CF3"/>
    <w:rsid w:val="2A000C80"/>
    <w:rsid w:val="357C181C"/>
    <w:rsid w:val="379E1D4B"/>
    <w:rsid w:val="45621B68"/>
    <w:rsid w:val="4C630F80"/>
    <w:rsid w:val="51805826"/>
    <w:rsid w:val="52682238"/>
    <w:rsid w:val="57241254"/>
    <w:rsid w:val="68991D57"/>
    <w:rsid w:val="7DA57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ind w:firstLine="420" w:firstLineChars="200"/>
    </w:pPr>
    <w:rPr>
      <w:rFonts w:ascii="Times New Roman" w:hAnsi="Times New Roman" w:eastAsia="宋体" w:cs="Times New Roman"/>
    </w:rPr>
  </w:style>
  <w:style w:type="paragraph" w:styleId="3">
    <w:name w:val="Body Text Indent"/>
    <w:basedOn w:val="1"/>
    <w:qFormat/>
    <w:uiPriority w:val="99"/>
    <w:pPr>
      <w:pBdr>
        <w:top w:val="none" w:color="auto" w:sz="0" w:space="0"/>
      </w:pBdr>
      <w:adjustRightInd/>
      <w:spacing w:line="300" w:lineRule="auto"/>
      <w:ind w:firstLine="560" w:firstLineChars="200"/>
      <w:textAlignment w:val="auto"/>
    </w:pPr>
    <w:rPr>
      <w:rFonts w:ascii="Times New Roman" w:hAnsi="Times New Roman" w:eastAsia="宋体" w:cs="Times New Roman"/>
      <w:kern w:val="2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3563</Words>
  <Characters>3891</Characters>
  <TotalTime>1</TotalTime>
  <ScaleCrop>false</ScaleCrop>
  <LinksUpToDate>false</LinksUpToDate>
  <CharactersWithSpaces>4040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2023-05-17T22:03:00Z</dcterms:created>
  <dc:creator>Kingsoft-PDF</dc:creator>
  <cp:lastModifiedBy>Administrator</cp:lastModifiedBy>
  <dcterms:modified xsi:type="dcterms:W3CDTF">2023-06-03T08:38:15Z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2023-05-17T22:03:07Z</vt:filetime>
  </property>
  <property fmtid="{D5CDD505-2E9C-101B-9397-08002B2CF9AE}" pid="4" name="UsrData">
    <vt:lpwstr>6464de8a08722f001ec8f80d</vt:lpwstr>
  </property>
  <property fmtid="{D5CDD505-2E9C-101B-9397-08002B2CF9AE}" pid="5" name="KSOProductBuildVer">
    <vt:lpwstr>2052-11.1.0.14309</vt:lpwstr>
  </property>
  <property fmtid="{D5CDD505-2E9C-101B-9397-08002B2CF9AE}" pid="6" name="ICV">
    <vt:lpwstr>FA19AC3EC51A439C8817C71AD71CF44E_12</vt:lpwstr>
  </property>
</Properties>
</file>