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6" w:line="221" w:lineRule="auto"/>
        <w:jc w:val="center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-6"/>
          <w:sz w:val="31"/>
          <w:szCs w:val="31"/>
        </w:rPr>
        <w:t>2022年度新晃县项目支出绩效自评表</w:t>
      </w:r>
    </w:p>
    <w:p>
      <w:pPr>
        <w:spacing w:before="187" w:line="221" w:lineRule="auto"/>
        <w:ind w:left="778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9"/>
          <w:sz w:val="19"/>
          <w:szCs w:val="19"/>
        </w:rPr>
        <w:t>金额单位：万元</w:t>
      </w:r>
    </w:p>
    <w:p>
      <w:pPr>
        <w:spacing w:line="113" w:lineRule="exact"/>
      </w:pPr>
    </w:p>
    <w:tbl>
      <w:tblPr>
        <w:tblStyle w:val="8"/>
        <w:tblW w:w="9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4"/>
        <w:gridCol w:w="1129"/>
        <w:gridCol w:w="1808"/>
        <w:gridCol w:w="1418"/>
        <w:gridCol w:w="1299"/>
        <w:gridCol w:w="1199"/>
        <w:gridCol w:w="839"/>
        <w:gridCol w:w="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314" w:type="dxa"/>
            <w:vAlign w:val="top"/>
          </w:tcPr>
          <w:p>
            <w:pPr>
              <w:spacing w:before="64" w:line="259" w:lineRule="auto"/>
              <w:ind w:left="244" w:righ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项目单位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名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称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spacing w:before="221" w:line="219" w:lineRule="auto"/>
              <w:ind w:right="142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(盖章)</w:t>
            </w:r>
          </w:p>
        </w:tc>
        <w:tc>
          <w:tcPr>
            <w:tcW w:w="1418" w:type="dxa"/>
            <w:vAlign w:val="top"/>
          </w:tcPr>
          <w:p>
            <w:pPr>
              <w:spacing w:before="223" w:line="220" w:lineRule="auto"/>
              <w:ind w:left="3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项目名称</w:t>
            </w:r>
          </w:p>
        </w:tc>
        <w:tc>
          <w:tcPr>
            <w:tcW w:w="419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乡镇市场监管所工作经费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80" w:line="252" w:lineRule="auto"/>
              <w:ind w:left="244" w:right="2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项</w:t>
            </w:r>
            <w:r>
              <w:rPr>
                <w:rFonts w:ascii="宋体" w:hAnsi="宋体" w:eastAsia="宋体" w:cs="宋体"/>
                <w:spacing w:val="2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29"/>
                <w:sz w:val="20"/>
                <w:szCs w:val="20"/>
              </w:rPr>
              <w:t>目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责任部门</w:t>
            </w:r>
          </w:p>
        </w:tc>
        <w:tc>
          <w:tcPr>
            <w:tcW w:w="2937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乡镇市场监督管理所</w:t>
            </w:r>
          </w:p>
        </w:tc>
        <w:tc>
          <w:tcPr>
            <w:tcW w:w="1418" w:type="dxa"/>
            <w:vAlign w:val="top"/>
          </w:tcPr>
          <w:p>
            <w:pPr>
              <w:spacing w:before="219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项目负责人</w:t>
            </w:r>
          </w:p>
        </w:tc>
        <w:tc>
          <w:tcPr>
            <w:tcW w:w="129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杨秀忠</w:t>
            </w:r>
          </w:p>
        </w:tc>
        <w:tc>
          <w:tcPr>
            <w:tcW w:w="1199" w:type="dxa"/>
            <w:vAlign w:val="top"/>
          </w:tcPr>
          <w:p>
            <w:pPr>
              <w:spacing w:before="221" w:line="221" w:lineRule="auto"/>
              <w:ind w:left="1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13874521199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314" w:type="dxa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65" w:line="318" w:lineRule="exact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position w:val="8"/>
                <w:sz w:val="20"/>
                <w:szCs w:val="20"/>
              </w:rPr>
              <w:t>项目资金</w:t>
            </w:r>
          </w:p>
          <w:p>
            <w:pPr>
              <w:spacing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基本情况</w:t>
            </w:r>
          </w:p>
        </w:tc>
        <w:tc>
          <w:tcPr>
            <w:tcW w:w="1129" w:type="dxa"/>
            <w:vAlign w:val="top"/>
          </w:tcPr>
          <w:p>
            <w:pPr>
              <w:spacing w:before="200" w:line="219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上年结转</w:t>
            </w:r>
          </w:p>
        </w:tc>
        <w:tc>
          <w:tcPr>
            <w:tcW w:w="1808" w:type="dxa"/>
            <w:vAlign w:val="top"/>
          </w:tcPr>
          <w:p>
            <w:pPr>
              <w:spacing w:before="200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年初预算安排数</w:t>
            </w:r>
          </w:p>
        </w:tc>
        <w:tc>
          <w:tcPr>
            <w:tcW w:w="1418" w:type="dxa"/>
            <w:vAlign w:val="top"/>
          </w:tcPr>
          <w:p>
            <w:pPr>
              <w:spacing w:before="200" w:line="219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预算调整数</w:t>
            </w:r>
          </w:p>
        </w:tc>
        <w:tc>
          <w:tcPr>
            <w:tcW w:w="2498" w:type="dxa"/>
            <w:gridSpan w:val="2"/>
            <w:vAlign w:val="top"/>
          </w:tcPr>
          <w:p>
            <w:pPr>
              <w:spacing w:before="200" w:line="219" w:lineRule="auto"/>
              <w:ind w:left="7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全年执行数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spacing w:before="200" w:line="219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3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0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22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498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22</w:t>
            </w:r>
          </w:p>
        </w:tc>
        <w:tc>
          <w:tcPr>
            <w:tcW w:w="1693" w:type="dxa"/>
            <w:gridSpan w:val="2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14" w:type="dxa"/>
            <w:vAlign w:val="top"/>
          </w:tcPr>
          <w:p>
            <w:pPr>
              <w:spacing w:before="258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评价内容</w:t>
            </w:r>
          </w:p>
        </w:tc>
        <w:tc>
          <w:tcPr>
            <w:tcW w:w="1129" w:type="dxa"/>
            <w:vAlign w:val="top"/>
          </w:tcPr>
          <w:p>
            <w:pPr>
              <w:spacing w:before="260" w:line="219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分值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58" w:line="218" w:lineRule="auto"/>
              <w:ind w:left="249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评价简述</w:t>
            </w:r>
          </w:p>
        </w:tc>
        <w:tc>
          <w:tcPr>
            <w:tcW w:w="839" w:type="dxa"/>
            <w:vAlign w:val="top"/>
          </w:tcPr>
          <w:p>
            <w:pPr>
              <w:spacing w:before="99" w:line="262" w:lineRule="auto"/>
              <w:ind w:left="117" w:right="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单位自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评得分</w:t>
            </w:r>
          </w:p>
        </w:tc>
        <w:tc>
          <w:tcPr>
            <w:tcW w:w="854" w:type="dxa"/>
            <w:vAlign w:val="top"/>
          </w:tcPr>
          <w:p>
            <w:pPr>
              <w:spacing w:before="99" w:line="262" w:lineRule="auto"/>
              <w:ind w:left="118" w:right="1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财政复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评得分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14" w:type="dxa"/>
            <w:vAlign w:val="top"/>
          </w:tcPr>
          <w:p>
            <w:pPr>
              <w:spacing w:before="69" w:line="255" w:lineRule="auto"/>
              <w:ind w:left="144" w:right="12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项目预算及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预期绩效目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标编制水平</w:t>
            </w:r>
          </w:p>
        </w:tc>
        <w:tc>
          <w:tcPr>
            <w:tcW w:w="1129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49" w:line="275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本项目预算编制科学、规范、合理，预期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绩效目标申报完整，产出、效果类关键性指标清晰、明确、量化，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投入与项目产出、效果目标匹配。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14" w:type="dxa"/>
            <w:vAlign w:val="top"/>
          </w:tcPr>
          <w:p>
            <w:pPr>
              <w:spacing w:before="222" w:line="219" w:lineRule="auto"/>
              <w:ind w:left="1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预算执行率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2" w:line="219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该项目预算执行率为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。根据实际情况评分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314" w:type="dxa"/>
            <w:vAlign w:val="top"/>
          </w:tcPr>
          <w:p>
            <w:pPr>
              <w:spacing w:before="72" w:line="248" w:lineRule="auto"/>
              <w:ind w:left="244" w:righ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项目组织 管理水平</w:t>
            </w:r>
          </w:p>
        </w:tc>
        <w:tc>
          <w:tcPr>
            <w:tcW w:w="1129" w:type="dxa"/>
            <w:vAlign w:val="top"/>
          </w:tcPr>
          <w:p>
            <w:pPr>
              <w:spacing w:before="272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21" w:line="228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本项目建立了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  <w:lang w:eastAsia="zh-CN"/>
              </w:rPr>
              <w:t>市场监督专项业务、五证合一商事制度改革、食用农产品抽检检测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等项目管理制度，并严格按相关制度执行。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314" w:type="dxa"/>
            <w:vAlign w:val="top"/>
          </w:tcPr>
          <w:p>
            <w:pPr>
              <w:spacing w:before="233" w:line="250" w:lineRule="auto"/>
              <w:ind w:left="244" w:right="2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资金支出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合理合规</w:t>
            </w:r>
          </w:p>
        </w:tc>
        <w:tc>
          <w:tcPr>
            <w:tcW w:w="1129" w:type="dxa"/>
            <w:vAlign w:val="top"/>
          </w:tcPr>
          <w:p>
            <w:pPr>
              <w:spacing w:line="366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73" w:line="273" w:lineRule="auto"/>
              <w:ind w:left="131"/>
              <w:jc w:val="both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本年项目支出符合国家相关法律法规、财务管理制度等规定，且均在预算范围内，无与本项目预算不相符或无关的资金支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出</w:t>
            </w:r>
            <w:r>
              <w:rPr>
                <w:rFonts w:ascii="宋体" w:hAnsi="宋体" w:eastAsia="宋体" w:cs="宋体"/>
                <w:spacing w:val="60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1314" w:type="dxa"/>
            <w:vAlign w:val="top"/>
          </w:tcPr>
          <w:p>
            <w:pPr>
              <w:spacing w:before="254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项目产出</w:t>
            </w:r>
          </w:p>
        </w:tc>
        <w:tc>
          <w:tcPr>
            <w:tcW w:w="1129" w:type="dxa"/>
            <w:vAlign w:val="top"/>
          </w:tcPr>
          <w:p>
            <w:pPr>
              <w:spacing w:before="30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30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pStyle w:val="4"/>
              <w:widowControl w:val="0"/>
              <w:spacing w:before="0" w:beforeAutospacing="0" w:after="0" w:afterAutospacing="0" w:line="520" w:lineRule="exact"/>
              <w:ind w:firstLine="480"/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共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11个乡镇基层监管所，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每个乡镇安排2万元工作经费,共计安排乡镇所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val="en-US" w:eastAsia="zh-CN"/>
              </w:rPr>
              <w:t>日常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工作经费22万元/年度</w:t>
            </w:r>
            <w:r>
              <w:rPr>
                <w:rFonts w:hint="eastAsia" w:ascii="仿宋_GB2312" w:hAnsi="仿宋_GB2312" w:eastAsia="仿宋_GB2312" w:cs="仿宋_GB2312"/>
                <w:sz w:val="18"/>
                <w:szCs w:val="18"/>
                <w:lang w:eastAsia="zh-CN"/>
              </w:rPr>
              <w:t>。</w:t>
            </w:r>
          </w:p>
          <w:p>
            <w:pPr>
              <w:spacing w:before="83" w:line="269" w:lineRule="auto"/>
              <w:ind w:left="1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30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1314" w:type="dxa"/>
            <w:vAlign w:val="top"/>
          </w:tcPr>
          <w:p>
            <w:pPr>
              <w:spacing w:before="226" w:line="253" w:lineRule="auto"/>
              <w:ind w:left="344" w:right="249" w:hanging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项目效益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(效果)</w:t>
            </w:r>
          </w:p>
        </w:tc>
        <w:tc>
          <w:tcPr>
            <w:tcW w:w="1129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spacing w:before="65" w:line="183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20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before="234" w:line="259" w:lineRule="auto"/>
              <w:ind w:left="131"/>
              <w:rPr>
                <w:rFonts w:hint="eastAsia" w:ascii="宋体" w:hAnsi="宋体" w:eastAsia="宋体" w:cs="宋体"/>
                <w:sz w:val="19"/>
                <w:szCs w:val="19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乡镇市场监督管理所市场监管效能和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市场安全工作质量与水平不断提升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  <w:lang w:eastAsia="zh-CN"/>
              </w:rPr>
              <w:t>。人民群众对食品安全的认识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不断提升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314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3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满意度</w:t>
            </w:r>
          </w:p>
        </w:tc>
        <w:tc>
          <w:tcPr>
            <w:tcW w:w="112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65" w:line="184" w:lineRule="auto"/>
              <w:ind w:left="4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spacing w:line="205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服务对象满意度计分：满意度9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%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314" w:type="dxa"/>
            <w:vAlign w:val="top"/>
          </w:tcPr>
          <w:p>
            <w:pPr>
              <w:spacing w:before="198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小计</w:t>
            </w:r>
          </w:p>
        </w:tc>
        <w:tc>
          <w:tcPr>
            <w:tcW w:w="1129" w:type="dxa"/>
            <w:vAlign w:val="top"/>
          </w:tcPr>
          <w:p>
            <w:pPr>
              <w:spacing w:before="247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1314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5" w:line="219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负向指标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724" w:type="dxa"/>
            <w:gridSpan w:val="4"/>
            <w:vAlign w:val="top"/>
          </w:tcPr>
          <w:p>
            <w:pPr>
              <w:spacing w:before="63" w:line="260" w:lineRule="auto"/>
              <w:ind w:left="131" w:right="82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主要评价自评得分与复评得分差异率。差异率≤10%,不扣分；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10%&lt;差异率≤15%,扣2分；15%&lt;差异率≤20%,扣4分；差异</w:t>
            </w:r>
            <w:r>
              <w:rPr>
                <w:rFonts w:ascii="宋体" w:hAnsi="宋体" w:eastAsia="宋体" w:cs="宋体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>率&gt;20%,扣6分。</w:t>
            </w:r>
          </w:p>
        </w:tc>
        <w:tc>
          <w:tcPr>
            <w:tcW w:w="839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314" w:type="dxa"/>
            <w:vAlign w:val="top"/>
          </w:tcPr>
          <w:p>
            <w:pPr>
              <w:spacing w:before="129" w:line="221" w:lineRule="auto"/>
              <w:ind w:left="4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129" w:type="dxa"/>
            <w:vAlign w:val="top"/>
          </w:tcPr>
          <w:p>
            <w:pPr>
              <w:spacing w:before="178" w:line="184" w:lineRule="auto"/>
              <w:ind w:left="4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100</w:t>
            </w:r>
          </w:p>
        </w:tc>
        <w:tc>
          <w:tcPr>
            <w:tcW w:w="5724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100</w:t>
            </w: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14" w:type="dxa"/>
            <w:vAlign w:val="top"/>
          </w:tcPr>
          <w:p>
            <w:pPr>
              <w:spacing w:before="236" w:line="218" w:lineRule="auto"/>
              <w:ind w:left="2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评价结果</w:t>
            </w:r>
          </w:p>
        </w:tc>
        <w:tc>
          <w:tcPr>
            <w:tcW w:w="1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26" w:type="dxa"/>
            <w:gridSpan w:val="2"/>
            <w:tcBorders>
              <w:right w:val="nil"/>
            </w:tcBorders>
            <w:vAlign w:val="top"/>
          </w:tcPr>
          <w:p>
            <w:pPr>
              <w:spacing w:before="108" w:line="219" w:lineRule="auto"/>
              <w:ind w:left="2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]优秀90分≤得分≤100分；</w:t>
            </w:r>
          </w:p>
          <w:p>
            <w:pPr>
              <w:spacing w:before="72" w:line="21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□较差60分≤得分&lt;80分；</w:t>
            </w:r>
          </w:p>
        </w:tc>
        <w:tc>
          <w:tcPr>
            <w:tcW w:w="4191" w:type="dxa"/>
            <w:gridSpan w:val="4"/>
            <w:tcBorders>
              <w:left w:val="nil"/>
            </w:tcBorders>
            <w:vAlign w:val="top"/>
          </w:tcPr>
          <w:p>
            <w:pPr>
              <w:spacing w:before="108" w:line="219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良好80分≤得分&lt;90分；</w:t>
            </w:r>
          </w:p>
          <w:p>
            <w:pPr>
              <w:spacing w:before="52" w:line="219" w:lineRule="auto"/>
              <w:ind w:left="3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□差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得分&lt;60分</w:t>
            </w:r>
          </w:p>
        </w:tc>
      </w:tr>
    </w:tbl>
    <w:p>
      <w:pPr>
        <w:spacing w:line="346" w:lineRule="auto"/>
        <w:rPr>
          <w:rFonts w:ascii="Arial"/>
          <w:sz w:val="21"/>
        </w:rPr>
      </w:pPr>
    </w:p>
    <w:p>
      <w:pPr>
        <w:spacing w:before="62" w:line="232" w:lineRule="auto"/>
        <w:ind w:left="454"/>
        <w:rPr>
          <w:rFonts w:ascii="仿宋" w:hAnsi="仿宋" w:eastAsia="仿宋" w:cs="仿宋"/>
          <w:sz w:val="19"/>
          <w:szCs w:val="19"/>
        </w:rPr>
      </w:pPr>
      <w:r>
        <w:rPr>
          <w:rFonts w:ascii="仿宋" w:hAnsi="仿宋" w:eastAsia="仿宋" w:cs="仿宋"/>
          <w:spacing w:val="11"/>
          <w:sz w:val="19"/>
          <w:szCs w:val="19"/>
        </w:rPr>
        <w:t>单位负责人(签字):</w:t>
      </w:r>
      <w:r>
        <w:rPr>
          <w:rFonts w:ascii="仿宋" w:hAnsi="仿宋" w:eastAsia="仿宋" w:cs="仿宋"/>
          <w:spacing w:val="2"/>
          <w:sz w:val="19"/>
          <w:szCs w:val="19"/>
        </w:rPr>
        <w:t xml:space="preserve">              </w:t>
      </w:r>
      <w:r>
        <w:rPr>
          <w:rFonts w:ascii="仿宋" w:hAnsi="仿宋" w:eastAsia="仿宋" w:cs="仿宋"/>
          <w:spacing w:val="11"/>
          <w:sz w:val="19"/>
          <w:szCs w:val="19"/>
        </w:rPr>
        <w:t>项目负责人(签字):</w:t>
      </w:r>
      <w:r>
        <w:rPr>
          <w:rFonts w:ascii="仿宋" w:hAnsi="仿宋" w:eastAsia="仿宋" w:cs="仿宋"/>
          <w:spacing w:val="5"/>
          <w:sz w:val="19"/>
          <w:szCs w:val="19"/>
        </w:rPr>
        <w:t xml:space="preserve">           </w:t>
      </w:r>
      <w:r>
        <w:rPr>
          <w:rFonts w:ascii="仿宋" w:hAnsi="仿宋" w:eastAsia="仿宋" w:cs="仿宋"/>
          <w:spacing w:val="11"/>
          <w:sz w:val="19"/>
          <w:szCs w:val="19"/>
        </w:rPr>
        <w:t>填表日期：年</w:t>
      </w:r>
      <w:r>
        <w:rPr>
          <w:rFonts w:ascii="仿宋" w:hAnsi="仿宋" w:eastAsia="仿宋" w:cs="仿宋"/>
          <w:spacing w:val="10"/>
          <w:sz w:val="19"/>
          <w:szCs w:val="19"/>
        </w:rPr>
        <w:t xml:space="preserve">        </w:t>
      </w:r>
      <w:r>
        <w:rPr>
          <w:rFonts w:ascii="仿宋" w:hAnsi="仿宋" w:eastAsia="仿宋" w:cs="仿宋"/>
          <w:spacing w:val="11"/>
          <w:sz w:val="19"/>
          <w:szCs w:val="19"/>
        </w:rPr>
        <w:t>月</w:t>
      </w:r>
      <w:r>
        <w:rPr>
          <w:rFonts w:ascii="仿宋" w:hAnsi="仿宋" w:eastAsia="仿宋" w:cs="仿宋"/>
          <w:spacing w:val="26"/>
          <w:sz w:val="19"/>
          <w:szCs w:val="19"/>
        </w:rPr>
        <w:t xml:space="preserve">  </w:t>
      </w:r>
      <w:r>
        <w:rPr>
          <w:rFonts w:ascii="仿宋" w:hAnsi="仿宋" w:eastAsia="仿宋" w:cs="仿宋"/>
          <w:spacing w:val="11"/>
          <w:sz w:val="19"/>
          <w:szCs w:val="19"/>
        </w:rPr>
        <w:t>日</w:t>
      </w:r>
    </w:p>
    <w:p>
      <w:pPr>
        <w:sectPr>
          <w:footerReference r:id="rId5" w:type="default"/>
          <w:pgSz w:w="11910" w:h="16840"/>
          <w:pgMar w:top="1431" w:right="954" w:bottom="1153" w:left="1085" w:header="0" w:footer="964" w:gutter="0"/>
          <w:cols w:space="720" w:num="1"/>
        </w:sectPr>
      </w:pPr>
    </w:p>
    <w:p>
      <w:pPr>
        <w:spacing w:before="68" w:line="222" w:lineRule="auto"/>
        <w:ind w:left="13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5"/>
          <w:sz w:val="33"/>
          <w:szCs w:val="33"/>
        </w:rPr>
        <w:t>附件2-2</w:t>
      </w:r>
    </w:p>
    <w:p>
      <w:pPr>
        <w:spacing w:before="335" w:line="219" w:lineRule="auto"/>
        <w:ind w:left="173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4"/>
          <w:sz w:val="33"/>
          <w:szCs w:val="33"/>
        </w:rPr>
        <w:t>2022年度新晃县项目绩效自评计分标准</w:t>
      </w:r>
    </w:p>
    <w:p>
      <w:pPr>
        <w:spacing w:line="64" w:lineRule="exact"/>
      </w:pPr>
    </w:p>
    <w:tbl>
      <w:tblPr>
        <w:tblStyle w:val="8"/>
        <w:tblW w:w="89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4"/>
        <w:gridCol w:w="70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334" w:type="dxa"/>
            <w:vAlign w:val="top"/>
          </w:tcPr>
          <w:p>
            <w:pPr>
              <w:spacing w:before="23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09" w:type="dxa"/>
            <w:vAlign w:val="top"/>
          </w:tcPr>
          <w:p>
            <w:pPr>
              <w:spacing w:before="241" w:line="219" w:lineRule="auto"/>
              <w:ind w:left="1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41" w:line="220" w:lineRule="auto"/>
              <w:ind w:left="25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3" w:hRule="atLeast"/>
        </w:trPr>
        <w:tc>
          <w:tcPr>
            <w:tcW w:w="13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项目预算</w:t>
            </w:r>
          </w:p>
          <w:p>
            <w:pPr>
              <w:spacing w:before="47" w:line="220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及预期绩</w:t>
            </w:r>
          </w:p>
          <w:p>
            <w:pPr>
              <w:spacing w:before="95" w:line="219" w:lineRule="auto"/>
              <w:ind w:left="1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效目标编</w:t>
            </w:r>
          </w:p>
          <w:p>
            <w:pPr>
              <w:spacing w:before="57"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制水平</w:t>
            </w:r>
          </w:p>
        </w:tc>
        <w:tc>
          <w:tcPr>
            <w:tcW w:w="70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191" w:line="345" w:lineRule="auto"/>
              <w:ind w:left="132" w:right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1、项目预算(即投入目标)的科学、合理性，5分。项目预算编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制存在下列问题的，各扣1分，扣完为止：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(1)项目设置与部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23"/>
                <w:szCs w:val="23"/>
              </w:rPr>
              <w:t>门(单位)履职无关或与部门(单位)职能衔接不</w:t>
            </w:r>
            <w:r>
              <w:rPr>
                <w:rFonts w:ascii="宋体" w:hAnsi="宋体" w:eastAsia="宋体" w:cs="宋体"/>
                <w:spacing w:val="24"/>
                <w:sz w:val="23"/>
                <w:szCs w:val="23"/>
              </w:rPr>
              <w:t>够，与其他项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目存在重叠交叉；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(2)将由非本级政府(财政)承担的事项列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入本级项目支出责任范围；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(3)项目支出事项测算没有具体的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数量、规格、型号或人数、天数等基本信息；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(4)项目支出事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项测算与市场价格相差很远，或没有体现厉行节约原则；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(5)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将未经政府批准，或未受委托履行政府职能的中介机构、协会、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学会等非预算单位的经费补助编入项目预算；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(6)将接待经费、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未经批准的临时人员工资或没有依据的津补贴、奖金、福利等编</w:t>
            </w:r>
          </w:p>
          <w:p>
            <w:pPr>
              <w:spacing w:line="218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入项目预算；(7)将没有具体内容的"其他”、"不可预见费"和"机</w:t>
            </w:r>
          </w:p>
          <w:p>
            <w:pPr>
              <w:spacing w:before="17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动经费"等编入项目预算。</w:t>
            </w:r>
          </w:p>
          <w:p>
            <w:pPr>
              <w:spacing w:before="127" w:line="353" w:lineRule="auto"/>
              <w:ind w:left="132" w:right="7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2、项目预期绩效目标的完整性、相关性，3分。申报的产出或效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果类绩效目标没有设定相关联的绩效指标，各扣0.8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分；设置的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产出或效果类关键性指标可以量化而没有量化的，各扣0.7分；</w:t>
            </w:r>
          </w:p>
          <w:p>
            <w:pPr>
              <w:spacing w:before="12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没有申报项目预期绩效目标的，不得分。</w:t>
            </w:r>
          </w:p>
          <w:p>
            <w:pPr>
              <w:spacing w:before="168" w:line="343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3、项目预算(投入目标)与项目产出、效果目标的匹配性，2分。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在既定资金规模下，项目产出、效果目标过高或过低；或者要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完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成既定项目产出、效果目标，资金规模过大或过小的，不得分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；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没有申报绩效目标，无法判定项目投入目标与产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出、效果目标的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匹配性的，不得分。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334" w:type="dxa"/>
            <w:vAlign w:val="top"/>
          </w:tcPr>
          <w:p>
            <w:pPr>
              <w:spacing w:before="147" w:line="340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position w:val="7"/>
                <w:sz w:val="23"/>
                <w:szCs w:val="23"/>
              </w:rPr>
              <w:t>预算</w:t>
            </w:r>
          </w:p>
          <w:p>
            <w:pPr>
              <w:spacing w:line="219" w:lineRule="auto"/>
              <w:ind w:left="31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执行率</w:t>
            </w:r>
          </w:p>
        </w:tc>
        <w:tc>
          <w:tcPr>
            <w:tcW w:w="70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5" w:line="216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>预算执行率S≥95%,得满分；每下降1%,扣0.25分，扣完为止。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334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spacing w:before="74" w:line="230" w:lineRule="auto"/>
              <w:ind w:left="194" w:right="19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项目组织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管理水平</w:t>
            </w:r>
          </w:p>
        </w:tc>
        <w:tc>
          <w:tcPr>
            <w:tcW w:w="70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74" w:line="184" w:lineRule="auto"/>
              <w:ind w:left="2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18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1、建立健全项目管理制度，得4分。</w:t>
            </w:r>
          </w:p>
          <w:p>
            <w:pPr>
              <w:spacing w:before="175" w:line="286" w:lineRule="auto"/>
              <w:ind w:left="132" w:right="5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2、严格执行项目管理制度，得6分。其中，购买商品、工程和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服务不依法政府采购或工程项目不按规定招投标的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，不得分。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10" w:h="16840"/>
          <w:pgMar w:top="1408" w:right="1524" w:bottom="1126" w:left="1415" w:header="0" w:footer="947" w:gutter="0"/>
          <w:cols w:space="720" w:num="1"/>
        </w:sectPr>
      </w:pPr>
    </w:p>
    <w:p>
      <w:pPr>
        <w:spacing w:line="141" w:lineRule="auto"/>
        <w:rPr>
          <w:rFonts w:ascii="Arial"/>
          <w:sz w:val="2"/>
        </w:rPr>
      </w:pPr>
    </w:p>
    <w:tbl>
      <w:tblPr>
        <w:tblStyle w:val="8"/>
        <w:tblW w:w="89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4"/>
        <w:gridCol w:w="739"/>
        <w:gridCol w:w="6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324" w:type="dxa"/>
            <w:vAlign w:val="top"/>
          </w:tcPr>
          <w:p>
            <w:pPr>
              <w:spacing w:before="229" w:line="218" w:lineRule="auto"/>
              <w:ind w:left="1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评价内容</w:t>
            </w:r>
          </w:p>
        </w:tc>
        <w:tc>
          <w:tcPr>
            <w:tcW w:w="739" w:type="dxa"/>
            <w:vAlign w:val="top"/>
          </w:tcPr>
          <w:p>
            <w:pPr>
              <w:spacing w:before="231" w:line="219" w:lineRule="auto"/>
              <w:ind w:left="8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分值</w:t>
            </w:r>
          </w:p>
        </w:tc>
        <w:tc>
          <w:tcPr>
            <w:tcW w:w="6917" w:type="dxa"/>
            <w:vAlign w:val="top"/>
          </w:tcPr>
          <w:p>
            <w:pPr>
              <w:spacing w:before="231" w:line="220" w:lineRule="auto"/>
              <w:ind w:left="2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评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分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标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b/>
                <w:bCs/>
                <w:spacing w:val="-10"/>
                <w:sz w:val="23"/>
                <w:szCs w:val="23"/>
              </w:rPr>
              <w:t>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6" w:hRule="atLeast"/>
        </w:trPr>
        <w:tc>
          <w:tcPr>
            <w:tcW w:w="1324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94" w:right="17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资金支出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合理合规</w:t>
            </w:r>
          </w:p>
        </w:tc>
        <w:tc>
          <w:tcPr>
            <w:tcW w:w="73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89" w:line="481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position w:val="19"/>
                <w:sz w:val="23"/>
                <w:szCs w:val="23"/>
              </w:rPr>
              <w:t>资金支出合理合规比率=(项目资金支出-不合理合规资金支出)/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项目资金支出×100%。</w:t>
            </w:r>
          </w:p>
          <w:p>
            <w:pPr>
              <w:spacing w:before="162" w:line="368" w:lineRule="auto"/>
              <w:ind w:left="132" w:right="65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不合理合规资金支出是指项目资金支出超出项目预算范围，与本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项目预算不相符、无关或不符合国家财经法规和财务管理制度以</w:t>
            </w: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及专项资金管理办法等规定的支出，如以虚报、冒领等手段骗取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财政资金；截留、挪用财政资金；滞留应当下拨的财政资金；违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反规定扩大开支范围，提高开支标准；违规发放津贴补贴；白条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8"/>
                <w:sz w:val="23"/>
                <w:szCs w:val="23"/>
              </w:rPr>
              <w:t>入账等。</w:t>
            </w:r>
          </w:p>
          <w:p>
            <w:pPr>
              <w:spacing w:before="203" w:line="453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position w:val="17"/>
                <w:sz w:val="23"/>
                <w:szCs w:val="23"/>
              </w:rPr>
              <w:t>资金支出合理合规比率S=100%,得满分；每下降1%,扣1分，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>扣完为止。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324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75" w:line="349" w:lineRule="exact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项</w:t>
            </w:r>
            <w:r>
              <w:rPr>
                <w:rFonts w:ascii="宋体" w:hAnsi="宋体" w:eastAsia="宋体" w:cs="宋体"/>
                <w:spacing w:val="-6"/>
                <w:position w:val="8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position w:val="8"/>
                <w:sz w:val="23"/>
                <w:szCs w:val="23"/>
              </w:rPr>
              <w:t>目</w:t>
            </w:r>
          </w:p>
          <w:p>
            <w:pPr>
              <w:spacing w:line="219" w:lineRule="auto"/>
              <w:ind w:left="4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产出</w:t>
            </w:r>
          </w:p>
        </w:tc>
        <w:tc>
          <w:tcPr>
            <w:tcW w:w="73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30</w:t>
            </w:r>
          </w:p>
        </w:tc>
        <w:tc>
          <w:tcPr>
            <w:tcW w:w="6917" w:type="dxa"/>
            <w:vAlign w:val="top"/>
          </w:tcPr>
          <w:p>
            <w:pPr>
              <w:spacing w:before="269" w:line="372" w:lineRule="auto"/>
              <w:ind w:left="112" w:right="84" w:firstLine="2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要求根据项目性质和项目预期绩效目标(产出类目标)</w:t>
            </w:r>
            <w:r>
              <w:rPr>
                <w:rFonts w:ascii="宋体" w:hAnsi="宋体" w:eastAsia="宋体" w:cs="宋体"/>
                <w:spacing w:val="19"/>
                <w:sz w:val="23"/>
                <w:szCs w:val="23"/>
              </w:rPr>
              <w:t>,细化为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产出数量、产出质量、产出时效、成本控制等方面进行评价。具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体指标可量化的，按完成量化比例计分；具体指标不可量化的，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按工作完成程度定性分成：完成、基本完成、基本未完成、未执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行四档，分别按100%、90%-60%、50%-</w:t>
            </w:r>
            <w:r>
              <w:rPr>
                <w:rFonts w:ascii="宋体" w:hAnsi="宋体" w:eastAsia="宋体" w:cs="宋体"/>
                <w:spacing w:val="-59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</w:t>
            </w:r>
            <w:r>
              <w:rPr>
                <w:rFonts w:ascii="宋体" w:hAnsi="宋体" w:eastAsia="宋体" w:cs="宋体"/>
                <w:spacing w:val="26"/>
                <w:sz w:val="23"/>
                <w:szCs w:val="23"/>
              </w:rPr>
              <w:t>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8" w:hRule="atLeast"/>
        </w:trPr>
        <w:tc>
          <w:tcPr>
            <w:tcW w:w="1324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5" w:line="246" w:lineRule="auto"/>
              <w:ind w:left="304" w:right="18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项目效益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(效果)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74" w:line="183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20</w:t>
            </w:r>
          </w:p>
        </w:tc>
        <w:tc>
          <w:tcPr>
            <w:tcW w:w="6917" w:type="dxa"/>
            <w:vAlign w:val="top"/>
          </w:tcPr>
          <w:p>
            <w:pPr>
              <w:spacing w:before="228" w:line="372" w:lineRule="auto"/>
              <w:ind w:left="132" w:right="6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要求根据项目性质和项目预期绩效目标(效益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或效果类目标),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细化为经济效益、社会效益、环境效益和可持续影响及服务对象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满意度等具体绩效指标进行评价。具体指标可量化的，按取得效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益或效果的量化比例计分；不可量化的，按目标达到程度分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成：</w:t>
            </w:r>
            <w:r>
              <w:rPr>
                <w:rFonts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达到、基本达到、基本未达到、未达到四档，分别按100%、90%</w:t>
            </w:r>
          </w:p>
          <w:p>
            <w:pPr>
              <w:spacing w:line="220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-60%、50%-</w:t>
            </w:r>
            <w:r>
              <w:rPr>
                <w:rFonts w:ascii="宋体" w:hAnsi="宋体" w:eastAsia="宋体" w:cs="宋体"/>
                <w:spacing w:val="-5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>10%、0%计分。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3" w:hRule="atLeast"/>
        </w:trPr>
        <w:tc>
          <w:tcPr>
            <w:tcW w:w="1324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75" w:line="242" w:lineRule="auto"/>
              <w:ind w:left="304" w:right="208" w:hanging="11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服务对象</w:t>
            </w: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满意度</w:t>
            </w:r>
          </w:p>
        </w:tc>
        <w:tc>
          <w:tcPr>
            <w:tcW w:w="73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75" w:line="184" w:lineRule="auto"/>
              <w:ind w:left="31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10</w:t>
            </w:r>
          </w:p>
        </w:tc>
        <w:tc>
          <w:tcPr>
            <w:tcW w:w="6917" w:type="dxa"/>
            <w:vAlign w:val="top"/>
          </w:tcPr>
          <w:p>
            <w:pPr>
              <w:spacing w:before="24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服务对象满意度计分：</w:t>
            </w:r>
          </w:p>
          <w:p>
            <w:pPr>
              <w:spacing w:before="36" w:line="37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9"/>
                <w:position w:val="10"/>
                <w:sz w:val="23"/>
                <w:szCs w:val="23"/>
              </w:rPr>
              <w:t>90%≤满意度≤100%记10分，</w:t>
            </w:r>
          </w:p>
          <w:p>
            <w:pPr>
              <w:spacing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>80%≤满意度&lt;90%记8分，</w:t>
            </w:r>
          </w:p>
          <w:p>
            <w:pPr>
              <w:spacing w:before="37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70%≤满意度&lt;80%</w:t>
            </w:r>
            <w:r>
              <w:rPr>
                <w:rFonts w:ascii="宋体" w:hAnsi="宋体" w:eastAsia="宋体" w:cs="宋体"/>
                <w:spacing w:val="49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记6分，</w:t>
            </w:r>
          </w:p>
          <w:p>
            <w:pPr>
              <w:spacing w:before="96" w:line="350" w:lineRule="exact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0"/>
                <w:position w:val="8"/>
                <w:sz w:val="23"/>
                <w:szCs w:val="23"/>
              </w:rPr>
              <w:t>60%≤满意度&lt;70%记4分，</w:t>
            </w:r>
          </w:p>
          <w:p>
            <w:pPr>
              <w:spacing w:before="1" w:line="219" w:lineRule="auto"/>
              <w:ind w:left="13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8"/>
                <w:sz w:val="23"/>
                <w:szCs w:val="23"/>
              </w:rPr>
              <w:t>满意度&lt;60%记0分。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0" w:h="16840"/>
          <w:pgMar w:top="1431" w:right="1514" w:bottom="1126" w:left="1405" w:header="0" w:footer="947" w:gutter="0"/>
          <w:cols w:space="720" w:num="1"/>
        </w:sectPr>
      </w:pPr>
    </w:p>
    <w:p>
      <w:pPr>
        <w:spacing w:before="224" w:line="222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1"/>
          <w:sz w:val="31"/>
          <w:szCs w:val="31"/>
        </w:rPr>
        <w:t>附件2-3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市场监督管理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局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22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年项目</w:t>
      </w:r>
      <w:r>
        <w:rPr>
          <w:rFonts w:hint="eastAsia" w:hAnsi="方正粗宋简体" w:eastAsia="方正粗宋简体"/>
          <w:w w:val="85"/>
          <w:kern w:val="0"/>
          <w:sz w:val="44"/>
          <w:szCs w:val="44"/>
          <w:lang w:eastAsia="zh-CN"/>
        </w:rPr>
        <w:t>支出绩效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自评报告</w:t>
      </w:r>
    </w:p>
    <w:p>
      <w:pPr>
        <w:ind w:firstLine="1920" w:firstLineChars="6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乡镇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市场监管</w:t>
      </w:r>
      <w:r>
        <w:rPr>
          <w:rFonts w:hint="eastAsia" w:ascii="仿宋_GB2312" w:hAnsi="仿宋_GB2312" w:eastAsia="仿宋_GB2312" w:cs="仿宋_GB2312"/>
          <w:sz w:val="30"/>
          <w:szCs w:val="30"/>
        </w:rPr>
        <w:t>所工作经费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before="244" w:line="222" w:lineRule="auto"/>
        <w:ind w:left="3710"/>
        <w:rPr>
          <w:rFonts w:ascii="仿宋" w:hAnsi="仿宋" w:eastAsia="仿宋" w:cs="仿宋"/>
          <w:sz w:val="31"/>
          <w:szCs w:val="3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1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一、基本情况</w:t>
      </w:r>
    </w:p>
    <w:p>
      <w:pPr>
        <w:spacing w:before="181" w:line="560" w:lineRule="exact"/>
        <w:ind w:left="760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1"/>
          <w:position w:val="18"/>
          <w:sz w:val="31"/>
          <w:szCs w:val="31"/>
        </w:rPr>
        <w:t>(一)项目概况。包括项目背景、主要内容及实施情况、资</w:t>
      </w:r>
    </w:p>
    <w:p>
      <w:pPr>
        <w:numPr>
          <w:ilvl w:val="0"/>
          <w:numId w:val="0"/>
        </w:numPr>
        <w:ind w:firstLine="620" w:firstLineChars="200"/>
        <w:rPr>
          <w:rFonts w:hint="eastAsia"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z w:val="31"/>
          <w:szCs w:val="31"/>
        </w:rPr>
        <w:t>金投入和使用情况等。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为了</w:t>
      </w:r>
      <w:r>
        <w:rPr>
          <w:rFonts w:hint="eastAsia" w:ascii="仿宋" w:hAnsi="仿宋" w:eastAsia="仿宋" w:cs="仿宋"/>
          <w:sz w:val="32"/>
          <w:szCs w:val="32"/>
        </w:rPr>
        <w:t>改善落后乡村食品安全法律意识薄弱状况，增强基层所市场主体监管能力，切实履行市场监督管理职责。根据县人民政府常务会议纪要第四期(2016年6月8日)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会议决定，</w:t>
      </w:r>
      <w:r>
        <w:rPr>
          <w:rFonts w:hint="eastAsia" w:ascii="仿宋" w:hAnsi="仿宋" w:eastAsia="仿宋" w:cs="仿宋"/>
          <w:sz w:val="32"/>
          <w:szCs w:val="32"/>
        </w:rPr>
        <w:t>按每乡镇2人的标准配齐基层站所人员,11个乡镇所,每个乡镇安排2万元工作经费,共计安排乡镇所工作经费22万元/年度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纳入财政预算。</w:t>
      </w:r>
    </w:p>
    <w:p>
      <w:pPr>
        <w:numPr>
          <w:ilvl w:val="0"/>
          <w:numId w:val="1"/>
        </w:numPr>
        <w:spacing w:before="184" w:line="218" w:lineRule="auto"/>
        <w:ind w:left="630"/>
        <w:rPr>
          <w:rFonts w:ascii="仿宋" w:hAnsi="仿宋" w:eastAsia="仿宋" w:cs="仿宋"/>
          <w:spacing w:val="14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项目绩效目标。包括总体目标和阶段性目标。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4" w:line="360" w:lineRule="auto"/>
        <w:ind w:firstLine="640" w:firstLineChars="200"/>
        <w:textAlignment w:val="baseline"/>
        <w:rPr>
          <w:rFonts w:ascii="仿宋" w:hAnsi="仿宋" w:eastAsia="仿宋" w:cs="仿宋"/>
          <w:spacing w:val="14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改善落后乡村食品安全法律意识薄弱状况，增强基层所市场主体监管能力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11个乡镇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市场监管</w:t>
      </w:r>
      <w:r>
        <w:rPr>
          <w:rFonts w:hint="eastAsia" w:ascii="仿宋_GB2312" w:hAnsi="仿宋_GB2312" w:eastAsia="仿宋_GB2312" w:cs="仿宋_GB2312"/>
          <w:sz w:val="32"/>
          <w:szCs w:val="32"/>
        </w:rPr>
        <w:t>所,每个乡镇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安排2万元工作经费,共计安排乡镇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市场监管</w:t>
      </w:r>
      <w:r>
        <w:rPr>
          <w:rFonts w:hint="eastAsia" w:ascii="仿宋_GB2312" w:hAnsi="仿宋_GB2312" w:eastAsia="仿宋_GB2312" w:cs="仿宋_GB2312"/>
          <w:sz w:val="32"/>
          <w:szCs w:val="32"/>
        </w:rPr>
        <w:t>所工作经费22万元/年度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before="184" w:line="218" w:lineRule="auto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二、</w:t>
      </w:r>
      <w:r>
        <w:rPr>
          <w:rFonts w:ascii="宋体" w:hAnsi="宋体" w:eastAsia="宋体" w:cs="宋体"/>
          <w:spacing w:val="-5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1"/>
          <w:sz w:val="31"/>
          <w:szCs w:val="31"/>
        </w:rPr>
        <w:t>绩效评价工作开展情况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684" w:firstLineChars="200"/>
        <w:jc w:val="both"/>
        <w:textAlignment w:val="baseline"/>
        <w:rPr>
          <w:rFonts w:ascii="仿宋" w:hAnsi="仿宋" w:eastAsia="仿宋" w:cs="仿宋"/>
          <w:spacing w:val="16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(一)绩效评价目的、对象和范围。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360" w:lineRule="auto"/>
        <w:ind w:firstLine="704" w:firstLineChars="200"/>
        <w:jc w:val="both"/>
        <w:textAlignment w:val="baseline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16"/>
          <w:sz w:val="32"/>
          <w:szCs w:val="32"/>
        </w:rPr>
        <w:t>绩效评价目的是为进一步规范专项资金管理，强化绩效和责任意识，切实提高专项资金使用效益。评价对象为</w:t>
      </w:r>
      <w:r>
        <w:rPr>
          <w:rFonts w:hint="eastAsia" w:ascii="仿宋_GB2312" w:hAnsi="仿宋_GB2312" w:eastAsia="仿宋_GB2312" w:cs="仿宋_GB2312"/>
          <w:sz w:val="30"/>
          <w:szCs w:val="30"/>
        </w:rPr>
        <w:t>乡镇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市场监管</w:t>
      </w:r>
      <w:r>
        <w:rPr>
          <w:rFonts w:hint="eastAsia" w:ascii="仿宋_GB2312" w:hAnsi="仿宋_GB2312" w:eastAsia="仿宋_GB2312" w:cs="仿宋_GB2312"/>
          <w:sz w:val="30"/>
          <w:szCs w:val="30"/>
        </w:rPr>
        <w:t>所</w:t>
      </w:r>
      <w:r>
        <w:rPr>
          <w:rFonts w:hint="eastAsia" w:ascii="仿宋" w:hAnsi="仿宋" w:eastAsia="仿宋" w:cs="仿宋"/>
          <w:sz w:val="32"/>
          <w:szCs w:val="32"/>
        </w:rPr>
        <w:t>专项经费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项目。评价范围包括2022年度</w:t>
      </w:r>
      <w:r>
        <w:rPr>
          <w:rFonts w:hint="eastAsia" w:ascii="仿宋_GB2312" w:hAnsi="仿宋_GB2312" w:eastAsia="仿宋_GB2312" w:cs="仿宋_GB2312"/>
          <w:sz w:val="30"/>
          <w:szCs w:val="30"/>
        </w:rPr>
        <w:t>乡镇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市场监管</w:t>
      </w:r>
      <w:r>
        <w:rPr>
          <w:rFonts w:hint="eastAsia" w:ascii="仿宋_GB2312" w:hAnsi="仿宋_GB2312" w:eastAsia="仿宋_GB2312" w:cs="仿宋_GB2312"/>
          <w:sz w:val="30"/>
          <w:szCs w:val="30"/>
        </w:rPr>
        <w:t>所</w:t>
      </w:r>
      <w:r>
        <w:rPr>
          <w:rFonts w:hint="eastAsia" w:ascii="仿宋" w:hAnsi="仿宋" w:eastAsia="仿宋" w:cs="仿宋"/>
          <w:sz w:val="32"/>
          <w:szCs w:val="32"/>
        </w:rPr>
        <w:t>专项经费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pacing w:val="16"/>
          <w:sz w:val="32"/>
          <w:szCs w:val="32"/>
        </w:rPr>
        <w:t>。</w:t>
      </w:r>
    </w:p>
    <w:p>
      <w:pPr>
        <w:spacing w:before="177" w:line="222" w:lineRule="auto"/>
        <w:ind w:left="7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(二)绩效评价原则、评价指标体系(附表说明)、评价方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7" w:line="360" w:lineRule="auto"/>
        <w:ind w:firstLine="624" w:firstLineChars="200"/>
        <w:textAlignment w:val="baseline"/>
        <w:rPr>
          <w:rFonts w:ascii="仿宋" w:hAnsi="仿宋" w:eastAsia="仿宋" w:cs="仿宋"/>
          <w:spacing w:val="1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法、评价标准等。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7" w:line="360" w:lineRule="auto"/>
        <w:ind w:firstLine="644" w:firstLineChars="20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numPr>
          <w:ilvl w:val="0"/>
          <w:numId w:val="1"/>
        </w:numPr>
        <w:spacing w:before="173" w:line="220" w:lineRule="auto"/>
        <w:ind w:left="630" w:leftChars="0" w:firstLine="0" w:firstLineChars="0"/>
        <w:rPr>
          <w:rFonts w:ascii="仿宋" w:hAnsi="仿宋" w:eastAsia="仿宋" w:cs="仿宋"/>
          <w:spacing w:val="18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绩效评价工作过程。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12" w:firstLineChars="200"/>
        <w:jc w:val="both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8"/>
          <w:sz w:val="32"/>
          <w:szCs w:val="32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</w:t>
      </w:r>
      <w:r>
        <w:rPr>
          <w:rFonts w:hint="eastAsia" w:ascii="仿宋_GB2312" w:hAnsi="仿宋_GB2312" w:eastAsia="仿宋_GB2312" w:cs="仿宋_GB2312"/>
          <w:sz w:val="30"/>
          <w:szCs w:val="30"/>
        </w:rPr>
        <w:t>乡镇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市场监管</w:t>
      </w:r>
      <w:r>
        <w:rPr>
          <w:rFonts w:hint="eastAsia" w:ascii="仿宋_GB2312" w:hAnsi="仿宋_GB2312" w:eastAsia="仿宋_GB2312" w:cs="仿宋_GB2312"/>
          <w:sz w:val="30"/>
          <w:szCs w:val="30"/>
        </w:rPr>
        <w:t>所工作经费</w:t>
      </w:r>
      <w:r>
        <w:rPr>
          <w:rFonts w:hint="eastAsia" w:ascii="仿宋" w:hAnsi="仿宋" w:eastAsia="仿宋" w:cs="仿宋"/>
          <w:sz w:val="32"/>
          <w:szCs w:val="32"/>
        </w:rPr>
        <w:t>专项经费</w:t>
      </w:r>
      <w:r>
        <w:rPr>
          <w:rFonts w:hint="eastAsia" w:ascii="仿宋" w:hAnsi="仿宋" w:eastAsia="仿宋" w:cs="仿宋"/>
          <w:spacing w:val="18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>
      <w:pPr>
        <w:numPr>
          <w:ilvl w:val="0"/>
          <w:numId w:val="2"/>
        </w:numPr>
        <w:spacing w:before="204" w:line="218" w:lineRule="auto"/>
        <w:ind w:left="630"/>
        <w:rPr>
          <w:rFonts w:ascii="宋体" w:hAnsi="宋体" w:eastAsia="宋体" w:cs="宋体"/>
          <w:spacing w:val="14"/>
          <w:sz w:val="31"/>
          <w:szCs w:val="31"/>
        </w:rPr>
      </w:pPr>
      <w:r>
        <w:rPr>
          <w:rFonts w:ascii="宋体" w:hAnsi="宋体" w:eastAsia="宋体" w:cs="宋体"/>
          <w:spacing w:val="14"/>
          <w:sz w:val="31"/>
          <w:szCs w:val="31"/>
        </w:rPr>
        <w:t>综合评价情况及评价结论(附相关评分表)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4" w:line="360" w:lineRule="auto"/>
        <w:ind w:firstLine="1044" w:firstLineChars="300"/>
        <w:textAlignment w:val="baseline"/>
        <w:rPr>
          <w:rFonts w:ascii="宋体" w:hAnsi="宋体" w:eastAsia="宋体" w:cs="宋体"/>
          <w:spacing w:val="14"/>
          <w:sz w:val="31"/>
          <w:szCs w:val="31"/>
        </w:rPr>
      </w:pPr>
      <w:r>
        <w:rPr>
          <w:rFonts w:hint="eastAsia" w:ascii="仿宋" w:hAnsi="仿宋" w:eastAsia="仿宋" w:cs="仿宋"/>
          <w:spacing w:val="14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 w:cs="仿宋"/>
          <w:spacing w:val="1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pacing w:val="14"/>
          <w:sz w:val="32"/>
          <w:szCs w:val="32"/>
        </w:rPr>
        <w:t>分，绩效评价等级为“优”。</w:t>
      </w:r>
    </w:p>
    <w:p>
      <w:pPr>
        <w:numPr>
          <w:ilvl w:val="0"/>
          <w:numId w:val="2"/>
        </w:numPr>
        <w:spacing w:before="187" w:line="222" w:lineRule="auto"/>
        <w:ind w:left="630" w:leftChars="0" w:firstLine="0" w:firstLineChars="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ascii="宋体" w:hAnsi="宋体" w:eastAsia="宋体" w:cs="宋体"/>
          <w:spacing w:val="-1"/>
          <w:sz w:val="31"/>
          <w:szCs w:val="31"/>
        </w:rPr>
        <w:t>绩效评价指标分析</w:t>
      </w:r>
      <w:r>
        <w:rPr>
          <w:rFonts w:ascii="宋体" w:hAnsi="宋体" w:eastAsia="宋体" w:cs="宋体"/>
          <w:sz w:val="31"/>
          <w:szCs w:val="31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7" w:line="360" w:lineRule="auto"/>
        <w:ind w:left="629" w:leftChars="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(一)项目决策情况。</w:t>
      </w:r>
      <w:r>
        <w:rPr>
          <w:rFonts w:hint="eastAsia" w:ascii="仿宋" w:hAnsi="仿宋" w:eastAsia="仿宋" w:cs="仿宋"/>
          <w:sz w:val="32"/>
          <w:szCs w:val="32"/>
        </w:rPr>
        <w:t>根据县人民政府常务会议纪要第四期(2016年6月8日)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会议通过决定纳入财政预算。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before="187" w:line="360" w:lineRule="auto"/>
        <w:ind w:firstLine="72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(二)项目过程情况。</w:t>
      </w:r>
      <w:bookmarkStart w:id="0" w:name="_GoBack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根据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晃财预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[2022]1号《新晃侗族自治县财政局关于下达2022年度部门预算的通知》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文件执行。</w:t>
      </w:r>
      <w:bookmarkEnd w:id="0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核拨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乡镇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市场监管</w:t>
      </w:r>
      <w:r>
        <w:rPr>
          <w:rFonts w:hint="eastAsia" w:ascii="仿宋" w:hAnsi="仿宋" w:eastAsia="仿宋" w:cs="仿宋"/>
          <w:sz w:val="32"/>
          <w:szCs w:val="32"/>
        </w:rPr>
        <w:t>所工作经费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600" w:lineRule="exact"/>
        <w:ind w:firstLine="720" w:firstLineChars="200"/>
        <w:textAlignment w:val="auto"/>
        <w:rPr>
          <w:rFonts w:hint="eastAsia" w:ascii="仿宋" w:hAnsi="仿宋" w:eastAsia="仿宋_GB2312" w:cs="仿宋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20"/>
          <w:sz w:val="32"/>
          <w:szCs w:val="32"/>
        </w:rPr>
        <w:t>(三)项目产出情况。</w:t>
      </w:r>
      <w:r>
        <w:rPr>
          <w:rFonts w:hint="eastAsia" w:ascii="仿宋" w:hAnsi="仿宋" w:eastAsia="仿宋" w:cs="仿宋"/>
          <w:sz w:val="32"/>
          <w:szCs w:val="32"/>
        </w:rPr>
        <w:t>11个乡镇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市场监管</w:t>
      </w:r>
      <w:r>
        <w:rPr>
          <w:rFonts w:hint="eastAsia" w:ascii="仿宋" w:hAnsi="仿宋" w:eastAsia="仿宋" w:cs="仿宋"/>
          <w:sz w:val="32"/>
          <w:szCs w:val="32"/>
        </w:rPr>
        <w:t>所,每个乡镇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</w:t>
      </w:r>
      <w:r>
        <w:rPr>
          <w:rFonts w:hint="eastAsia" w:ascii="仿宋" w:hAnsi="仿宋" w:eastAsia="仿宋" w:cs="仿宋"/>
          <w:sz w:val="32"/>
          <w:szCs w:val="32"/>
        </w:rPr>
        <w:t>安排2万元工作经费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核拨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乡镇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市场监管</w:t>
      </w:r>
      <w:r>
        <w:rPr>
          <w:rFonts w:hint="eastAsia" w:ascii="仿宋" w:hAnsi="仿宋" w:eastAsia="仿宋" w:cs="仿宋"/>
          <w:sz w:val="32"/>
          <w:szCs w:val="32"/>
        </w:rPr>
        <w:t>所工作经费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22万元，主要补助乡镇所市场日常监管工作经费。1、</w:t>
      </w:r>
      <w:r>
        <w:rPr>
          <w:rFonts w:hint="eastAsia" w:ascii="仿宋" w:hAnsi="仿宋" w:eastAsia="仿宋" w:cs="仿宋"/>
          <w:sz w:val="32"/>
          <w:szCs w:val="32"/>
        </w:rPr>
        <w:t>全面推行我省的"五证合一"登记制度改革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个体户"两证合一"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。各乡镇</w:t>
      </w:r>
      <w:r>
        <w:rPr>
          <w:rFonts w:hint="eastAsia" w:ascii="仿宋" w:hAnsi="仿宋" w:eastAsia="仿宋" w:cs="仿宋"/>
          <w:sz w:val="32"/>
          <w:szCs w:val="32"/>
        </w:rPr>
        <w:t>企业需要报送年报户数为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41户，已报送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户，企业年报率达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</w:t>
      </w:r>
      <w:r>
        <w:rPr>
          <w:rFonts w:hint="eastAsia" w:ascii="仿宋" w:hAnsi="仿宋" w:eastAsia="仿宋" w:cs="仿宋"/>
          <w:sz w:val="32"/>
          <w:szCs w:val="32"/>
        </w:rPr>
        <w:t>91.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%；农专需报送户数为63户，已报送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户，农专年报率达到9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2.06</w:t>
      </w:r>
      <w:r>
        <w:rPr>
          <w:rFonts w:hint="eastAsia" w:ascii="仿宋" w:hAnsi="仿宋" w:eastAsia="仿宋" w:cs="仿宋"/>
          <w:sz w:val="32"/>
          <w:szCs w:val="32"/>
        </w:rPr>
        <w:t>%；个体需报送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01户，已报送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277</w:t>
      </w:r>
      <w:r>
        <w:rPr>
          <w:rFonts w:hint="eastAsia" w:ascii="仿宋" w:hAnsi="仿宋" w:eastAsia="仿宋" w:cs="仿宋"/>
          <w:sz w:val="32"/>
          <w:szCs w:val="32"/>
        </w:rPr>
        <w:t>户，个体年报率达到9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2.03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。市场主体年报率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91.86%。2、强化食品、药械、特种设备三大安全监管，2022年乡镇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市场监管工作未发生一起系统性、源发性、区域性安全事故。3、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强化宣传。在各乡镇开展市场监管宣传活动，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发放食品药品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特种设备、商标广告、禁毒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等相关宣传资料共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12850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</w:rPr>
        <w:t>余份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强化消费维权。各乡镇所2022年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共处理好消费者投诉15余起，直接挽回消费者经济损失8万余元。消费投诉办结率95%。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8" w:line="360" w:lineRule="auto"/>
        <w:ind w:left="760" w:firstLine="70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20"/>
          <w:sz w:val="31"/>
          <w:szCs w:val="31"/>
        </w:rPr>
        <w:t>(四)项目效益情况。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乡镇市场监督管理所市场监管效能和</w:t>
      </w:r>
      <w:r>
        <w:rPr>
          <w:rFonts w:hint="eastAsia" w:ascii="仿宋" w:hAnsi="仿宋" w:eastAsia="仿宋" w:cs="仿宋"/>
          <w:spacing w:val="9"/>
          <w:sz w:val="32"/>
          <w:szCs w:val="32"/>
        </w:rPr>
        <w:t>市场安全工作质量与水平不断提升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。人民群众对食品安全的认识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不断提升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。</w:t>
      </w:r>
    </w:p>
    <w:p>
      <w:pPr>
        <w:spacing w:before="199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五、</w:t>
      </w:r>
      <w:r>
        <w:rPr>
          <w:rFonts w:ascii="宋体" w:hAnsi="宋体" w:eastAsia="宋体" w:cs="宋体"/>
          <w:spacing w:val="-5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3"/>
          <w:sz w:val="31"/>
          <w:szCs w:val="31"/>
        </w:rPr>
        <w:t>主要经验及做法、存在的问题及原因分析</w:t>
      </w:r>
    </w:p>
    <w:p>
      <w:pPr>
        <w:spacing w:before="183" w:line="220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-9"/>
          <w:sz w:val="31"/>
          <w:szCs w:val="31"/>
        </w:rPr>
        <w:t>六、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9"/>
          <w:sz w:val="31"/>
          <w:szCs w:val="31"/>
        </w:rPr>
        <w:t>有关建议</w:t>
      </w:r>
    </w:p>
    <w:p>
      <w:pPr>
        <w:spacing w:before="180" w:line="219" w:lineRule="auto"/>
        <w:ind w:left="63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七、其他需要说明的问题</w:t>
      </w:r>
    </w:p>
    <w:p>
      <w:pPr>
        <w:spacing w:line="311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633" w:lineRule="exact"/>
        <w:ind w:left="60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9"/>
          <w:position w:val="24"/>
          <w:sz w:val="31"/>
          <w:szCs w:val="31"/>
        </w:rPr>
        <w:t>项目单位(签)</w:t>
      </w:r>
    </w:p>
    <w:p>
      <w:pPr>
        <w:spacing w:line="222" w:lineRule="auto"/>
        <w:ind w:firstLine="5628" w:firstLineChars="2100"/>
        <w:rPr>
          <w:rFonts w:hint="eastAsia" w:eastAsia="仿宋"/>
          <w:lang w:val="en-US" w:eastAsia="zh-CN"/>
        </w:rPr>
        <w:sectPr>
          <w:footerReference r:id="rId8" w:type="default"/>
          <w:pgSz w:w="11910" w:h="16840"/>
          <w:pgMar w:top="1431" w:right="1567" w:bottom="1126" w:left="1539" w:header="0" w:footer="947" w:gutter="0"/>
          <w:cols w:space="720" w:num="1"/>
        </w:sectPr>
      </w:pP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>2023</w:t>
      </w:r>
      <w:r>
        <w:rPr>
          <w:rFonts w:ascii="仿宋" w:hAnsi="仿宋" w:eastAsia="仿宋" w:cs="仿宋"/>
          <w:spacing w:val="-21"/>
          <w:sz w:val="31"/>
          <w:szCs w:val="31"/>
        </w:rPr>
        <w:t>年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17"/>
          <w:sz w:val="31"/>
          <w:szCs w:val="31"/>
          <w:lang w:val="en-US" w:eastAsia="zh-CN"/>
        </w:rPr>
        <w:t>5</w:t>
      </w:r>
      <w:r>
        <w:rPr>
          <w:rFonts w:ascii="仿宋" w:hAnsi="仿宋" w:eastAsia="仿宋" w:cs="仿宋"/>
          <w:spacing w:val="-21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21"/>
          <w:sz w:val="31"/>
          <w:szCs w:val="31"/>
          <w:lang w:val="en-US" w:eastAsia="zh-CN"/>
        </w:rPr>
        <w:t xml:space="preserve"> 12</w:t>
      </w:r>
      <w:r>
        <w:rPr>
          <w:rFonts w:hint="eastAsia" w:ascii="仿宋" w:hAnsi="仿宋" w:eastAsia="仿宋" w:cs="仿宋"/>
          <w:spacing w:val="-21"/>
          <w:sz w:val="31"/>
          <w:szCs w:val="31"/>
          <w:lang w:eastAsia="zh-CN"/>
        </w:rPr>
        <w:t>日</w:t>
      </w:r>
    </w:p>
    <w:p>
      <w:pPr>
        <w:spacing w:before="86" w:line="256" w:lineRule="auto"/>
        <w:ind w:right="779"/>
        <w:rPr>
          <w:rFonts w:ascii="仿宋" w:hAnsi="仿宋" w:eastAsia="仿宋" w:cs="仿宋"/>
          <w:sz w:val="25"/>
          <w:szCs w:val="25"/>
        </w:rPr>
      </w:pPr>
    </w:p>
    <w:sectPr>
      <w:footerReference r:id="rId9" w:type="default"/>
      <w:pgSz w:w="11910" w:h="16840"/>
      <w:pgMar w:top="1431" w:right="1214" w:bottom="1126" w:left="1205" w:header="0" w:footer="94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764"/>
      <w:rPr>
        <w:rFonts w:ascii="宋体" w:hAnsi="宋体" w:eastAsia="宋体" w:cs="宋体"/>
        <w:sz w:val="19"/>
        <w:szCs w:val="19"/>
      </w:rPr>
    </w:pPr>
    <w:r>
      <w:rPr>
        <w:rFonts w:ascii="宋体" w:hAnsi="宋体" w:eastAsia="宋体" w:cs="宋体"/>
        <w:spacing w:val="-6"/>
        <w:sz w:val="19"/>
        <w:szCs w:val="19"/>
      </w:rPr>
      <w:t>11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2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6"/>
        <w:sz w:val="18"/>
        <w:szCs w:val="18"/>
      </w:rPr>
      <w:t>12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434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289"/>
      <w:rPr>
        <w:rFonts w:ascii="宋体" w:hAnsi="宋体" w:eastAsia="宋体" w:cs="宋体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3" w:lineRule="auto"/>
      <w:ind w:left="4634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7FB59A"/>
    <w:multiLevelType w:val="singleLevel"/>
    <w:tmpl w:val="AD7FB59A"/>
    <w:lvl w:ilvl="0" w:tentative="0">
      <w:start w:val="2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1DE88571"/>
    <w:multiLevelType w:val="singleLevel"/>
    <w:tmpl w:val="1DE88571"/>
    <w:lvl w:ilvl="0" w:tentative="0">
      <w:start w:val="3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jY0NTc3NmZjZDdiMWJhZWYxOTcyNDRiZmVkYzQ0ZmIifQ=="/>
  </w:docVars>
  <w:rsids>
    <w:rsidRoot w:val="00000000"/>
    <w:rsid w:val="06211E63"/>
    <w:rsid w:val="0C925D79"/>
    <w:rsid w:val="12AC208B"/>
    <w:rsid w:val="1E4B3E2D"/>
    <w:rsid w:val="31C75BFC"/>
    <w:rsid w:val="45CF4646"/>
    <w:rsid w:val="4D096A3E"/>
    <w:rsid w:val="57241254"/>
    <w:rsid w:val="576C6FB6"/>
    <w:rsid w:val="5DB20E44"/>
    <w:rsid w:val="6248554F"/>
    <w:rsid w:val="73EF13C7"/>
    <w:rsid w:val="7DA57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pBdr>
        <w:top w:val="none" w:color="auto" w:sz="0" w:space="0"/>
      </w:pBdr>
      <w:adjustRightInd/>
      <w:spacing w:line="300" w:lineRule="auto"/>
      <w:ind w:firstLine="560" w:firstLineChars="200"/>
      <w:textAlignment w:val="auto"/>
    </w:pPr>
    <w:rPr>
      <w:rFonts w:ascii="Times New Roman" w:hAnsi="Times New Roman" w:eastAsia="宋体" w:cs="Times New Roman"/>
      <w:kern w:val="2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2"/>
    <w:next w:val="1"/>
    <w:qFormat/>
    <w:uiPriority w:val="99"/>
    <w:pPr>
      <w:ind w:firstLine="420" w:firstLineChars="200"/>
    </w:pPr>
    <w:rPr>
      <w:rFonts w:ascii="Times New Roman" w:hAnsi="Times New Roman" w:eastAsia="宋体" w:cs="Times New Roman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3419</Words>
  <Characters>3707</Characters>
  <TotalTime>11</TotalTime>
  <ScaleCrop>false</ScaleCrop>
  <LinksUpToDate>false</LinksUpToDate>
  <CharactersWithSpaces>3853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2023-05-17T22:03:00Z</dcterms:created>
  <dc:creator>Kingsoft-PDF</dc:creator>
  <cp:lastModifiedBy>Administrator</cp:lastModifiedBy>
  <dcterms:modified xsi:type="dcterms:W3CDTF">2023-06-01T07:34:30Z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2023-05-17T22:03:07Z</vt:filetime>
  </property>
  <property fmtid="{D5CDD505-2E9C-101B-9397-08002B2CF9AE}" pid="4" name="UsrData">
    <vt:lpwstr>6464de8a08722f001ec8f80d</vt:lpwstr>
  </property>
  <property fmtid="{D5CDD505-2E9C-101B-9397-08002B2CF9AE}" pid="5" name="KSOProductBuildVer">
    <vt:lpwstr>2052-11.1.0.14309</vt:lpwstr>
  </property>
  <property fmtid="{D5CDD505-2E9C-101B-9397-08002B2CF9AE}" pid="6" name="ICV">
    <vt:lpwstr>FA19AC3EC51A439C8817C71AD71CF44E_12</vt:lpwstr>
  </property>
</Properties>
</file>