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topLinePunct w:val="0"/>
        <w:autoSpaceDE/>
        <w:autoSpaceDN/>
        <w:bidi w:val="0"/>
        <w:spacing w:line="560" w:lineRule="exact"/>
        <w:jc w:val="center"/>
        <w:textAlignment w:val="auto"/>
        <w:outlineLvl w:val="0"/>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2021年度中央食品监管补助资金</w:t>
      </w:r>
    </w:p>
    <w:p>
      <w:pPr>
        <w:keepNext w:val="0"/>
        <w:keepLines w:val="0"/>
        <w:pageBreakBefore w:val="0"/>
        <w:wordWrap/>
        <w:topLinePunct w:val="0"/>
        <w:autoSpaceDE/>
        <w:autoSpaceDN/>
        <w:bidi w:val="0"/>
        <w:spacing w:line="560" w:lineRule="exact"/>
        <w:jc w:val="center"/>
        <w:textAlignment w:val="auto"/>
        <w:outlineLvl w:val="0"/>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绩效自评报告</w:t>
      </w:r>
    </w:p>
    <w:p>
      <w:pPr>
        <w:pStyle w:val="2"/>
        <w:keepNext w:val="0"/>
        <w:keepLines w:val="0"/>
        <w:pageBreakBefore w:val="0"/>
        <w:kinsoku w:val="0"/>
        <w:wordWrap/>
        <w:overflowPunct w:val="0"/>
        <w:topLinePunct w:val="0"/>
        <w:autoSpaceDE/>
        <w:autoSpaceDN/>
        <w:bidi w:val="0"/>
        <w:spacing w:line="560" w:lineRule="exact"/>
        <w:jc w:val="center"/>
        <w:textAlignment w:val="auto"/>
        <w:outlineLvl w:val="1"/>
        <w:rPr>
          <w:rFonts w:hint="eastAsia" w:ascii="仿宋_GB2312" w:hAnsi="仿宋_GB2312" w:eastAsia="仿宋_GB2312" w:cs="仿宋_GB2312"/>
          <w:sz w:val="32"/>
          <w:szCs w:val="32"/>
        </w:rPr>
      </w:pPr>
    </w:p>
    <w:p>
      <w:pPr>
        <w:keepNext w:val="0"/>
        <w:keepLines w:val="0"/>
        <w:pageBreakBefore w:val="0"/>
        <w:wordWrap/>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黑体"/>
          <w:bCs/>
          <w:sz w:val="32"/>
          <w:szCs w:val="32"/>
        </w:rPr>
      </w:pPr>
      <w:r>
        <w:rPr>
          <w:rFonts w:hint="eastAsia" w:ascii="黑体" w:hAnsi="黑体" w:eastAsia="黑体" w:cs="黑体"/>
          <w:bCs/>
          <w:sz w:val="32"/>
          <w:szCs w:val="32"/>
        </w:rPr>
        <w:t>一、项目概况</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（一）项目单位基本情况</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2021年中央食品监管补助资金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按业务因素和基本因素分配）预算下达10万元。新晃县市场监督管理局结合我县所面临的食品安全形势及监管队伍建设的实际状况，资金安排主要用于基层监管队伍能力建设和提升。</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（二）项目基本情况简介</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项目资金主要用于提升</w:t>
      </w:r>
      <w:r>
        <w:rPr>
          <w:rFonts w:hint="eastAsia" w:ascii="仿宋_GB2312" w:hAnsi="仿宋_GB2312" w:eastAsia="仿宋_GB2312" w:cs="仿宋_GB2312"/>
          <w:sz w:val="32"/>
          <w:szCs w:val="32"/>
        </w:rPr>
        <w:t>基层监管所能力</w:t>
      </w:r>
      <w:r>
        <w:rPr>
          <w:rFonts w:hint="eastAsia" w:ascii="仿宋_GB2312" w:hAnsi="仿宋_GB2312" w:eastAsia="仿宋_GB2312" w:cs="仿宋_GB2312"/>
          <w:sz w:val="32"/>
          <w:szCs w:val="32"/>
          <w:lang w:val="en-US" w:eastAsia="zh-CN"/>
        </w:rPr>
        <w:t>，强化监管人员实务培训，提升提高食品生产、流通监管总体水平。</w:t>
      </w:r>
    </w:p>
    <w:p>
      <w:pPr>
        <w:keepNext w:val="0"/>
        <w:keepLines w:val="0"/>
        <w:pageBreakBefore w:val="0"/>
        <w:wordWrap/>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（一）项目资金安排结构、总投入等情况分析</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2021年度新晃县</w:t>
      </w:r>
      <w:r>
        <w:rPr>
          <w:rFonts w:hint="eastAsia" w:ascii="仿宋_GB2312" w:hAnsi="仿宋_GB2312" w:eastAsia="仿宋_GB2312" w:cs="仿宋_GB2312"/>
          <w:sz w:val="32"/>
          <w:szCs w:val="32"/>
        </w:rPr>
        <w:t>市场监督管理局中央食品监管补助资金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按基本因素分配）</w:t>
      </w:r>
      <w:r>
        <w:rPr>
          <w:rFonts w:hint="eastAsia" w:ascii="仿宋_GB2312" w:hAnsi="仿宋_GB2312" w:eastAsia="仿宋_GB2312" w:cs="仿宋_GB2312"/>
          <w:sz w:val="32"/>
          <w:szCs w:val="32"/>
        </w:rPr>
        <w:t>预算收入</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截止</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年12月31日止，中央食品监管补助资金总收入</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万元，由财政局全部拨付我局到位并投入使用，使用率100%。</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（二）项目资金（主要是指中央食品监管补助资金）实际使用情况分析</w:t>
      </w:r>
    </w:p>
    <w:p>
      <w:pPr>
        <w:keepNext w:val="0"/>
        <w:keepLines w:val="0"/>
        <w:pageBreakBefore w:val="0"/>
        <w:wordWrap/>
        <w:topLinePunct w:val="0"/>
        <w:autoSpaceDE/>
        <w:autoSpaceDN/>
        <w:bidi w:val="0"/>
        <w:adjustRightInd w:val="0"/>
        <w:snapToGrid w:val="0"/>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截止20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我县</w:t>
      </w:r>
      <w:r>
        <w:rPr>
          <w:rFonts w:hint="eastAsia" w:ascii="仿宋_GB2312" w:hAnsi="仿宋_GB2312" w:eastAsia="仿宋_GB2312" w:cs="仿宋_GB2312"/>
          <w:sz w:val="32"/>
          <w:szCs w:val="32"/>
        </w:rPr>
        <w:t>食品经营安全监督中央补助资金实际使用</w:t>
      </w:r>
      <w:r>
        <w:rPr>
          <w:rFonts w:hint="eastAsia" w:ascii="仿宋_GB2312" w:hAnsi="仿宋_GB2312" w:eastAsia="仿宋_GB2312" w:cs="仿宋_GB2312"/>
          <w:sz w:val="32"/>
          <w:szCs w:val="32"/>
          <w:lang w:val="en-US" w:eastAsia="zh-CN"/>
        </w:rPr>
        <w:t>100000元，人员培训费12294元，执法记录仪通信使用费14400元，乡镇所网费30000元。食品安全宣传</w:t>
      </w:r>
      <w:r>
        <w:rPr>
          <w:rFonts w:hint="eastAsia" w:ascii="仿宋_GB2312" w:hAnsi="仿宋_GB2312" w:eastAsia="仿宋_GB2312" w:cs="仿宋_GB2312"/>
          <w:sz w:val="32"/>
          <w:szCs w:val="32"/>
        </w:rPr>
        <w:t>经费24000元，</w:t>
      </w:r>
      <w:r>
        <w:rPr>
          <w:rFonts w:hint="eastAsia" w:ascii="仿宋_GB2312" w:hAnsi="仿宋_GB2312" w:eastAsia="仿宋_GB2312" w:cs="仿宋_GB2312"/>
          <w:sz w:val="32"/>
          <w:szCs w:val="32"/>
          <w:lang w:val="en-US" w:eastAsia="zh-CN"/>
        </w:rPr>
        <w:t>实验室检验工作</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val="en-US" w:eastAsia="zh-CN"/>
        </w:rPr>
        <w:t>19306</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eastAsia="zh-CN"/>
        </w:rPr>
        <w:t>。</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（三）项目资金管理情况分析，主要包括管理制度、办法的制订及执行情况</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我局严格执行</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财政局有关制度规定，在中央食品监管补助资金管理使用过程中，严格履行相关审批手续，确保做到专项核算、专款专用，加强预算管理，没有出现违反财经纪律现象。</w:t>
      </w:r>
    </w:p>
    <w:p>
      <w:pPr>
        <w:keepNext w:val="0"/>
        <w:keepLines w:val="0"/>
        <w:pageBreakBefore w:val="0"/>
        <w:wordWrap/>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黑体"/>
          <w:bCs/>
          <w:sz w:val="32"/>
          <w:szCs w:val="32"/>
        </w:rPr>
      </w:pPr>
      <w:r>
        <w:rPr>
          <w:rFonts w:hint="eastAsia" w:ascii="黑体" w:hAnsi="黑体" w:eastAsia="黑体" w:cs="黑体"/>
          <w:bCs/>
          <w:sz w:val="32"/>
          <w:szCs w:val="32"/>
        </w:rPr>
        <w:t>三、项目组织实施情况</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（一）项目组织情况分析，主要指项目实施方案的简要情况或项目招投标、调整、竣工验收等情况。</w:t>
      </w:r>
    </w:p>
    <w:p>
      <w:pPr>
        <w:keepNext w:val="0"/>
        <w:keepLines w:val="0"/>
        <w:pageBreakBefore w:val="0"/>
        <w:wordWrap/>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val="en-US" w:eastAsia="zh-CN"/>
        </w:rPr>
        <w:t>基层监管人员教育培训</w:t>
      </w:r>
      <w:r>
        <w:rPr>
          <w:rFonts w:hint="eastAsia" w:ascii="仿宋_GB2312" w:hAnsi="仿宋_GB2312" w:eastAsia="仿宋_GB2312" w:cs="仿宋_GB2312"/>
          <w:sz w:val="32"/>
          <w:szCs w:val="32"/>
        </w:rPr>
        <w:t>，提高基层监管队伍专业水平和综合素质</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规范</w:t>
      </w:r>
      <w:r>
        <w:rPr>
          <w:rFonts w:hint="eastAsia" w:ascii="仿宋_GB2312" w:hAnsi="仿宋_GB2312" w:eastAsia="仿宋_GB2312" w:cs="仿宋_GB2312"/>
          <w:sz w:val="32"/>
          <w:szCs w:val="32"/>
          <w:lang w:val="en-US" w:eastAsia="zh-CN"/>
        </w:rPr>
        <w:t>监管</w:t>
      </w:r>
      <w:r>
        <w:rPr>
          <w:rFonts w:hint="default" w:ascii="仿宋_GB2312" w:hAnsi="仿宋_GB2312" w:eastAsia="仿宋_GB2312" w:cs="仿宋_GB2312"/>
          <w:sz w:val="32"/>
          <w:szCs w:val="32"/>
          <w:lang w:val="en-US" w:eastAsia="zh-CN"/>
        </w:rPr>
        <w:t>执法行为，</w:t>
      </w:r>
      <w:r>
        <w:rPr>
          <w:rFonts w:hint="eastAsia" w:ascii="仿宋_GB2312" w:hAnsi="仿宋_GB2312" w:eastAsia="仿宋_GB2312" w:cs="仿宋_GB2312"/>
          <w:sz w:val="32"/>
          <w:szCs w:val="32"/>
          <w:lang w:val="en-US" w:eastAsia="zh-CN"/>
        </w:rPr>
        <w:t>推动</w:t>
      </w:r>
      <w:r>
        <w:rPr>
          <w:rFonts w:hint="default" w:ascii="仿宋_GB2312" w:hAnsi="仿宋_GB2312" w:eastAsia="仿宋_GB2312" w:cs="仿宋_GB2312"/>
          <w:sz w:val="32"/>
          <w:szCs w:val="32"/>
          <w:lang w:val="en-US" w:eastAsia="zh-CN"/>
        </w:rPr>
        <w:t>实现执法更规范、监督更有效、</w:t>
      </w:r>
      <w:r>
        <w:rPr>
          <w:rFonts w:hint="eastAsia" w:ascii="仿宋_GB2312" w:hAnsi="仿宋_GB2312" w:eastAsia="仿宋_GB2312" w:cs="仿宋_GB2312"/>
          <w:sz w:val="32"/>
          <w:szCs w:val="32"/>
          <w:lang w:val="en-US" w:eastAsia="zh-CN"/>
        </w:rPr>
        <w:t>管理</w:t>
      </w:r>
      <w:r>
        <w:rPr>
          <w:rFonts w:hint="default" w:ascii="仿宋_GB2312" w:hAnsi="仿宋_GB2312" w:eastAsia="仿宋_GB2312" w:cs="仿宋_GB2312"/>
          <w:sz w:val="32"/>
          <w:szCs w:val="32"/>
          <w:lang w:val="en-US" w:eastAsia="zh-CN"/>
        </w:rPr>
        <w:t>更优化</w:t>
      </w:r>
      <w:r>
        <w:rPr>
          <w:rFonts w:hint="eastAsia" w:ascii="仿宋_GB2312" w:hAnsi="仿宋_GB2312" w:eastAsia="仿宋_GB2312" w:cs="仿宋_GB2312"/>
          <w:sz w:val="32"/>
          <w:szCs w:val="32"/>
          <w:lang w:val="en-US" w:eastAsia="zh-CN"/>
        </w:rPr>
        <w:t>，进一步强化</w:t>
      </w:r>
      <w:r>
        <w:rPr>
          <w:rFonts w:hint="eastAsia" w:ascii="仿宋_GB2312" w:hAnsi="仿宋_GB2312" w:eastAsia="仿宋_GB2312" w:cs="仿宋_GB2312"/>
          <w:sz w:val="32"/>
          <w:szCs w:val="32"/>
        </w:rPr>
        <w:t>食品生产、经营、使用环节的监管</w:t>
      </w:r>
      <w:r>
        <w:rPr>
          <w:rFonts w:hint="eastAsia" w:ascii="仿宋_GB2312" w:hAnsi="仿宋_GB2312" w:eastAsia="仿宋_GB2312" w:cs="仿宋_GB2312"/>
          <w:sz w:val="32"/>
          <w:szCs w:val="32"/>
          <w:lang w:eastAsia="zh-CN"/>
        </w:rPr>
        <w:t>。</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（二）项目管理情况分析，主要指项目管理制度建设、项目推进措施、跟踪监督检查、绩效运行监控等情况。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topLinePunct w:val="0"/>
        <w:autoSpaceDE/>
        <w:autoSpaceDN/>
        <w:bidi w:val="0"/>
        <w:spacing w:before="0" w:beforeAutospacing="0" w:after="0" w:afterAutospacing="0" w:line="560" w:lineRule="exact"/>
        <w:ind w:left="0" w:right="0" w:firstLine="645"/>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由新晃县市场监督管理局组织实施，在</w:t>
      </w:r>
      <w:r>
        <w:rPr>
          <w:rFonts w:hint="eastAsia" w:ascii="仿宋_GB2312" w:hAnsi="仿宋_GB2312" w:eastAsia="仿宋_GB2312" w:cs="仿宋_GB2312"/>
          <w:sz w:val="32"/>
          <w:szCs w:val="32"/>
        </w:rPr>
        <w:t>实施过程中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严格遵照相关的规定，强化</w:t>
      </w:r>
      <w:r>
        <w:rPr>
          <w:rFonts w:hint="eastAsia" w:ascii="仿宋_GB2312" w:hAnsi="仿宋_GB2312" w:eastAsia="仿宋_GB2312" w:cs="仿宋_GB2312"/>
          <w:sz w:val="32"/>
          <w:szCs w:val="32"/>
        </w:rPr>
        <w:t>专项资金使用管理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有效保证了2021年中央食品监管补助资金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业务因素和基本因素分配）项目的积极开展和有序推进。2021年我局紧紧围绕保障公众食品安全这一中心点，更新思想观念、改进工作作风、提升依法行政能力，按照预定目标，取得了良好的成效，基层所食品安全监管装备能力提升，积极参与各级各项系统培训，执法队伍人员素质明显提高。</w:t>
      </w:r>
    </w:p>
    <w:p>
      <w:pPr>
        <w:keepNext w:val="0"/>
        <w:keepLines w:val="0"/>
        <w:pageBreakBefore w:val="0"/>
        <w:wordWrap/>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黑体"/>
          <w:bCs/>
          <w:sz w:val="32"/>
          <w:szCs w:val="32"/>
        </w:rPr>
      </w:pPr>
      <w:r>
        <w:rPr>
          <w:rFonts w:hint="eastAsia" w:ascii="黑体" w:hAnsi="黑体" w:eastAsia="黑体" w:cs="黑体"/>
          <w:bCs/>
          <w:sz w:val="32"/>
          <w:szCs w:val="32"/>
        </w:rPr>
        <w:t>四、项目绩效情况</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（一）产出指标完成情况分析</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指标1：食品生产经营单位监督检查全覆盖。</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（2）质量指标</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指标1：基层所食品安全监管装备能力提升。</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指标2：食品安全监管队伍专业水平和能力素质逐步提升。</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（3）时效指标</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指标1：食品经营安全监管工作整体完成时间不迟于2021年12月31日。</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b w:val="0"/>
          <w:bCs/>
          <w:color w:val="auto"/>
          <w:sz w:val="32"/>
          <w:szCs w:val="32"/>
          <w:lang w:val="en-US" w:eastAsia="zh-CN"/>
        </w:rPr>
        <w:t>指标2：补助资金预算执行率100%。</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（4）成本指标</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指标1：监管人员培训成本。根据我县财政部门公布差旅费标准，我局监管人员参加系统培训的差旅费用≤100元/人/天。</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（二）效益指标完成情况分析</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（1）经济效益</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无</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（2）社会效益</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指标1：辖区内与补助资金相关的重大食品安全监管责任事故发生数为0。</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指标2：食品安全监管水平逐步提高。</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（3）可持续影响</w:t>
      </w:r>
      <w:r>
        <w:rPr>
          <w:rFonts w:hint="eastAsia" w:ascii="仿宋_GB2312" w:hAnsi="仿宋_GB2312" w:eastAsia="仿宋_GB2312" w:cs="仿宋_GB2312"/>
          <w:sz w:val="32"/>
          <w:szCs w:val="32"/>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topLinePunct w:val="0"/>
        <w:autoSpaceDE/>
        <w:autoSpaceDN/>
        <w:bidi w:val="0"/>
        <w:spacing w:before="0" w:beforeAutospacing="0" w:after="0" w:afterAutospacing="0" w:line="560" w:lineRule="exact"/>
        <w:ind w:left="0" w:right="0" w:firstLine="64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指标1：食品安全监管队伍专业水平和综合素质逐步提升。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topLinePunct w:val="0"/>
        <w:autoSpaceDE/>
        <w:autoSpaceDN/>
        <w:bidi w:val="0"/>
        <w:spacing w:before="0" w:beforeAutospacing="0" w:after="0" w:afterAutospacing="0" w:line="560" w:lineRule="exact"/>
        <w:ind w:left="0" w:right="0" w:firstLine="64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指标2：食品安全监管装备能力建设持续加强。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topLinePunct w:val="0"/>
        <w:autoSpaceDE/>
        <w:autoSpaceDN/>
        <w:bidi w:val="0"/>
        <w:spacing w:before="0" w:beforeAutospacing="0" w:after="0" w:afterAutospacing="0" w:line="560" w:lineRule="exact"/>
        <w:ind w:left="0" w:right="0" w:firstLine="645"/>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 3：食品安全监管水平稳步提高。</w:t>
      </w:r>
    </w:p>
    <w:p>
      <w:pPr>
        <w:keepNext w:val="0"/>
        <w:keepLines w:val="0"/>
        <w:pageBreakBefore w:val="0"/>
        <w:wordWrap/>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（三）满意度指标完成情况分析</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kern w:val="0"/>
          <w:sz w:val="32"/>
          <w:szCs w:val="32"/>
          <w:lang w:val="en-US" w:eastAsia="zh-CN" w:bidi="ar"/>
        </w:rPr>
        <w:t>1:公众对食品安全监管满意度85%。</w:t>
      </w:r>
    </w:p>
    <w:p>
      <w:pPr>
        <w:keepNext w:val="0"/>
        <w:keepLines w:val="0"/>
        <w:pageBreakBefore w:val="0"/>
        <w:wordWrap/>
        <w:topLinePunct w:val="0"/>
        <w:autoSpaceDE/>
        <w:autoSpaceDN/>
        <w:bidi w:val="0"/>
        <w:adjustRightInd w:val="0"/>
        <w:snapToGrid w:val="0"/>
        <w:spacing w:line="560" w:lineRule="exact"/>
        <w:ind w:firstLine="640" w:firstLineChars="200"/>
        <w:textAlignment w:val="auto"/>
        <w:outlineLvl w:val="0"/>
        <w:rPr>
          <w:rFonts w:hint="eastAsia" w:ascii="仿宋_GB2312" w:hAnsi="仿宋_GB2312" w:eastAsia="仿宋_GB2312" w:cs="仿宋_GB2312"/>
          <w:sz w:val="32"/>
          <w:szCs w:val="32"/>
        </w:rPr>
      </w:pPr>
      <w:r>
        <w:rPr>
          <w:rFonts w:hint="eastAsia" w:ascii="黑体" w:hAnsi="黑体" w:eastAsia="黑体" w:cs="黑体"/>
          <w:bCs/>
          <w:sz w:val="32"/>
          <w:szCs w:val="32"/>
        </w:rPr>
        <w:t>五、其他需要说明的问题</w:t>
      </w:r>
    </w:p>
    <w:p>
      <w:pPr>
        <w:keepNext w:val="0"/>
        <w:keepLines w:val="0"/>
        <w:pageBreakBefore w:val="0"/>
        <w:wordWrap/>
        <w:topLinePunct w:val="0"/>
        <w:autoSpaceDE/>
        <w:autoSpaceDN/>
        <w:bidi w:val="0"/>
        <w:spacing w:line="560" w:lineRule="exact"/>
        <w:ind w:firstLine="640" w:firstLineChars="200"/>
        <w:jc w:val="both"/>
        <w:textAlignment w:val="auto"/>
        <w:outlineLvl w:val="0"/>
        <w:rPr>
          <w:rFonts w:ascii="方正小标宋_GBK" w:eastAsia="方正小标宋_GBK"/>
          <w:bCs/>
          <w:color w:val="000000"/>
          <w:sz w:val="44"/>
          <w:szCs w:val="44"/>
        </w:rPr>
      </w:pPr>
      <w:r>
        <w:rPr>
          <w:rFonts w:hint="eastAsia" w:ascii="仿宋_GB2312" w:hAnsi="仿宋_GB2312" w:eastAsia="仿宋_GB2312" w:cs="仿宋_GB2312"/>
          <w:b w:val="0"/>
          <w:bCs/>
          <w:sz w:val="32"/>
          <w:szCs w:val="32"/>
          <w:lang w:val="en-US" w:eastAsia="zh-CN"/>
        </w:rPr>
        <w:t>在今后的中央食品监管补助资金项目实施过程中，我局将认真按照自治县人民政府要求，进一步提升2022年专项资金的使用率，做到早谋划、早安排，强落实，严监督。</w:t>
      </w:r>
      <w:r>
        <w:rPr>
          <w:rFonts w:hint="eastAsia" w:ascii="仿宋_GB2312" w:hAnsi="仿宋_GB2312" w:eastAsia="仿宋_GB2312" w:cs="仿宋_GB2312"/>
          <w:b w:val="0"/>
          <w:bCs/>
          <w:sz w:val="32"/>
          <w:szCs w:val="32"/>
        </w:rPr>
        <w:t>持续推进</w:t>
      </w:r>
      <w:r>
        <w:rPr>
          <w:rFonts w:hint="eastAsia" w:ascii="仿宋_GB2312" w:hAnsi="仿宋_GB2312" w:eastAsia="仿宋_GB2312" w:cs="仿宋_GB2312"/>
          <w:b w:val="0"/>
          <w:bCs/>
          <w:sz w:val="32"/>
          <w:szCs w:val="32"/>
          <w:lang w:val="en-US" w:eastAsia="zh-CN"/>
        </w:rPr>
        <w:t>基层市场监管和</w:t>
      </w:r>
      <w:r>
        <w:rPr>
          <w:rFonts w:hint="eastAsia" w:ascii="仿宋_GB2312" w:hAnsi="仿宋_GB2312" w:eastAsia="仿宋_GB2312" w:cs="仿宋_GB2312"/>
          <w:b w:val="0"/>
          <w:bCs/>
          <w:sz w:val="32"/>
          <w:szCs w:val="32"/>
        </w:rPr>
        <w:t>执法队伍基础建设</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持续加强食品经营安全监督力度，强化食品安全保障，防范各类食品安全事故发生。</w:t>
      </w:r>
    </w:p>
    <w:p>
      <w:pPr>
        <w:keepNext w:val="0"/>
        <w:keepLines w:val="0"/>
        <w:pageBreakBefore w:val="0"/>
        <w:wordWrap/>
        <w:topLinePunct w:val="0"/>
        <w:autoSpaceDE/>
        <w:autoSpaceDN/>
        <w:bidi w:val="0"/>
        <w:spacing w:line="560" w:lineRule="exact"/>
        <w:jc w:val="center"/>
        <w:textAlignment w:val="auto"/>
        <w:outlineLvl w:val="0"/>
        <w:rPr>
          <w:rFonts w:ascii="方正小标宋_GBK" w:eastAsia="方正小标宋_GBK"/>
          <w:bCs/>
          <w:color w:val="000000"/>
          <w:sz w:val="44"/>
          <w:szCs w:val="44"/>
        </w:rPr>
      </w:pPr>
    </w:p>
    <w:p>
      <w:pPr>
        <w:keepNext w:val="0"/>
        <w:keepLines w:val="0"/>
        <w:pageBreakBefore w:val="0"/>
        <w:wordWrap/>
        <w:topLinePunct w:val="0"/>
        <w:autoSpaceDE/>
        <w:autoSpaceDN/>
        <w:bidi w:val="0"/>
        <w:spacing w:line="560" w:lineRule="exact"/>
        <w:jc w:val="center"/>
        <w:textAlignment w:val="auto"/>
        <w:outlineLvl w:val="0"/>
        <w:rPr>
          <w:rFonts w:ascii="方正小标宋_GBK" w:eastAsia="方正小标宋_GBK"/>
          <w:bCs/>
          <w:color w:val="000000"/>
          <w:sz w:val="44"/>
          <w:szCs w:val="44"/>
        </w:rPr>
      </w:pPr>
    </w:p>
    <w:p>
      <w:pPr>
        <w:keepNext w:val="0"/>
        <w:keepLines w:val="0"/>
        <w:pageBreakBefore w:val="0"/>
        <w:wordWrap/>
        <w:topLinePunct w:val="0"/>
        <w:autoSpaceDE/>
        <w:autoSpaceDN/>
        <w:bidi w:val="0"/>
        <w:adjustRightInd w:val="0"/>
        <w:snapToGrid w:val="0"/>
        <w:spacing w:line="540" w:lineRule="exact"/>
        <w:rPr>
          <w:rFonts w:eastAsia="仿宋_GB2312"/>
          <w:kern w:val="0"/>
          <w:sz w:val="28"/>
          <w:szCs w:val="28"/>
        </w:rPr>
      </w:pPr>
    </w:p>
    <w:p>
      <w:pPr>
        <w:keepNext w:val="0"/>
        <w:keepLines w:val="0"/>
        <w:pageBreakBefore w:val="0"/>
        <w:wordWrap/>
        <w:topLinePunct w:val="0"/>
        <w:autoSpaceDE/>
        <w:autoSpaceDN/>
        <w:bidi w:val="0"/>
        <w:adjustRightInd w:val="0"/>
        <w:snapToGrid w:val="0"/>
        <w:spacing w:line="540" w:lineRule="exact"/>
        <w:rPr>
          <w:rFonts w:eastAsia="仿宋_GB2312"/>
          <w:kern w:val="0"/>
          <w:sz w:val="28"/>
          <w:szCs w:val="28"/>
        </w:rPr>
      </w:pPr>
    </w:p>
    <w:p>
      <w:pPr>
        <w:keepNext w:val="0"/>
        <w:keepLines w:val="0"/>
        <w:pageBreakBefore w:val="0"/>
        <w:wordWrap/>
        <w:topLinePunct w:val="0"/>
        <w:autoSpaceDE/>
        <w:autoSpaceDN/>
        <w:bidi w:val="0"/>
        <w:adjustRightInd w:val="0"/>
        <w:snapToGrid w:val="0"/>
        <w:spacing w:line="540" w:lineRule="exact"/>
        <w:rPr>
          <w:rFonts w:hint="default" w:ascii="仿宋_GB2312" w:hAnsi="仿宋_GB2312" w:eastAsia="仿宋_GB2312" w:cs="仿宋_GB2312"/>
          <w:b w:val="0"/>
          <w:bCs/>
          <w:sz w:val="32"/>
          <w:szCs w:val="32"/>
          <w:lang w:val="en-US" w:eastAsia="zh-CN"/>
        </w:rPr>
      </w:pPr>
      <w:r>
        <w:rPr>
          <w:rFonts w:eastAsia="仿宋_GB2312"/>
          <w:kern w:val="0"/>
          <w:sz w:val="28"/>
          <w:szCs w:val="28"/>
        </w:rPr>
        <w:t>项目单位（签）</w:t>
      </w:r>
      <w:r>
        <w:rPr>
          <w:rFonts w:hint="eastAsia" w:eastAsia="仿宋_GB2312"/>
          <w:kern w:val="0"/>
          <w:sz w:val="28"/>
          <w:szCs w:val="28"/>
          <w:lang w:val="en-US" w:eastAsia="zh-CN"/>
        </w:rPr>
        <w:t xml:space="preserve">                          </w:t>
      </w:r>
      <w:r>
        <w:rPr>
          <w:rFonts w:hint="eastAsia" w:ascii="仿宋_GB2312" w:hAnsi="仿宋_GB2312" w:eastAsia="仿宋_GB2312" w:cs="仿宋_GB2312"/>
          <w:b w:val="0"/>
          <w:bCs/>
          <w:sz w:val="32"/>
          <w:szCs w:val="32"/>
          <w:lang w:val="en-US" w:eastAsia="zh-CN"/>
        </w:rPr>
        <w:t>2022年6月5日</w:t>
      </w:r>
    </w:p>
    <w:p>
      <w:pPr>
        <w:spacing w:line="580" w:lineRule="exact"/>
        <w:jc w:val="center"/>
        <w:outlineLvl w:val="0"/>
        <w:rPr>
          <w:rFonts w:ascii="方正小标宋_GBK" w:eastAsia="方正小标宋_GBK"/>
          <w:bCs/>
          <w:color w:val="000000"/>
          <w:sz w:val="44"/>
          <w:szCs w:val="44"/>
        </w:rPr>
      </w:pPr>
    </w:p>
    <w:p>
      <w:pPr>
        <w:spacing w:line="580" w:lineRule="exact"/>
        <w:jc w:val="center"/>
        <w:outlineLvl w:val="0"/>
        <w:rPr>
          <w:rFonts w:ascii="方正小标宋_GBK" w:eastAsia="方正小标宋_GBK"/>
          <w:bCs/>
          <w:color w:val="000000"/>
          <w:sz w:val="44"/>
          <w:szCs w:val="44"/>
        </w:rPr>
      </w:pPr>
    </w:p>
    <w:p>
      <w:pPr>
        <w:spacing w:line="580" w:lineRule="exact"/>
        <w:jc w:val="center"/>
        <w:outlineLvl w:val="0"/>
        <w:rPr>
          <w:rFonts w:ascii="方正小标宋_GBK" w:eastAsia="方正小标宋_GBK"/>
          <w:bCs/>
          <w:color w:val="000000"/>
          <w:sz w:val="44"/>
          <w:szCs w:val="44"/>
        </w:rPr>
      </w:pPr>
    </w:p>
    <w:p>
      <w:pPr>
        <w:spacing w:line="580" w:lineRule="exact"/>
        <w:jc w:val="center"/>
        <w:outlineLvl w:val="0"/>
        <w:rPr>
          <w:rFonts w:ascii="方正小标宋_GBK" w:eastAsia="方正小标宋_GBK"/>
          <w:bCs/>
          <w:color w:val="000000"/>
          <w:sz w:val="44"/>
          <w:szCs w:val="44"/>
        </w:rPr>
      </w:pPr>
    </w:p>
    <w:p>
      <w:pPr>
        <w:spacing w:line="580" w:lineRule="exact"/>
        <w:jc w:val="center"/>
        <w:outlineLvl w:val="0"/>
        <w:rPr>
          <w:rFonts w:ascii="方正小标宋_GBK" w:eastAsia="方正小标宋_GBK"/>
          <w:bCs/>
          <w:color w:val="000000"/>
          <w:sz w:val="44"/>
          <w:szCs w:val="44"/>
        </w:rPr>
      </w:pPr>
    </w:p>
    <w:p>
      <w:pPr>
        <w:spacing w:line="580" w:lineRule="exact"/>
        <w:jc w:val="both"/>
        <w:outlineLvl w:val="0"/>
        <w:rPr>
          <w:rFonts w:ascii="方正小标宋_GBK" w:eastAsia="方正小标宋_GBK"/>
          <w:bCs/>
          <w:color w:val="000000"/>
          <w:sz w:val="44"/>
          <w:szCs w:val="4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line="480" w:lineRule="exact"/>
        <w:jc w:val="center"/>
        <w:rPr>
          <w:rFonts w:eastAsia="方正粗宋简体"/>
          <w:w w:val="85"/>
          <w:sz w:val="44"/>
          <w:szCs w:val="44"/>
        </w:rPr>
      </w:pPr>
      <w:r>
        <w:rPr>
          <w:rFonts w:eastAsia="方正粗宋简体"/>
          <w:w w:val="85"/>
          <w:sz w:val="44"/>
          <w:szCs w:val="44"/>
        </w:rPr>
        <w:t>202</w:t>
      </w:r>
      <w:r>
        <w:rPr>
          <w:rFonts w:hint="eastAsia" w:eastAsia="方正粗宋简体"/>
          <w:w w:val="85"/>
          <w:sz w:val="44"/>
          <w:szCs w:val="44"/>
        </w:rPr>
        <w:t>1</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keepNext w:val="0"/>
              <w:keepLines w:val="0"/>
              <w:pageBreakBefore w:val="0"/>
              <w:wordWrap/>
              <w:topLinePunct w:val="0"/>
              <w:autoSpaceDE/>
              <w:autoSpaceDN/>
              <w:bidi w:val="0"/>
              <w:spacing w:line="560" w:lineRule="exact"/>
              <w:jc w:val="center"/>
              <w:textAlignment w:val="auto"/>
              <w:outlineLvl w:val="0"/>
              <w:rPr>
                <w:rFonts w:hint="eastAsia" w:ascii="仿宋_GB2312" w:hAnsi="仿宋_GB2312" w:eastAsia="仿宋_GB2312" w:cs="仿宋_GB2312"/>
                <w:szCs w:val="21"/>
              </w:rPr>
            </w:pPr>
            <w:r>
              <w:rPr>
                <w:rFonts w:hint="eastAsia" w:ascii="仿宋" w:hAnsi="仿宋" w:eastAsia="仿宋" w:cs="仿宋"/>
                <w:bCs/>
                <w:sz w:val="21"/>
                <w:szCs w:val="21"/>
              </w:rPr>
              <w:t>中央食品监管补助资金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eastAsia="zh-CN"/>
              </w:rPr>
              <w:t>综合协调股</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吴桂梅</w:t>
            </w:r>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val="en-US" w:eastAsia="zh-CN"/>
              </w:rPr>
              <w:t>13874550533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162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例如：该项目预算执行率为*%。根据实际情况评分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例如：本项目建立了**等项目管理制度，并严格按相关制度执行。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例如：本年项目支出符合国家相关法律法规、财务管理制度等规定，且均在预算范围内，无与本项目预算不相符或无关的资金支出。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对照项目产出目标，按产出数量、产出质量、产出时效以及成本控制等方面进行自我评价。</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对照项目效益目标，可从经济效益、社会效益、环境效益和可持续影响及服务对象满意度等5个具体绩效指标进行评价。</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方正小标宋_GBK" w:eastAsia="方正小标宋_GBK"/>
          <w:bCs/>
          <w:color w:val="000000"/>
          <w:sz w:val="44"/>
          <w:szCs w:val="44"/>
        </w:rPr>
      </w:pPr>
      <w:r>
        <w:rPr>
          <w:rFonts w:ascii="华文中宋" w:hAnsi="华文中宋" w:eastAsia="华文中宋"/>
          <w:szCs w:val="21"/>
        </w:rPr>
        <w:t xml:space="preserve">单位负责人（签字）：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w:t>
      </w:r>
      <w:bookmarkStart w:id="0" w:name="_GoBack"/>
      <w:bookmarkEnd w:id="0"/>
      <w:r>
        <w:rPr>
          <w:rFonts w:ascii="华文中宋" w:hAnsi="华文中宋" w:eastAsia="华文中宋"/>
          <w:szCs w:val="21"/>
        </w:rPr>
        <w:t>项目负责人（签字）： </w:t>
      </w:r>
      <w:r>
        <w:rPr>
          <w:rFonts w:hint="eastAsia" w:ascii="华文中宋" w:hAnsi="华文中宋" w:eastAsia="华文中宋"/>
          <w:szCs w:val="21"/>
        </w:rPr>
        <w:t xml:space="preserve">    </w:t>
      </w:r>
      <w:r>
        <w:rPr>
          <w:rFonts w:ascii="华文中宋" w:hAnsi="华文中宋" w:eastAsia="华文中宋"/>
          <w:szCs w:val="21"/>
        </w:rPr>
        <w:t>填表日期：</w:t>
      </w:r>
      <w:r>
        <w:rPr>
          <w:rFonts w:hint="eastAsia" w:ascii="华文中宋" w:hAnsi="华文中宋" w:eastAsia="华文中宋"/>
          <w:szCs w:val="21"/>
          <w:lang w:val="en-US" w:eastAsia="zh-CN"/>
        </w:rPr>
        <w:t>2022</w:t>
      </w:r>
      <w:r>
        <w:rPr>
          <w:rFonts w:ascii="华文中宋" w:hAnsi="华文中宋" w:eastAsia="华文中宋"/>
          <w:szCs w:val="21"/>
        </w:rPr>
        <w:t>年</w:t>
      </w:r>
      <w:r>
        <w:rPr>
          <w:rFonts w:hint="eastAsia" w:ascii="华文中宋" w:hAnsi="华文中宋" w:eastAsia="华文中宋"/>
          <w:szCs w:val="21"/>
          <w:lang w:val="en-US" w:eastAsia="zh-CN"/>
        </w:rPr>
        <w:t>6</w:t>
      </w:r>
      <w:r>
        <w:rPr>
          <w:rFonts w:ascii="华文中宋" w:hAnsi="华文中宋" w:eastAsia="华文中宋"/>
          <w:szCs w:val="21"/>
        </w:rPr>
        <w:t>月</w:t>
      </w:r>
      <w:r>
        <w:rPr>
          <w:rFonts w:hint="eastAsia" w:ascii="华文中宋" w:hAnsi="华文中宋" w:eastAsia="华文中宋"/>
          <w:szCs w:val="21"/>
          <w:lang w:val="en-US" w:eastAsia="zh-CN"/>
        </w:rPr>
        <w:t>5</w:t>
      </w:r>
      <w:r>
        <w:rPr>
          <w:rFonts w:ascii="华文中宋" w:hAnsi="华文中宋" w:eastAsia="华文中宋"/>
          <w:szCs w:val="21"/>
        </w:rPr>
        <w:t>日</w:t>
      </w:r>
    </w:p>
    <w:p>
      <w:pPr>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NTc3NmZjZDdiMWJhZWYxOTcyNDRiZmVkYzQ0ZmIifQ=="/>
  </w:docVars>
  <w:rsids>
    <w:rsidRoot w:val="093A6A35"/>
    <w:rsid w:val="053B7608"/>
    <w:rsid w:val="07400843"/>
    <w:rsid w:val="093A6A35"/>
    <w:rsid w:val="0A4D3AFF"/>
    <w:rsid w:val="0CA81A7F"/>
    <w:rsid w:val="0EF67307"/>
    <w:rsid w:val="144E61C8"/>
    <w:rsid w:val="15AC41F9"/>
    <w:rsid w:val="1C745E39"/>
    <w:rsid w:val="1EFA1B8D"/>
    <w:rsid w:val="240E783E"/>
    <w:rsid w:val="33DA3FC8"/>
    <w:rsid w:val="35687F2D"/>
    <w:rsid w:val="43FC012E"/>
    <w:rsid w:val="50E84DEF"/>
    <w:rsid w:val="52C7083D"/>
    <w:rsid w:val="58926EF9"/>
    <w:rsid w:val="5DA3081F"/>
    <w:rsid w:val="5DC20E65"/>
    <w:rsid w:val="63D842CF"/>
    <w:rsid w:val="64E267BB"/>
    <w:rsid w:val="745D26F6"/>
    <w:rsid w:val="76840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1"/>
      <w:szCs w:val="2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paragraph" w:customStyle="1" w:styleId="9">
    <w:name w:val="Table Paragraph"/>
    <w:basedOn w:val="1"/>
    <w:qFormat/>
    <w:uiPriority w:val="0"/>
    <w:rPr>
      <w:rFonts w:ascii="等线" w:hAnsi="等线" w:cs="等线"/>
      <w:sz w:val="24"/>
    </w:rPr>
  </w:style>
  <w:style w:type="character" w:customStyle="1" w:styleId="10">
    <w:name w:val="font181"/>
    <w:qFormat/>
    <w:uiPriority w:val="0"/>
    <w:rPr>
      <w:rFonts w:ascii="仿宋" w:hAnsi="仿宋" w:eastAsia="仿宋" w:cs="仿宋"/>
      <w:b/>
      <w:color w:val="000000"/>
      <w:sz w:val="28"/>
      <w:szCs w:val="28"/>
      <w:u w:val="none"/>
    </w:rPr>
  </w:style>
  <w:style w:type="character" w:customStyle="1" w:styleId="11">
    <w:name w:val="font131"/>
    <w:qFormat/>
    <w:uiPriority w:val="0"/>
    <w:rPr>
      <w:rFonts w:hint="eastAsia" w:ascii="仿宋" w:hAnsi="仿宋" w:eastAsia="仿宋" w:cs="仿宋"/>
      <w:b/>
      <w:color w:val="000000"/>
      <w:sz w:val="20"/>
      <w:szCs w:val="20"/>
      <w:u w:val="none"/>
    </w:rPr>
  </w:style>
  <w:style w:type="character" w:customStyle="1" w:styleId="12">
    <w:name w:val="font91"/>
    <w:qFormat/>
    <w:uiPriority w:val="0"/>
    <w:rPr>
      <w:rFonts w:hint="default" w:ascii="Times New Roman" w:hAnsi="Times New Roman" w:cs="Times New Roman"/>
      <w:b/>
      <w:color w:val="000000"/>
      <w:sz w:val="20"/>
      <w:szCs w:val="20"/>
      <w:u w:val="none"/>
    </w:rPr>
  </w:style>
  <w:style w:type="character" w:customStyle="1" w:styleId="13">
    <w:name w:val="font121"/>
    <w:qFormat/>
    <w:uiPriority w:val="0"/>
    <w:rPr>
      <w:rFonts w:hint="eastAsia" w:ascii="仿宋" w:hAnsi="仿宋" w:eastAsia="仿宋" w:cs="仿宋"/>
      <w:color w:val="000000"/>
      <w:sz w:val="22"/>
      <w:szCs w:val="22"/>
      <w:u w:val="none"/>
    </w:rPr>
  </w:style>
  <w:style w:type="character" w:customStyle="1" w:styleId="14">
    <w:name w:val="font151"/>
    <w:qFormat/>
    <w:uiPriority w:val="0"/>
    <w:rPr>
      <w:rFonts w:hint="eastAsia" w:ascii="仿宋" w:hAnsi="仿宋" w:eastAsia="仿宋" w:cs="仿宋"/>
      <w:b/>
      <w:color w:val="FF0000"/>
      <w:sz w:val="20"/>
      <w:szCs w:val="20"/>
      <w:u w:val="none"/>
    </w:rPr>
  </w:style>
  <w:style w:type="character" w:customStyle="1" w:styleId="15">
    <w:name w:val="font31"/>
    <w:qFormat/>
    <w:uiPriority w:val="0"/>
    <w:rPr>
      <w:rFonts w:hint="eastAsia" w:ascii="宋体" w:hAnsi="宋体" w:eastAsia="宋体" w:cs="宋体"/>
      <w:b/>
      <w:color w:val="000000"/>
      <w:sz w:val="20"/>
      <w:szCs w:val="20"/>
      <w:u w:val="none"/>
    </w:rPr>
  </w:style>
  <w:style w:type="character" w:customStyle="1" w:styleId="16">
    <w:name w:val="font191"/>
    <w:qFormat/>
    <w:uiPriority w:val="0"/>
    <w:rPr>
      <w:rFonts w:hint="eastAsia" w:ascii="宋体" w:hAnsi="宋体" w:eastAsia="宋体" w:cs="宋体"/>
      <w:b/>
      <w:color w:val="000000"/>
      <w:sz w:val="20"/>
      <w:szCs w:val="20"/>
      <w:u w:val="none"/>
    </w:rPr>
  </w:style>
  <w:style w:type="paragraph" w:customStyle="1" w:styleId="17">
    <w:name w:val="Char1 Char Char Char Char Char Char"/>
    <w:basedOn w:val="1"/>
    <w:qFormat/>
    <w:uiPriority w:val="0"/>
    <w:rPr>
      <w:rFonts w:ascii="等线" w:hAnsi="等线" w:eastAsia="等线" w:cs="等线"/>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2141</Words>
  <Characters>2305</Characters>
  <Lines>0</Lines>
  <Paragraphs>0</Paragraphs>
  <TotalTime>1</TotalTime>
  <ScaleCrop>false</ScaleCrop>
  <LinksUpToDate>false</LinksUpToDate>
  <CharactersWithSpaces>2435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2022-02-10T02:02:00Z</dcterms:created>
  <dc:creator>马猴烧酒奥罗拉</dc:creator>
  <cp:lastModifiedBy>Administrator</cp:lastModifiedBy>
  <dcterms:modified xsi:type="dcterms:W3CDTF">2022-06-06T09:04:06Z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393CFF694889457BAEBAC0EFBB30B2D9</vt:lpwstr>
  </property>
</Properties>
</file>