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800" w:lineRule="exact"/>
        <w:jc w:val="center"/>
        <w:rPr>
          <w:rStyle w:val="7"/>
          <w:rFonts w:eastAsia="方正粗宋简体"/>
          <w:sz w:val="36"/>
          <w:szCs w:val="36"/>
        </w:rPr>
      </w:pPr>
      <w:r>
        <w:rPr>
          <w:rStyle w:val="7"/>
          <w:rFonts w:eastAsia="方正粗宋简体"/>
          <w:sz w:val="36"/>
          <w:szCs w:val="36"/>
        </w:rPr>
        <w:t>2020</w:t>
      </w:r>
      <w:r>
        <w:rPr>
          <w:rStyle w:val="7"/>
          <w:rFonts w:hint="eastAsia" w:ascii="宋体" w:hAnsi="宋体" w:cs="宋体"/>
          <w:sz w:val="36"/>
          <w:szCs w:val="36"/>
        </w:rPr>
        <w:t>年度财政支出绩效自评完成情况汇总表</w:t>
      </w:r>
    </w:p>
    <w:p>
      <w:pPr>
        <w:spacing w:line="400" w:lineRule="exact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400" w:lineRule="exact"/>
        <w:rPr>
          <w:rFonts w:eastAsia="华文中宋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主管部门（盖章）：</w:t>
      </w:r>
      <w:r>
        <w:rPr>
          <w:rFonts w:eastAsia="华文中宋"/>
          <w:kern w:val="0"/>
          <w:sz w:val="24"/>
          <w:szCs w:val="24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填报人：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吴俊</w:t>
      </w:r>
      <w:r>
        <w:rPr>
          <w:rFonts w:eastAsia="华文中宋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联系电话：</w:t>
      </w:r>
      <w:r>
        <w:rPr>
          <w:rFonts w:eastAsia="华文中宋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  <w:lang w:val="en-US" w:eastAsia="zh-CN"/>
        </w:rPr>
        <w:t>13874585222</w:t>
      </w:r>
      <w:r>
        <w:rPr>
          <w:rFonts w:eastAsia="华文中宋"/>
          <w:kern w:val="0"/>
          <w:sz w:val="24"/>
          <w:szCs w:val="24"/>
        </w:rPr>
        <w:t xml:space="preserve">         </w:t>
      </w:r>
    </w:p>
    <w:tbl>
      <w:tblPr>
        <w:tblStyle w:val="5"/>
        <w:tblW w:w="97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912"/>
        <w:gridCol w:w="2432"/>
        <w:gridCol w:w="783"/>
        <w:gridCol w:w="870"/>
        <w:gridCol w:w="1001"/>
        <w:gridCol w:w="740"/>
        <w:gridCol w:w="784"/>
        <w:gridCol w:w="5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2" w:type="dxa"/>
            <w:vMerge w:val="restart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2432" w:type="dxa"/>
            <w:vMerge w:val="restart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54" w:type="dxa"/>
            <w:gridSpan w:val="3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项目资金情况</w:t>
            </w:r>
          </w:p>
        </w:tc>
        <w:tc>
          <w:tcPr>
            <w:tcW w:w="740" w:type="dxa"/>
            <w:vMerge w:val="restart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自评分数</w:t>
            </w:r>
          </w:p>
        </w:tc>
        <w:tc>
          <w:tcPr>
            <w:tcW w:w="784" w:type="dxa"/>
            <w:vMerge w:val="restart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自评等级</w:t>
            </w:r>
          </w:p>
        </w:tc>
        <w:tc>
          <w:tcPr>
            <w:tcW w:w="537" w:type="dxa"/>
            <w:vMerge w:val="restart"/>
            <w:tcBorders>
              <w:top w:val="single" w:color="auto" w:sz="2" w:space="0"/>
              <w:left w:val="nil"/>
              <w:bottom w:val="single" w:color="auto" w:sz="6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预算总金额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</w:t>
            </w:r>
          </w:p>
          <w:p>
            <w:pPr>
              <w:spacing w:line="300" w:lineRule="exact"/>
              <w:ind w:firstLine="240" w:firstLineChars="1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县级财政资金</w:t>
            </w:r>
          </w:p>
        </w:tc>
        <w:tc>
          <w:tcPr>
            <w:tcW w:w="740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预算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安排</w:t>
            </w:r>
          </w:p>
        </w:tc>
        <w:tc>
          <w:tcPr>
            <w:tcW w:w="1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实际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支出</w:t>
            </w:r>
          </w:p>
        </w:tc>
        <w:tc>
          <w:tcPr>
            <w:tcW w:w="740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2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9770" w:type="dxa"/>
            <w:gridSpan w:val="9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一、项目绩效自评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1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市场监督局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创建办</w:t>
            </w:r>
          </w:p>
        </w:tc>
        <w:tc>
          <w:tcPr>
            <w:tcW w:w="2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示范县项目</w:t>
            </w:r>
          </w:p>
        </w:tc>
        <w:tc>
          <w:tcPr>
            <w:tcW w:w="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208.04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208.04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</w:t>
            </w:r>
          </w:p>
        </w:tc>
        <w:tc>
          <w:tcPr>
            <w:tcW w:w="1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208.04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98</w:t>
            </w:r>
          </w:p>
        </w:tc>
        <w:tc>
          <w:tcPr>
            <w:tcW w:w="7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优秀</w:t>
            </w:r>
          </w:p>
        </w:tc>
        <w:tc>
          <w:tcPr>
            <w:tcW w:w="5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1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市场监督局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乡镇监管所</w:t>
            </w:r>
          </w:p>
        </w:tc>
        <w:tc>
          <w:tcPr>
            <w:tcW w:w="2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乡镇市场监管所工作经费</w:t>
            </w:r>
          </w:p>
        </w:tc>
        <w:tc>
          <w:tcPr>
            <w:tcW w:w="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22万</w:t>
            </w:r>
          </w:p>
        </w:tc>
        <w:tc>
          <w:tcPr>
            <w:tcW w:w="1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33.27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7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优秀</w:t>
            </w:r>
          </w:p>
        </w:tc>
        <w:tc>
          <w:tcPr>
            <w:tcW w:w="5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1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市场监督局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行政审批股</w:t>
            </w:r>
          </w:p>
        </w:tc>
        <w:tc>
          <w:tcPr>
            <w:tcW w:w="2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五证合一商事制度改革项目</w:t>
            </w:r>
          </w:p>
        </w:tc>
        <w:tc>
          <w:tcPr>
            <w:tcW w:w="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5万</w:t>
            </w:r>
          </w:p>
        </w:tc>
        <w:tc>
          <w:tcPr>
            <w:tcW w:w="1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9.06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7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优秀</w:t>
            </w:r>
          </w:p>
        </w:tc>
        <w:tc>
          <w:tcPr>
            <w:tcW w:w="5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1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8" w:hRule="atLeast"/>
          <w:jc w:val="center"/>
        </w:trPr>
        <w:tc>
          <w:tcPr>
            <w:tcW w:w="9770" w:type="dxa"/>
            <w:gridSpan w:val="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二、部门（单位）整体支出绩效自评：</w:t>
            </w:r>
          </w:p>
          <w:p>
            <w:pPr>
              <w:spacing w:line="640" w:lineRule="exact"/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市局和县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政府的正确领导下，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我局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认真学习贯彻习近平新时代中国特色社会主义思想，按照国家、省委省政府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市委市政府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和县委县政府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统一部署，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进一步放宽市场准入，提升服务效能，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监督执法，突出保障食品药品、特种设备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产品质量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安全、打击假冒伪劣、保护消费者合法权益和维护公平交易市场秩序等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保市场主体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保民生保稳定工作。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本年度我局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部门整体绩效支出预算总额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1754.03万元，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部门整体绩效实际支出总额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1697.49万元，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预算支出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完成率96.78%，其中基本支出1296.46万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元，项目支出401.03万元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FFFFFF"/>
              </w:rPr>
              <w:t>根据《部门整体支出绩效评价指标》评分表自评得分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  <w:t>97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FFFFFF"/>
              </w:rPr>
              <w:t>分，财政支出绩效为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部门（单位）：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自评分数：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  <w:t>97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自评等级：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优秀</w:t>
            </w:r>
          </w:p>
        </w:tc>
      </w:tr>
    </w:tbl>
    <w:p>
      <w:pPr>
        <w:spacing w:line="400" w:lineRule="exact"/>
        <w:jc w:val="left"/>
        <w:rPr>
          <w:rFonts w:eastAsia="仿宋_GB2312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备注：评价等级划分如下</w:t>
      </w:r>
    </w:p>
    <w:p>
      <w:pPr>
        <w:spacing w:line="400" w:lineRule="exact"/>
        <w:jc w:val="left"/>
        <w:rPr>
          <w:rFonts w:eastAsia="仿宋_GB2312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优秀</w:t>
      </w:r>
      <w:r>
        <w:rPr>
          <w:rFonts w:eastAsia="仿宋_GB2312"/>
          <w:kern w:val="0"/>
          <w:sz w:val="24"/>
          <w:szCs w:val="24"/>
        </w:rPr>
        <w:t xml:space="preserve">  95</w:t>
      </w:r>
      <w:r>
        <w:rPr>
          <w:rFonts w:hint="eastAsia" w:ascii="宋体" w:hAnsi="宋体" w:cs="宋体"/>
          <w:kern w:val="0"/>
          <w:sz w:val="24"/>
          <w:szCs w:val="24"/>
        </w:rPr>
        <w:t>分</w:t>
      </w:r>
      <w:r>
        <w:rPr>
          <w:rFonts w:eastAsia="仿宋_GB2312"/>
          <w:kern w:val="0"/>
          <w:sz w:val="24"/>
          <w:szCs w:val="24"/>
        </w:rPr>
        <w:t>≤</w:t>
      </w:r>
      <w:r>
        <w:rPr>
          <w:rFonts w:hint="eastAsia" w:ascii="宋体" w:hAnsi="宋体" w:cs="宋体"/>
          <w:kern w:val="0"/>
          <w:sz w:val="24"/>
          <w:szCs w:val="24"/>
        </w:rPr>
        <w:t>得分</w:t>
      </w:r>
      <w:r>
        <w:rPr>
          <w:rFonts w:eastAsia="仿宋_GB2312"/>
          <w:kern w:val="0"/>
          <w:sz w:val="24"/>
          <w:szCs w:val="24"/>
        </w:rPr>
        <w:t>≤100</w:t>
      </w:r>
      <w:r>
        <w:rPr>
          <w:rFonts w:hint="eastAsia" w:ascii="宋体" w:hAnsi="宋体" w:cs="宋体"/>
          <w:kern w:val="0"/>
          <w:sz w:val="24"/>
          <w:szCs w:val="24"/>
        </w:rPr>
        <w:t>分；良好</w:t>
      </w:r>
      <w:r>
        <w:rPr>
          <w:rFonts w:eastAsia="仿宋_GB2312"/>
          <w:kern w:val="0"/>
          <w:sz w:val="24"/>
          <w:szCs w:val="24"/>
        </w:rPr>
        <w:t xml:space="preserve">  80</w:t>
      </w:r>
      <w:r>
        <w:rPr>
          <w:rFonts w:hint="eastAsia" w:ascii="宋体" w:hAnsi="宋体" w:cs="宋体"/>
          <w:kern w:val="0"/>
          <w:sz w:val="24"/>
          <w:szCs w:val="24"/>
        </w:rPr>
        <w:t>分</w:t>
      </w:r>
      <w:r>
        <w:rPr>
          <w:rFonts w:eastAsia="仿宋_GB2312"/>
          <w:kern w:val="0"/>
          <w:sz w:val="24"/>
          <w:szCs w:val="24"/>
        </w:rPr>
        <w:t>≤</w:t>
      </w:r>
      <w:r>
        <w:rPr>
          <w:rFonts w:hint="eastAsia" w:ascii="宋体" w:hAnsi="宋体" w:cs="宋体"/>
          <w:kern w:val="0"/>
          <w:sz w:val="24"/>
          <w:szCs w:val="24"/>
        </w:rPr>
        <w:t>得分＜</w:t>
      </w:r>
      <w:r>
        <w:rPr>
          <w:rFonts w:eastAsia="仿宋_GB2312"/>
          <w:kern w:val="0"/>
          <w:sz w:val="24"/>
          <w:szCs w:val="24"/>
        </w:rPr>
        <w:t>95</w:t>
      </w:r>
      <w:r>
        <w:rPr>
          <w:rFonts w:hint="eastAsia" w:ascii="宋体" w:hAnsi="宋体" w:cs="宋体"/>
          <w:kern w:val="0"/>
          <w:sz w:val="24"/>
          <w:szCs w:val="24"/>
        </w:rPr>
        <w:t>分；一般</w:t>
      </w:r>
      <w:r>
        <w:rPr>
          <w:rFonts w:eastAsia="仿宋_GB2312"/>
          <w:kern w:val="0"/>
          <w:sz w:val="24"/>
          <w:szCs w:val="24"/>
        </w:rPr>
        <w:t xml:space="preserve">  60</w:t>
      </w:r>
      <w:r>
        <w:rPr>
          <w:rFonts w:hint="eastAsia" w:ascii="宋体" w:hAnsi="宋体" w:cs="宋体"/>
          <w:kern w:val="0"/>
          <w:sz w:val="24"/>
          <w:szCs w:val="24"/>
        </w:rPr>
        <w:t>分</w:t>
      </w:r>
      <w:r>
        <w:rPr>
          <w:rFonts w:eastAsia="仿宋_GB2312"/>
          <w:kern w:val="0"/>
          <w:sz w:val="24"/>
          <w:szCs w:val="24"/>
        </w:rPr>
        <w:t>≤</w:t>
      </w:r>
      <w:r>
        <w:rPr>
          <w:rFonts w:hint="eastAsia" w:ascii="宋体" w:hAnsi="宋体" w:cs="宋体"/>
          <w:kern w:val="0"/>
          <w:sz w:val="24"/>
          <w:szCs w:val="24"/>
        </w:rPr>
        <w:t>得分＜</w:t>
      </w:r>
      <w:r>
        <w:rPr>
          <w:rFonts w:eastAsia="仿宋_GB2312"/>
          <w:kern w:val="0"/>
          <w:sz w:val="24"/>
          <w:szCs w:val="24"/>
        </w:rPr>
        <w:t>80</w:t>
      </w:r>
      <w:r>
        <w:rPr>
          <w:rFonts w:hint="eastAsia" w:ascii="宋体" w:hAnsi="宋体" w:cs="宋体"/>
          <w:kern w:val="0"/>
          <w:sz w:val="24"/>
          <w:szCs w:val="24"/>
        </w:rPr>
        <w:t>分；较差</w:t>
      </w:r>
      <w:r>
        <w:rPr>
          <w:rFonts w:eastAsia="仿宋_GB2312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得分＜</w:t>
      </w:r>
      <w:r>
        <w:rPr>
          <w:rFonts w:eastAsia="仿宋_GB2312"/>
          <w:kern w:val="0"/>
          <w:sz w:val="24"/>
          <w:szCs w:val="24"/>
        </w:rPr>
        <w:t>60</w:t>
      </w:r>
      <w:r>
        <w:rPr>
          <w:rFonts w:hint="eastAsia" w:ascii="宋体" w:hAnsi="宋体" w:cs="宋体"/>
          <w:kern w:val="0"/>
          <w:sz w:val="24"/>
          <w:szCs w:val="24"/>
        </w:rPr>
        <w:t>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83E"/>
    <w:rsid w:val="00D43501"/>
    <w:rsid w:val="00F9183E"/>
    <w:rsid w:val="11DA10B1"/>
    <w:rsid w:val="2642753E"/>
    <w:rsid w:val="2ECD3708"/>
    <w:rsid w:val="375D0F94"/>
    <w:rsid w:val="3DC638AE"/>
    <w:rsid w:val="3EEB7609"/>
    <w:rsid w:val="417B1202"/>
    <w:rsid w:val="4B053EE9"/>
    <w:rsid w:val="53A02FC6"/>
    <w:rsid w:val="5AA13D34"/>
    <w:rsid w:val="762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99"/>
    <w:pPr>
      <w:pBdr>
        <w:top w:val="none" w:color="auto" w:sz="0" w:space="0"/>
      </w:pBdr>
      <w:adjustRightInd/>
      <w:spacing w:line="300" w:lineRule="auto"/>
      <w:ind w:firstLine="560" w:firstLineChars="200"/>
      <w:textAlignment w:val="auto"/>
    </w:pPr>
    <w:rPr>
      <w:rFonts w:ascii="Times New Roman" w:hAnsi="Times New Roman" w:eastAsia="宋体" w:cs="Times New Roman"/>
      <w:kern w:val="2"/>
      <w:sz w:val="28"/>
      <w:szCs w:val="2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16"/>
    <w:basedOn w:val="6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21</TotalTime>
  <ScaleCrop>false</ScaleCrop>
  <LinksUpToDate>false</LinksUpToDate>
  <CharactersWithSpaces>442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2021-08-27T01:26:00Z</dcterms:created>
  <dc:creator>Administrator</dc:creator>
  <cp:lastModifiedBy>Administrator</cp:lastModifiedBy>
  <cp:lastPrinted>2021-09-07T03:15:46Z</cp:lastPrinted>
  <dcterms:modified xsi:type="dcterms:W3CDTF">2021-09-07T03:23:38Z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7A241B6C66254B8BBB34AAE5B4932B16</vt:lpwstr>
  </property>
</Properties>
</file>