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532CCE">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jc w:val="left"/>
        <w:textAlignment w:val="bottom"/>
        <w:rPr>
          <w:rFonts w:hint="default" w:ascii="仿宋_GB2312" w:hAnsi="仿宋_GB2312" w:eastAsia="仿宋_GB2312" w:cs="仿宋_GB2312"/>
          <w:sz w:val="24"/>
          <w:lang w:val="en-US" w:eastAsia="zh-CN"/>
        </w:rPr>
      </w:pPr>
      <w:r>
        <w:rPr>
          <w:rFonts w:hint="eastAsia" w:ascii="仿宋_GB2312" w:hAnsi="仿宋_GB2312" w:eastAsia="仿宋_GB2312" w:cs="仿宋_GB2312"/>
          <w:b/>
          <w:sz w:val="24"/>
        </w:rPr>
        <w:t>附件2-1</w:t>
      </w:r>
    </w:p>
    <w:p w14:paraId="15899FC9">
      <w:pPr>
        <w:spacing w:line="480" w:lineRule="exact"/>
        <w:jc w:val="center"/>
        <w:rPr>
          <w:rFonts w:ascii="宋体" w:hAnsi="宋体"/>
          <w:b/>
          <w:w w:val="85"/>
          <w:sz w:val="36"/>
          <w:szCs w:val="36"/>
        </w:rPr>
      </w:pPr>
      <w:r>
        <w:rPr>
          <w:rFonts w:hint="eastAsia" w:ascii="宋体" w:hAnsi="宋体"/>
          <w:b/>
          <w:w w:val="85"/>
          <w:sz w:val="36"/>
          <w:szCs w:val="36"/>
          <w:lang w:eastAsia="zh-CN"/>
        </w:rPr>
        <w:t>202</w:t>
      </w:r>
      <w:r>
        <w:rPr>
          <w:rFonts w:hint="eastAsia" w:ascii="宋体" w:hAnsi="宋体"/>
          <w:b/>
          <w:w w:val="85"/>
          <w:sz w:val="36"/>
          <w:szCs w:val="36"/>
          <w:lang w:val="en-US" w:eastAsia="zh-CN"/>
        </w:rPr>
        <w:t>4</w:t>
      </w:r>
      <w:r>
        <w:rPr>
          <w:rFonts w:ascii="宋体" w:hAnsi="宋体"/>
          <w:b/>
          <w:w w:val="85"/>
          <w:sz w:val="36"/>
          <w:szCs w:val="36"/>
        </w:rPr>
        <w:t>年度新晃县项目</w:t>
      </w:r>
      <w:r>
        <w:rPr>
          <w:rFonts w:hint="eastAsia" w:ascii="宋体" w:hAnsi="宋体"/>
          <w:b/>
          <w:w w:val="85"/>
          <w:sz w:val="36"/>
          <w:szCs w:val="36"/>
        </w:rPr>
        <w:t>支出</w:t>
      </w:r>
      <w:r>
        <w:rPr>
          <w:rFonts w:ascii="宋体" w:hAnsi="宋体"/>
          <w:b/>
          <w:w w:val="85"/>
          <w:sz w:val="36"/>
          <w:szCs w:val="36"/>
        </w:rPr>
        <w:t>绩效</w:t>
      </w:r>
      <w:r>
        <w:rPr>
          <w:rFonts w:hint="eastAsia" w:ascii="宋体" w:hAnsi="宋体"/>
          <w:b/>
          <w:w w:val="85"/>
          <w:sz w:val="36"/>
          <w:szCs w:val="36"/>
        </w:rPr>
        <w:t>自评</w:t>
      </w:r>
      <w:r>
        <w:rPr>
          <w:rFonts w:ascii="宋体" w:hAnsi="宋体"/>
          <w:b/>
          <w:w w:val="85"/>
          <w:sz w:val="36"/>
          <w:szCs w:val="36"/>
        </w:rPr>
        <w:t>表</w:t>
      </w:r>
    </w:p>
    <w:p w14:paraId="1E15A092">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3"/>
        <w:tblpPr w:leftFromText="180" w:rightFromText="180" w:vertAnchor="text" w:horzAnchor="page" w:tblpX="1195" w:tblpY="107"/>
        <w:tblOverlap w:val="never"/>
        <w:tblW w:w="9897"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3"/>
        <w:gridCol w:w="1144"/>
        <w:gridCol w:w="1802"/>
        <w:gridCol w:w="1629"/>
        <w:gridCol w:w="1098"/>
        <w:gridCol w:w="1207"/>
        <w:gridCol w:w="833"/>
        <w:gridCol w:w="871"/>
      </w:tblGrid>
      <w:tr w14:paraId="7B33C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8" w:hRule="atLeast"/>
          <w:tblCellSpacing w:w="0" w:type="dxa"/>
        </w:trPr>
        <w:tc>
          <w:tcPr>
            <w:tcW w:w="1313" w:type="dxa"/>
            <w:noWrap w:val="0"/>
            <w:tcMar>
              <w:top w:w="0" w:type="dxa"/>
              <w:left w:w="105" w:type="dxa"/>
              <w:bottom w:w="0" w:type="dxa"/>
              <w:right w:w="105" w:type="dxa"/>
            </w:tcMar>
            <w:vAlign w:val="center"/>
          </w:tcPr>
          <w:p w14:paraId="6935F17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项目单位</w:t>
            </w:r>
          </w:p>
          <w:p w14:paraId="5FAA98F2">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名称</w:t>
            </w:r>
          </w:p>
        </w:tc>
        <w:tc>
          <w:tcPr>
            <w:tcW w:w="2946" w:type="dxa"/>
            <w:gridSpan w:val="2"/>
            <w:noWrap w:val="0"/>
            <w:tcMar>
              <w:top w:w="0" w:type="dxa"/>
              <w:left w:w="105" w:type="dxa"/>
              <w:bottom w:w="0" w:type="dxa"/>
              <w:right w:w="105" w:type="dxa"/>
            </w:tcMar>
            <w:vAlign w:val="center"/>
          </w:tcPr>
          <w:p w14:paraId="0FFC04BA">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新晃侗族自治县应急管理局</w:t>
            </w:r>
          </w:p>
        </w:tc>
        <w:tc>
          <w:tcPr>
            <w:tcW w:w="1629" w:type="dxa"/>
            <w:noWrap w:val="0"/>
            <w:tcMar>
              <w:top w:w="0" w:type="dxa"/>
              <w:left w:w="105" w:type="dxa"/>
              <w:bottom w:w="0" w:type="dxa"/>
              <w:right w:w="105" w:type="dxa"/>
            </w:tcMar>
            <w:vAlign w:val="center"/>
          </w:tcPr>
          <w:p w14:paraId="050DA63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项目名称</w:t>
            </w:r>
          </w:p>
        </w:tc>
        <w:tc>
          <w:tcPr>
            <w:tcW w:w="4009" w:type="dxa"/>
            <w:gridSpan w:val="4"/>
            <w:noWrap w:val="0"/>
            <w:tcMar>
              <w:top w:w="0" w:type="dxa"/>
              <w:left w:w="105" w:type="dxa"/>
              <w:bottom w:w="0" w:type="dxa"/>
              <w:right w:w="105" w:type="dxa"/>
            </w:tcMar>
            <w:vAlign w:val="center"/>
          </w:tcPr>
          <w:p w14:paraId="251BD3BE">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特岗人员意外伤害保险</w:t>
            </w:r>
          </w:p>
        </w:tc>
      </w:tr>
      <w:tr w14:paraId="07524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8" w:hRule="atLeast"/>
          <w:tblCellSpacing w:w="0" w:type="dxa"/>
        </w:trPr>
        <w:tc>
          <w:tcPr>
            <w:tcW w:w="1313" w:type="dxa"/>
            <w:noWrap w:val="0"/>
            <w:tcMar>
              <w:top w:w="0" w:type="dxa"/>
              <w:left w:w="105" w:type="dxa"/>
              <w:bottom w:w="0" w:type="dxa"/>
              <w:right w:w="105" w:type="dxa"/>
            </w:tcMar>
            <w:vAlign w:val="center"/>
          </w:tcPr>
          <w:p w14:paraId="440BF4E4">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w:t>
            </w:r>
          </w:p>
          <w:p w14:paraId="48773449">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责任部门</w:t>
            </w:r>
          </w:p>
        </w:tc>
        <w:tc>
          <w:tcPr>
            <w:tcW w:w="2946" w:type="dxa"/>
            <w:gridSpan w:val="2"/>
            <w:noWrap w:val="0"/>
            <w:tcMar>
              <w:top w:w="0" w:type="dxa"/>
              <w:left w:w="105" w:type="dxa"/>
              <w:bottom w:w="0" w:type="dxa"/>
              <w:right w:w="105" w:type="dxa"/>
            </w:tcMar>
            <w:vAlign w:val="center"/>
          </w:tcPr>
          <w:p w14:paraId="5E77BDF4">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县应急局办公室</w:t>
            </w:r>
          </w:p>
        </w:tc>
        <w:tc>
          <w:tcPr>
            <w:tcW w:w="1629" w:type="dxa"/>
            <w:noWrap w:val="0"/>
            <w:tcMar>
              <w:top w:w="0" w:type="dxa"/>
              <w:left w:w="105" w:type="dxa"/>
              <w:bottom w:w="0" w:type="dxa"/>
              <w:right w:w="105" w:type="dxa"/>
            </w:tcMar>
            <w:vAlign w:val="center"/>
          </w:tcPr>
          <w:p w14:paraId="303D824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8" w:type="dxa"/>
            <w:noWrap w:val="0"/>
            <w:tcMar>
              <w:top w:w="0" w:type="dxa"/>
              <w:left w:w="105" w:type="dxa"/>
              <w:bottom w:w="0" w:type="dxa"/>
              <w:right w:w="105" w:type="dxa"/>
            </w:tcMar>
            <w:vAlign w:val="center"/>
          </w:tcPr>
          <w:p w14:paraId="30866A90">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姚愿</w:t>
            </w:r>
          </w:p>
        </w:tc>
        <w:tc>
          <w:tcPr>
            <w:tcW w:w="1207" w:type="dxa"/>
            <w:noWrap w:val="0"/>
            <w:tcMar>
              <w:top w:w="0" w:type="dxa"/>
              <w:left w:w="105" w:type="dxa"/>
              <w:bottom w:w="0" w:type="dxa"/>
              <w:right w:w="105" w:type="dxa"/>
            </w:tcMar>
            <w:vAlign w:val="center"/>
          </w:tcPr>
          <w:p w14:paraId="3787EE9F">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联系电话</w:t>
            </w:r>
          </w:p>
        </w:tc>
        <w:tc>
          <w:tcPr>
            <w:tcW w:w="1704" w:type="dxa"/>
            <w:gridSpan w:val="2"/>
            <w:noWrap w:val="0"/>
            <w:tcMar>
              <w:top w:w="0" w:type="dxa"/>
              <w:left w:w="105" w:type="dxa"/>
              <w:bottom w:w="0" w:type="dxa"/>
              <w:right w:w="105" w:type="dxa"/>
            </w:tcMar>
            <w:vAlign w:val="center"/>
          </w:tcPr>
          <w:p w14:paraId="331D1CAB">
            <w:pPr>
              <w:spacing w:line="320" w:lineRule="exact"/>
              <w:jc w:val="center"/>
              <w:rPr>
                <w:rFonts w:hint="default" w:ascii="仿宋_GB2312" w:hAnsi="仿宋_GB2312" w:eastAsia="仿宋_GB2312" w:cs="仿宋_GB2312"/>
                <w:szCs w:val="21"/>
                <w:lang w:val="en-US"/>
              </w:rPr>
            </w:pPr>
            <w:r>
              <w:rPr>
                <w:rFonts w:hint="eastAsia" w:ascii="仿宋_GB2312" w:hAnsi="仿宋_GB2312" w:eastAsia="仿宋_GB2312" w:cs="仿宋_GB2312"/>
                <w:szCs w:val="21"/>
                <w:lang w:val="en-US" w:eastAsia="zh-CN"/>
              </w:rPr>
              <w:t>18774788331</w:t>
            </w:r>
          </w:p>
        </w:tc>
      </w:tr>
      <w:tr w14:paraId="2681D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6" w:hRule="atLeast"/>
          <w:tblCellSpacing w:w="0" w:type="dxa"/>
        </w:trPr>
        <w:tc>
          <w:tcPr>
            <w:tcW w:w="1313" w:type="dxa"/>
            <w:vMerge w:val="restart"/>
            <w:noWrap w:val="0"/>
            <w:tcMar>
              <w:top w:w="0" w:type="dxa"/>
              <w:left w:w="105" w:type="dxa"/>
              <w:bottom w:w="0" w:type="dxa"/>
              <w:right w:w="105" w:type="dxa"/>
            </w:tcMar>
            <w:vAlign w:val="center"/>
          </w:tcPr>
          <w:p w14:paraId="4A2C6AEA">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项目资金</w:t>
            </w:r>
          </w:p>
          <w:p w14:paraId="368E4C48">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基本情况</w:t>
            </w:r>
          </w:p>
        </w:tc>
        <w:tc>
          <w:tcPr>
            <w:tcW w:w="1144" w:type="dxa"/>
            <w:noWrap w:val="0"/>
            <w:tcMar>
              <w:top w:w="0" w:type="dxa"/>
              <w:left w:w="105" w:type="dxa"/>
              <w:bottom w:w="0" w:type="dxa"/>
              <w:right w:w="105" w:type="dxa"/>
            </w:tcMar>
            <w:vAlign w:val="center"/>
          </w:tcPr>
          <w:p w14:paraId="17003842">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上年结转</w:t>
            </w:r>
          </w:p>
        </w:tc>
        <w:tc>
          <w:tcPr>
            <w:tcW w:w="1802" w:type="dxa"/>
            <w:noWrap w:val="0"/>
            <w:tcMar>
              <w:top w:w="0" w:type="dxa"/>
              <w:left w:w="105" w:type="dxa"/>
              <w:bottom w:w="0" w:type="dxa"/>
              <w:right w:w="105" w:type="dxa"/>
            </w:tcMar>
            <w:vAlign w:val="center"/>
          </w:tcPr>
          <w:p w14:paraId="1E1C626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9" w:type="dxa"/>
            <w:noWrap w:val="0"/>
            <w:tcMar>
              <w:top w:w="0" w:type="dxa"/>
              <w:left w:w="105" w:type="dxa"/>
              <w:bottom w:w="0" w:type="dxa"/>
              <w:right w:w="105" w:type="dxa"/>
            </w:tcMar>
            <w:vAlign w:val="center"/>
          </w:tcPr>
          <w:p w14:paraId="029733B6">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5" w:type="dxa"/>
            <w:gridSpan w:val="2"/>
            <w:noWrap w:val="0"/>
            <w:tcMar>
              <w:top w:w="0" w:type="dxa"/>
              <w:left w:w="105" w:type="dxa"/>
              <w:bottom w:w="0" w:type="dxa"/>
              <w:right w:w="105" w:type="dxa"/>
            </w:tcMar>
            <w:vAlign w:val="center"/>
          </w:tcPr>
          <w:p w14:paraId="28585438">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4" w:type="dxa"/>
            <w:gridSpan w:val="2"/>
            <w:noWrap w:val="0"/>
            <w:tcMar>
              <w:top w:w="0" w:type="dxa"/>
              <w:left w:w="105" w:type="dxa"/>
              <w:bottom w:w="0" w:type="dxa"/>
              <w:right w:w="105" w:type="dxa"/>
            </w:tcMar>
            <w:vAlign w:val="center"/>
          </w:tcPr>
          <w:p w14:paraId="5E708A6F">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r>
      <w:tr w14:paraId="48CD5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tblCellSpacing w:w="0" w:type="dxa"/>
        </w:trPr>
        <w:tc>
          <w:tcPr>
            <w:tcW w:w="1313" w:type="dxa"/>
            <w:vMerge w:val="continue"/>
            <w:noWrap w:val="0"/>
            <w:vAlign w:val="center"/>
          </w:tcPr>
          <w:p w14:paraId="175B8A21">
            <w:pPr>
              <w:spacing w:line="320" w:lineRule="exact"/>
              <w:jc w:val="center"/>
              <w:rPr>
                <w:rFonts w:hint="eastAsia" w:ascii="仿宋_GB2312" w:hAnsi="仿宋_GB2312" w:eastAsia="仿宋_GB2312" w:cs="仿宋_GB2312"/>
                <w:szCs w:val="21"/>
              </w:rPr>
            </w:pPr>
          </w:p>
        </w:tc>
        <w:tc>
          <w:tcPr>
            <w:tcW w:w="1144" w:type="dxa"/>
            <w:noWrap w:val="0"/>
            <w:tcMar>
              <w:top w:w="0" w:type="dxa"/>
              <w:left w:w="105" w:type="dxa"/>
              <w:bottom w:w="0" w:type="dxa"/>
              <w:right w:w="105" w:type="dxa"/>
            </w:tcMar>
            <w:vAlign w:val="center"/>
          </w:tcPr>
          <w:p w14:paraId="3831238E">
            <w:pPr>
              <w:spacing w:line="320" w:lineRule="exact"/>
              <w:jc w:val="center"/>
              <w:rPr>
                <w:rFonts w:hint="eastAsia" w:ascii="仿宋_GB2312" w:hAnsi="仿宋_GB2312" w:eastAsia="仿宋_GB2312" w:cs="仿宋_GB2312"/>
                <w:szCs w:val="21"/>
              </w:rPr>
            </w:pPr>
          </w:p>
        </w:tc>
        <w:tc>
          <w:tcPr>
            <w:tcW w:w="1802" w:type="dxa"/>
            <w:noWrap w:val="0"/>
            <w:tcMar>
              <w:top w:w="0" w:type="dxa"/>
              <w:left w:w="105" w:type="dxa"/>
              <w:bottom w:w="0" w:type="dxa"/>
              <w:right w:w="105" w:type="dxa"/>
            </w:tcMar>
            <w:vAlign w:val="center"/>
          </w:tcPr>
          <w:p w14:paraId="6E8F8C98">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5.50万元</w:t>
            </w:r>
          </w:p>
        </w:tc>
        <w:tc>
          <w:tcPr>
            <w:tcW w:w="1629" w:type="dxa"/>
            <w:noWrap w:val="0"/>
            <w:tcMar>
              <w:top w:w="0" w:type="dxa"/>
              <w:left w:w="105" w:type="dxa"/>
              <w:bottom w:w="0" w:type="dxa"/>
              <w:right w:w="105" w:type="dxa"/>
            </w:tcMar>
            <w:vAlign w:val="center"/>
          </w:tcPr>
          <w:p w14:paraId="719404B8">
            <w:pPr>
              <w:spacing w:line="320" w:lineRule="exact"/>
              <w:jc w:val="center"/>
              <w:rPr>
                <w:rFonts w:hint="eastAsia" w:ascii="仿宋_GB2312" w:hAnsi="仿宋_GB2312" w:eastAsia="仿宋_GB2312" w:cs="仿宋_GB2312"/>
                <w:szCs w:val="21"/>
              </w:rPr>
            </w:pPr>
          </w:p>
        </w:tc>
        <w:tc>
          <w:tcPr>
            <w:tcW w:w="2305" w:type="dxa"/>
            <w:gridSpan w:val="2"/>
            <w:noWrap w:val="0"/>
            <w:tcMar>
              <w:top w:w="0" w:type="dxa"/>
              <w:left w:w="105" w:type="dxa"/>
              <w:bottom w:w="0" w:type="dxa"/>
              <w:right w:w="105" w:type="dxa"/>
            </w:tcMar>
            <w:vAlign w:val="center"/>
          </w:tcPr>
          <w:p w14:paraId="7AFBC94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5.4502万元</w:t>
            </w:r>
          </w:p>
        </w:tc>
        <w:tc>
          <w:tcPr>
            <w:tcW w:w="1704" w:type="dxa"/>
            <w:gridSpan w:val="2"/>
            <w:noWrap w:val="0"/>
            <w:tcMar>
              <w:top w:w="0" w:type="dxa"/>
              <w:left w:w="105" w:type="dxa"/>
              <w:bottom w:w="0" w:type="dxa"/>
              <w:right w:w="105" w:type="dxa"/>
            </w:tcMar>
            <w:vAlign w:val="center"/>
          </w:tcPr>
          <w:p w14:paraId="6E7BF0F4">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99.09%</w:t>
            </w:r>
          </w:p>
        </w:tc>
      </w:tr>
      <w:tr w14:paraId="3E2F1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0" w:hRule="atLeast"/>
          <w:tblCellSpacing w:w="0" w:type="dxa"/>
        </w:trPr>
        <w:tc>
          <w:tcPr>
            <w:tcW w:w="1313" w:type="dxa"/>
            <w:noWrap w:val="0"/>
            <w:tcMar>
              <w:top w:w="0" w:type="dxa"/>
              <w:left w:w="105" w:type="dxa"/>
              <w:bottom w:w="0" w:type="dxa"/>
              <w:right w:w="105" w:type="dxa"/>
            </w:tcMar>
            <w:vAlign w:val="center"/>
          </w:tcPr>
          <w:p w14:paraId="42115A4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评价内容</w:t>
            </w:r>
          </w:p>
        </w:tc>
        <w:tc>
          <w:tcPr>
            <w:tcW w:w="1144" w:type="dxa"/>
            <w:noWrap w:val="0"/>
            <w:tcMar>
              <w:top w:w="0" w:type="dxa"/>
              <w:left w:w="105" w:type="dxa"/>
              <w:bottom w:w="0" w:type="dxa"/>
              <w:right w:w="105" w:type="dxa"/>
            </w:tcMar>
            <w:vAlign w:val="center"/>
          </w:tcPr>
          <w:p w14:paraId="6043DA49">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分值</w:t>
            </w:r>
          </w:p>
        </w:tc>
        <w:tc>
          <w:tcPr>
            <w:tcW w:w="5736" w:type="dxa"/>
            <w:gridSpan w:val="4"/>
            <w:noWrap w:val="0"/>
            <w:tcMar>
              <w:top w:w="0" w:type="dxa"/>
              <w:left w:w="105" w:type="dxa"/>
              <w:bottom w:w="0" w:type="dxa"/>
              <w:right w:w="105" w:type="dxa"/>
            </w:tcMar>
            <w:vAlign w:val="center"/>
          </w:tcPr>
          <w:p w14:paraId="5420675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评价简述</w:t>
            </w:r>
          </w:p>
        </w:tc>
        <w:tc>
          <w:tcPr>
            <w:tcW w:w="833" w:type="dxa"/>
            <w:noWrap w:val="0"/>
            <w:tcMar>
              <w:top w:w="0" w:type="dxa"/>
              <w:left w:w="105" w:type="dxa"/>
              <w:bottom w:w="0" w:type="dxa"/>
              <w:right w:w="105" w:type="dxa"/>
            </w:tcMar>
            <w:vAlign w:val="center"/>
          </w:tcPr>
          <w:p w14:paraId="0F4FB2FE">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1" w:type="dxa"/>
            <w:noWrap w:val="0"/>
            <w:tcMar>
              <w:top w:w="0" w:type="dxa"/>
              <w:left w:w="105" w:type="dxa"/>
              <w:bottom w:w="0" w:type="dxa"/>
              <w:right w:w="105" w:type="dxa"/>
            </w:tcMar>
            <w:vAlign w:val="center"/>
          </w:tcPr>
          <w:p w14:paraId="65307D9A">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财政复</w:t>
            </w:r>
          </w:p>
          <w:p w14:paraId="51715663">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评得分</w:t>
            </w:r>
          </w:p>
        </w:tc>
      </w:tr>
      <w:tr w14:paraId="2EB85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3" w:hRule="atLeast"/>
          <w:tblCellSpacing w:w="0" w:type="dxa"/>
        </w:trPr>
        <w:tc>
          <w:tcPr>
            <w:tcW w:w="1313" w:type="dxa"/>
            <w:noWrap w:val="0"/>
            <w:tcMar>
              <w:top w:w="0" w:type="dxa"/>
              <w:left w:w="105" w:type="dxa"/>
              <w:bottom w:w="0" w:type="dxa"/>
              <w:right w:w="105" w:type="dxa"/>
            </w:tcMar>
            <w:vAlign w:val="center"/>
          </w:tcPr>
          <w:p w14:paraId="00049F01">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4" w:type="dxa"/>
            <w:noWrap w:val="0"/>
            <w:tcMar>
              <w:top w:w="0" w:type="dxa"/>
              <w:left w:w="105" w:type="dxa"/>
              <w:bottom w:w="0" w:type="dxa"/>
              <w:right w:w="105" w:type="dxa"/>
            </w:tcMar>
            <w:vAlign w:val="center"/>
          </w:tcPr>
          <w:p w14:paraId="789F0E31">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6" w:type="dxa"/>
            <w:gridSpan w:val="4"/>
            <w:noWrap w:val="0"/>
            <w:tcMar>
              <w:top w:w="0" w:type="dxa"/>
              <w:left w:w="105" w:type="dxa"/>
              <w:bottom w:w="0" w:type="dxa"/>
              <w:right w:w="105" w:type="dxa"/>
            </w:tcMar>
            <w:vAlign w:val="center"/>
          </w:tcPr>
          <w:p w14:paraId="0195B1E7">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项目预算（即投入目标）编制科学、规范、合理，预期绩效目标申报完整，产出、效果类关键性指标清晰、明确、量化，投入与项目产出、效果目标匹配。</w:t>
            </w:r>
          </w:p>
        </w:tc>
        <w:tc>
          <w:tcPr>
            <w:tcW w:w="833" w:type="dxa"/>
            <w:noWrap w:val="0"/>
            <w:tcMar>
              <w:top w:w="0" w:type="dxa"/>
              <w:left w:w="105" w:type="dxa"/>
              <w:bottom w:w="0" w:type="dxa"/>
              <w:right w:w="105" w:type="dxa"/>
            </w:tcMar>
            <w:vAlign w:val="center"/>
          </w:tcPr>
          <w:p w14:paraId="51F46E5E">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1" w:type="dxa"/>
            <w:noWrap w:val="0"/>
            <w:tcMar>
              <w:top w:w="0" w:type="dxa"/>
              <w:left w:w="105" w:type="dxa"/>
              <w:bottom w:w="0" w:type="dxa"/>
              <w:right w:w="105" w:type="dxa"/>
            </w:tcMar>
            <w:vAlign w:val="center"/>
          </w:tcPr>
          <w:p w14:paraId="12D21916">
            <w:pPr>
              <w:spacing w:line="320" w:lineRule="exact"/>
              <w:jc w:val="center"/>
              <w:rPr>
                <w:rFonts w:hint="eastAsia" w:ascii="仿宋_GB2312" w:hAnsi="仿宋_GB2312" w:eastAsia="仿宋_GB2312" w:cs="仿宋_GB2312"/>
                <w:szCs w:val="21"/>
              </w:rPr>
            </w:pPr>
          </w:p>
        </w:tc>
      </w:tr>
      <w:tr w14:paraId="153B9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3" w:hRule="atLeast"/>
          <w:tblCellSpacing w:w="0" w:type="dxa"/>
        </w:trPr>
        <w:tc>
          <w:tcPr>
            <w:tcW w:w="1313" w:type="dxa"/>
            <w:noWrap w:val="0"/>
            <w:tcMar>
              <w:top w:w="0" w:type="dxa"/>
              <w:left w:w="105" w:type="dxa"/>
              <w:bottom w:w="0" w:type="dxa"/>
              <w:right w:w="105" w:type="dxa"/>
            </w:tcMar>
            <w:vAlign w:val="center"/>
          </w:tcPr>
          <w:p w14:paraId="79A6BB2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4" w:type="dxa"/>
            <w:noWrap w:val="0"/>
            <w:tcMar>
              <w:top w:w="0" w:type="dxa"/>
              <w:left w:w="105" w:type="dxa"/>
              <w:bottom w:w="0" w:type="dxa"/>
              <w:right w:w="105" w:type="dxa"/>
            </w:tcMar>
            <w:vAlign w:val="center"/>
          </w:tcPr>
          <w:p w14:paraId="3642D924">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6" w:type="dxa"/>
            <w:gridSpan w:val="4"/>
            <w:noWrap w:val="0"/>
            <w:tcMar>
              <w:top w:w="0" w:type="dxa"/>
              <w:left w:w="105" w:type="dxa"/>
              <w:bottom w:w="0" w:type="dxa"/>
              <w:right w:w="105" w:type="dxa"/>
            </w:tcMar>
            <w:vAlign w:val="center"/>
          </w:tcPr>
          <w:p w14:paraId="591D0BBC">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项目预算执行率为</w:t>
            </w:r>
            <w:r>
              <w:rPr>
                <w:rFonts w:hint="eastAsia" w:ascii="仿宋_GB2312" w:hAnsi="仿宋_GB2312" w:eastAsia="仿宋_GB2312" w:cs="仿宋_GB2312"/>
                <w:szCs w:val="21"/>
                <w:lang w:val="en-US" w:eastAsia="zh-CN"/>
              </w:rPr>
              <w:t>99.09</w:t>
            </w:r>
            <w:r>
              <w:rPr>
                <w:rFonts w:hint="eastAsia" w:ascii="仿宋_GB2312" w:hAnsi="仿宋_GB2312" w:eastAsia="仿宋_GB2312" w:cs="仿宋_GB2312"/>
                <w:szCs w:val="21"/>
              </w:rPr>
              <w:t>%。</w:t>
            </w:r>
          </w:p>
        </w:tc>
        <w:tc>
          <w:tcPr>
            <w:tcW w:w="833" w:type="dxa"/>
            <w:noWrap w:val="0"/>
            <w:tcMar>
              <w:top w:w="0" w:type="dxa"/>
              <w:left w:w="105" w:type="dxa"/>
              <w:bottom w:w="0" w:type="dxa"/>
              <w:right w:w="105" w:type="dxa"/>
            </w:tcMar>
            <w:vAlign w:val="center"/>
          </w:tcPr>
          <w:p w14:paraId="11223470">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8</w:t>
            </w:r>
          </w:p>
        </w:tc>
        <w:tc>
          <w:tcPr>
            <w:tcW w:w="871" w:type="dxa"/>
            <w:noWrap w:val="0"/>
            <w:tcMar>
              <w:top w:w="0" w:type="dxa"/>
              <w:left w:w="105" w:type="dxa"/>
              <w:bottom w:w="0" w:type="dxa"/>
              <w:right w:w="105" w:type="dxa"/>
            </w:tcMar>
            <w:vAlign w:val="center"/>
          </w:tcPr>
          <w:p w14:paraId="0CC58458">
            <w:pPr>
              <w:spacing w:line="320" w:lineRule="exact"/>
              <w:jc w:val="center"/>
              <w:rPr>
                <w:rFonts w:hint="eastAsia" w:ascii="仿宋_GB2312" w:hAnsi="仿宋_GB2312" w:eastAsia="仿宋_GB2312" w:cs="仿宋_GB2312"/>
                <w:szCs w:val="21"/>
              </w:rPr>
            </w:pPr>
          </w:p>
        </w:tc>
      </w:tr>
      <w:tr w14:paraId="72F9F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3" w:hRule="atLeast"/>
          <w:tblCellSpacing w:w="0" w:type="dxa"/>
        </w:trPr>
        <w:tc>
          <w:tcPr>
            <w:tcW w:w="1313" w:type="dxa"/>
            <w:noWrap w:val="0"/>
            <w:tcMar>
              <w:top w:w="0" w:type="dxa"/>
              <w:left w:w="105" w:type="dxa"/>
              <w:bottom w:w="0" w:type="dxa"/>
              <w:right w:w="105" w:type="dxa"/>
            </w:tcMar>
            <w:vAlign w:val="center"/>
          </w:tcPr>
          <w:p w14:paraId="479B02E8">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4" w:type="dxa"/>
            <w:noWrap w:val="0"/>
            <w:tcMar>
              <w:top w:w="0" w:type="dxa"/>
              <w:left w:w="105" w:type="dxa"/>
              <w:bottom w:w="0" w:type="dxa"/>
              <w:right w:w="105" w:type="dxa"/>
            </w:tcMar>
            <w:vAlign w:val="center"/>
          </w:tcPr>
          <w:p w14:paraId="1C23255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6" w:type="dxa"/>
            <w:gridSpan w:val="4"/>
            <w:noWrap w:val="0"/>
            <w:tcMar>
              <w:top w:w="0" w:type="dxa"/>
              <w:left w:w="105" w:type="dxa"/>
              <w:bottom w:w="0" w:type="dxa"/>
              <w:right w:w="105" w:type="dxa"/>
            </w:tcMar>
            <w:vAlign w:val="center"/>
          </w:tcPr>
          <w:p w14:paraId="2FDC8C93">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项目</w:t>
            </w:r>
            <w:r>
              <w:rPr>
                <w:rFonts w:hint="eastAsia" w:ascii="仿宋_GB2312" w:hAnsi="仿宋_GB2312" w:eastAsia="仿宋_GB2312" w:cs="仿宋_GB2312"/>
                <w:szCs w:val="21"/>
                <w:lang w:val="en-US" w:eastAsia="zh-CN"/>
              </w:rPr>
              <w:t>签订</w:t>
            </w:r>
            <w:r>
              <w:rPr>
                <w:rFonts w:hint="eastAsia" w:ascii="仿宋_GB2312" w:hAnsi="仿宋_GB2312" w:eastAsia="仿宋_GB2312" w:cs="仿宋_GB2312"/>
                <w:szCs w:val="21"/>
              </w:rPr>
              <w:t>了</w:t>
            </w:r>
            <w:r>
              <w:rPr>
                <w:rFonts w:hint="eastAsia" w:ascii="仿宋_GB2312" w:hAnsi="仿宋_GB2312" w:eastAsia="仿宋_GB2312" w:cs="仿宋_GB2312"/>
                <w:szCs w:val="21"/>
                <w:lang w:val="en-US" w:eastAsia="zh-CN"/>
              </w:rPr>
              <w:t>严格的保险合同</w:t>
            </w:r>
            <w:r>
              <w:rPr>
                <w:rFonts w:hint="eastAsia" w:ascii="仿宋_GB2312" w:hAnsi="仿宋_GB2312" w:eastAsia="仿宋_GB2312" w:cs="仿宋_GB2312"/>
                <w:szCs w:val="21"/>
              </w:rPr>
              <w:t>，并严格按相关</w:t>
            </w:r>
            <w:r>
              <w:rPr>
                <w:rFonts w:hint="eastAsia" w:ascii="仿宋_GB2312" w:hAnsi="仿宋_GB2312" w:eastAsia="仿宋_GB2312" w:cs="仿宋_GB2312"/>
                <w:szCs w:val="21"/>
                <w:lang w:val="en-US" w:eastAsia="zh-CN"/>
              </w:rPr>
              <w:t>条款</w:t>
            </w:r>
            <w:r>
              <w:rPr>
                <w:rFonts w:hint="eastAsia" w:ascii="仿宋_GB2312" w:hAnsi="仿宋_GB2312" w:eastAsia="仿宋_GB2312" w:cs="仿宋_GB2312"/>
                <w:szCs w:val="21"/>
              </w:rPr>
              <w:t>执行。</w:t>
            </w:r>
          </w:p>
        </w:tc>
        <w:tc>
          <w:tcPr>
            <w:tcW w:w="833" w:type="dxa"/>
            <w:noWrap w:val="0"/>
            <w:tcMar>
              <w:top w:w="0" w:type="dxa"/>
              <w:left w:w="105" w:type="dxa"/>
              <w:bottom w:w="0" w:type="dxa"/>
              <w:right w:w="105" w:type="dxa"/>
            </w:tcMar>
            <w:vAlign w:val="center"/>
          </w:tcPr>
          <w:p w14:paraId="0B045271">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1" w:type="dxa"/>
            <w:noWrap w:val="0"/>
            <w:tcMar>
              <w:top w:w="0" w:type="dxa"/>
              <w:left w:w="105" w:type="dxa"/>
              <w:bottom w:w="0" w:type="dxa"/>
              <w:right w:w="105" w:type="dxa"/>
            </w:tcMar>
            <w:vAlign w:val="center"/>
          </w:tcPr>
          <w:p w14:paraId="7248375E">
            <w:pPr>
              <w:spacing w:line="320" w:lineRule="exact"/>
              <w:jc w:val="center"/>
              <w:rPr>
                <w:rFonts w:hint="eastAsia" w:ascii="仿宋_GB2312" w:hAnsi="仿宋_GB2312" w:eastAsia="仿宋_GB2312" w:cs="仿宋_GB2312"/>
                <w:szCs w:val="21"/>
              </w:rPr>
            </w:pPr>
          </w:p>
        </w:tc>
      </w:tr>
      <w:tr w14:paraId="51652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9" w:hRule="atLeast"/>
          <w:tblCellSpacing w:w="0" w:type="dxa"/>
        </w:trPr>
        <w:tc>
          <w:tcPr>
            <w:tcW w:w="1313" w:type="dxa"/>
            <w:noWrap w:val="0"/>
            <w:tcMar>
              <w:top w:w="0" w:type="dxa"/>
              <w:left w:w="105" w:type="dxa"/>
              <w:bottom w:w="0" w:type="dxa"/>
              <w:right w:w="105" w:type="dxa"/>
            </w:tcMar>
            <w:vAlign w:val="center"/>
          </w:tcPr>
          <w:p w14:paraId="356C062C">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资金支出</w:t>
            </w:r>
          </w:p>
          <w:p w14:paraId="0CB0BC54">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合理合规</w:t>
            </w:r>
          </w:p>
        </w:tc>
        <w:tc>
          <w:tcPr>
            <w:tcW w:w="1144" w:type="dxa"/>
            <w:noWrap w:val="0"/>
            <w:tcMar>
              <w:top w:w="0" w:type="dxa"/>
              <w:left w:w="105" w:type="dxa"/>
              <w:bottom w:w="0" w:type="dxa"/>
              <w:right w:w="105" w:type="dxa"/>
            </w:tcMar>
            <w:vAlign w:val="center"/>
          </w:tcPr>
          <w:p w14:paraId="6A26E97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6" w:type="dxa"/>
            <w:gridSpan w:val="4"/>
            <w:noWrap w:val="0"/>
            <w:tcMar>
              <w:top w:w="0" w:type="dxa"/>
              <w:left w:w="105" w:type="dxa"/>
              <w:bottom w:w="0" w:type="dxa"/>
              <w:right w:w="105" w:type="dxa"/>
            </w:tcMar>
            <w:vAlign w:val="center"/>
          </w:tcPr>
          <w:p w14:paraId="4D80A962">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项目支出符合国家相关法律法规、财务管理制度等规定，且均在预算范围内，无与本项目预算不相符或无关的资金支出。</w:t>
            </w:r>
          </w:p>
        </w:tc>
        <w:tc>
          <w:tcPr>
            <w:tcW w:w="833" w:type="dxa"/>
            <w:noWrap w:val="0"/>
            <w:tcMar>
              <w:top w:w="0" w:type="dxa"/>
              <w:left w:w="105" w:type="dxa"/>
              <w:bottom w:w="0" w:type="dxa"/>
              <w:right w:w="105" w:type="dxa"/>
            </w:tcMar>
            <w:vAlign w:val="center"/>
          </w:tcPr>
          <w:p w14:paraId="69B4B679">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1" w:type="dxa"/>
            <w:noWrap w:val="0"/>
            <w:tcMar>
              <w:top w:w="0" w:type="dxa"/>
              <w:left w:w="105" w:type="dxa"/>
              <w:bottom w:w="0" w:type="dxa"/>
              <w:right w:w="105" w:type="dxa"/>
            </w:tcMar>
            <w:vAlign w:val="center"/>
          </w:tcPr>
          <w:p w14:paraId="6002E557">
            <w:pPr>
              <w:spacing w:line="320" w:lineRule="exact"/>
              <w:jc w:val="center"/>
              <w:rPr>
                <w:rFonts w:hint="eastAsia" w:ascii="仿宋_GB2312" w:hAnsi="仿宋_GB2312" w:eastAsia="仿宋_GB2312" w:cs="仿宋_GB2312"/>
                <w:szCs w:val="21"/>
              </w:rPr>
            </w:pPr>
          </w:p>
        </w:tc>
      </w:tr>
      <w:tr w14:paraId="37418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7" w:hRule="atLeast"/>
          <w:tblCellSpacing w:w="0" w:type="dxa"/>
        </w:trPr>
        <w:tc>
          <w:tcPr>
            <w:tcW w:w="1313" w:type="dxa"/>
            <w:noWrap w:val="0"/>
            <w:tcMar>
              <w:top w:w="0" w:type="dxa"/>
              <w:left w:w="105" w:type="dxa"/>
              <w:bottom w:w="0" w:type="dxa"/>
              <w:right w:w="105" w:type="dxa"/>
            </w:tcMar>
            <w:vAlign w:val="center"/>
          </w:tcPr>
          <w:p w14:paraId="6F99340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项目产出</w:t>
            </w:r>
          </w:p>
        </w:tc>
        <w:tc>
          <w:tcPr>
            <w:tcW w:w="1144" w:type="dxa"/>
            <w:noWrap w:val="0"/>
            <w:tcMar>
              <w:top w:w="0" w:type="dxa"/>
              <w:left w:w="105" w:type="dxa"/>
              <w:bottom w:w="0" w:type="dxa"/>
              <w:right w:w="105" w:type="dxa"/>
            </w:tcMar>
            <w:vAlign w:val="center"/>
          </w:tcPr>
          <w:p w14:paraId="72AE95E4">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30</w:t>
            </w:r>
          </w:p>
        </w:tc>
        <w:tc>
          <w:tcPr>
            <w:tcW w:w="5736" w:type="dxa"/>
            <w:gridSpan w:val="4"/>
            <w:noWrap w:val="0"/>
            <w:tcMar>
              <w:top w:w="0" w:type="dxa"/>
              <w:left w:w="105" w:type="dxa"/>
              <w:bottom w:w="0" w:type="dxa"/>
              <w:right w:w="105" w:type="dxa"/>
            </w:tcMar>
            <w:vAlign w:val="center"/>
          </w:tcPr>
          <w:p w14:paraId="7F2F5581">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项目产出</w:t>
            </w:r>
            <w:r>
              <w:rPr>
                <w:rFonts w:hint="eastAsia" w:ascii="仿宋_GB2312" w:hAnsi="仿宋_GB2312" w:eastAsia="仿宋_GB2312" w:cs="仿宋_GB2312"/>
                <w:szCs w:val="21"/>
                <w:lang w:val="en-US" w:eastAsia="zh-CN"/>
              </w:rPr>
              <w:t>454人</w:t>
            </w:r>
            <w:r>
              <w:rPr>
                <w:rFonts w:hint="eastAsia" w:ascii="仿宋_GB2312" w:hAnsi="仿宋_GB2312" w:eastAsia="仿宋_GB2312" w:cs="仿宋_GB2312"/>
                <w:szCs w:val="21"/>
              </w:rPr>
              <w:t>数量、产出质量、产出时效以及成本控制等方面</w:t>
            </w:r>
            <w:r>
              <w:rPr>
                <w:rFonts w:hint="eastAsia" w:ascii="仿宋_GB2312" w:hAnsi="仿宋_GB2312" w:eastAsia="仿宋_GB2312" w:cs="仿宋_GB2312"/>
                <w:szCs w:val="21"/>
                <w:lang w:val="en-US" w:eastAsia="zh-CN"/>
              </w:rPr>
              <w:t>均达到预算绩效目标。</w:t>
            </w:r>
          </w:p>
        </w:tc>
        <w:tc>
          <w:tcPr>
            <w:tcW w:w="833" w:type="dxa"/>
            <w:noWrap w:val="0"/>
            <w:tcMar>
              <w:top w:w="0" w:type="dxa"/>
              <w:left w:w="105" w:type="dxa"/>
              <w:bottom w:w="0" w:type="dxa"/>
              <w:right w:w="105" w:type="dxa"/>
            </w:tcMar>
            <w:vAlign w:val="center"/>
          </w:tcPr>
          <w:p w14:paraId="156A7C21">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29</w:t>
            </w:r>
          </w:p>
        </w:tc>
        <w:tc>
          <w:tcPr>
            <w:tcW w:w="871" w:type="dxa"/>
            <w:noWrap w:val="0"/>
            <w:tcMar>
              <w:top w:w="0" w:type="dxa"/>
              <w:left w:w="105" w:type="dxa"/>
              <w:bottom w:w="0" w:type="dxa"/>
              <w:right w:w="105" w:type="dxa"/>
            </w:tcMar>
            <w:vAlign w:val="center"/>
          </w:tcPr>
          <w:p w14:paraId="00851F98">
            <w:pPr>
              <w:spacing w:line="320" w:lineRule="exact"/>
              <w:jc w:val="center"/>
              <w:rPr>
                <w:rFonts w:hint="eastAsia" w:ascii="仿宋_GB2312" w:hAnsi="仿宋_GB2312" w:eastAsia="仿宋_GB2312" w:cs="仿宋_GB2312"/>
                <w:szCs w:val="21"/>
              </w:rPr>
            </w:pPr>
          </w:p>
        </w:tc>
      </w:tr>
      <w:tr w14:paraId="34B8B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2" w:hRule="atLeast"/>
          <w:tblCellSpacing w:w="0" w:type="dxa"/>
        </w:trPr>
        <w:tc>
          <w:tcPr>
            <w:tcW w:w="1313" w:type="dxa"/>
            <w:noWrap w:val="0"/>
            <w:tcMar>
              <w:top w:w="0" w:type="dxa"/>
              <w:left w:w="105" w:type="dxa"/>
              <w:bottom w:w="0" w:type="dxa"/>
              <w:right w:w="105" w:type="dxa"/>
            </w:tcMar>
            <w:vAlign w:val="center"/>
          </w:tcPr>
          <w:p w14:paraId="0902FD1F">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4" w:type="dxa"/>
            <w:noWrap w:val="0"/>
            <w:tcMar>
              <w:top w:w="0" w:type="dxa"/>
              <w:left w:w="105" w:type="dxa"/>
              <w:bottom w:w="0" w:type="dxa"/>
              <w:right w:w="105" w:type="dxa"/>
            </w:tcMar>
            <w:vAlign w:val="center"/>
          </w:tcPr>
          <w:p w14:paraId="4143D5D2">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w:t>
            </w:r>
          </w:p>
        </w:tc>
        <w:tc>
          <w:tcPr>
            <w:tcW w:w="5736" w:type="dxa"/>
            <w:gridSpan w:val="4"/>
            <w:noWrap w:val="0"/>
            <w:tcMar>
              <w:top w:w="0" w:type="dxa"/>
              <w:left w:w="105" w:type="dxa"/>
              <w:bottom w:w="0" w:type="dxa"/>
              <w:right w:w="105" w:type="dxa"/>
            </w:tcMar>
            <w:vAlign w:val="center"/>
          </w:tcPr>
          <w:p w14:paraId="182D370B">
            <w:pPr>
              <w:spacing w:line="300" w:lineRule="exact"/>
              <w:rPr>
                <w:rFonts w:hint="default" w:ascii="仿宋_GB2312" w:hAnsi="仿宋_GB2312" w:eastAsia="仿宋_GB2312" w:cs="仿宋_GB2312"/>
                <w:color w:val="auto"/>
                <w:szCs w:val="21"/>
                <w:lang w:val="en-US" w:eastAsia="zh-CN"/>
              </w:rPr>
            </w:pPr>
            <w:r>
              <w:rPr>
                <w:rFonts w:hint="eastAsia" w:ascii="仿宋_GB2312" w:hAnsi="仿宋_GB2312" w:eastAsia="仿宋_GB2312" w:cs="仿宋_GB2312"/>
                <w:color w:val="auto"/>
                <w:szCs w:val="21"/>
                <w:lang w:val="en-US" w:eastAsia="zh-CN"/>
              </w:rPr>
              <w:t>提高</w:t>
            </w:r>
            <w:r>
              <w:rPr>
                <w:rFonts w:hint="eastAsia" w:ascii="仿宋_GB2312" w:hAnsi="仿宋_GB2312" w:eastAsia="仿宋_GB2312" w:cs="仿宋_GB2312"/>
                <w:color w:val="auto"/>
                <w:szCs w:val="21"/>
              </w:rPr>
              <w:t>应急特岗人员</w:t>
            </w:r>
            <w:r>
              <w:rPr>
                <w:rFonts w:hint="eastAsia" w:ascii="仿宋_GB2312" w:hAnsi="仿宋_GB2312" w:eastAsia="仿宋_GB2312" w:cs="仿宋_GB2312"/>
                <w:color w:val="auto"/>
                <w:szCs w:val="21"/>
                <w:lang w:val="en-US" w:eastAsia="zh-CN"/>
              </w:rPr>
              <w:t>安全保障和应急特岗人员、临时救火人员的工作积极性。</w:t>
            </w:r>
          </w:p>
        </w:tc>
        <w:tc>
          <w:tcPr>
            <w:tcW w:w="833" w:type="dxa"/>
            <w:noWrap w:val="0"/>
            <w:tcMar>
              <w:top w:w="0" w:type="dxa"/>
              <w:left w:w="105" w:type="dxa"/>
              <w:bottom w:w="0" w:type="dxa"/>
              <w:right w:w="105" w:type="dxa"/>
            </w:tcMar>
            <w:vAlign w:val="center"/>
          </w:tcPr>
          <w:p w14:paraId="074C699A">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18</w:t>
            </w:r>
          </w:p>
        </w:tc>
        <w:tc>
          <w:tcPr>
            <w:tcW w:w="871" w:type="dxa"/>
            <w:noWrap w:val="0"/>
            <w:tcMar>
              <w:top w:w="0" w:type="dxa"/>
              <w:left w:w="105" w:type="dxa"/>
              <w:bottom w:w="0" w:type="dxa"/>
              <w:right w:w="105" w:type="dxa"/>
            </w:tcMar>
            <w:vAlign w:val="center"/>
          </w:tcPr>
          <w:p w14:paraId="3DE0341D">
            <w:pPr>
              <w:spacing w:line="320" w:lineRule="exact"/>
              <w:jc w:val="center"/>
              <w:rPr>
                <w:rFonts w:hint="eastAsia" w:ascii="仿宋_GB2312" w:hAnsi="仿宋_GB2312" w:eastAsia="仿宋_GB2312" w:cs="仿宋_GB2312"/>
                <w:szCs w:val="21"/>
              </w:rPr>
            </w:pPr>
          </w:p>
        </w:tc>
      </w:tr>
      <w:tr w14:paraId="1CCDD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5" w:hRule="atLeast"/>
          <w:tblCellSpacing w:w="0" w:type="dxa"/>
        </w:trPr>
        <w:tc>
          <w:tcPr>
            <w:tcW w:w="1313" w:type="dxa"/>
            <w:noWrap w:val="0"/>
            <w:tcMar>
              <w:top w:w="0" w:type="dxa"/>
              <w:left w:w="105" w:type="dxa"/>
              <w:bottom w:w="0" w:type="dxa"/>
              <w:right w:w="105" w:type="dxa"/>
            </w:tcMar>
            <w:vAlign w:val="center"/>
          </w:tcPr>
          <w:p w14:paraId="2F3C4D6B">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满意度</w:t>
            </w:r>
          </w:p>
        </w:tc>
        <w:tc>
          <w:tcPr>
            <w:tcW w:w="1144" w:type="dxa"/>
            <w:noWrap w:val="0"/>
            <w:tcMar>
              <w:top w:w="0" w:type="dxa"/>
              <w:left w:w="105" w:type="dxa"/>
              <w:bottom w:w="0" w:type="dxa"/>
              <w:right w:w="105" w:type="dxa"/>
            </w:tcMar>
            <w:vAlign w:val="center"/>
          </w:tcPr>
          <w:p w14:paraId="7A3459E1">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6" w:type="dxa"/>
            <w:gridSpan w:val="4"/>
            <w:noWrap w:val="0"/>
            <w:tcMar>
              <w:top w:w="0" w:type="dxa"/>
              <w:left w:w="105" w:type="dxa"/>
              <w:bottom w:w="0" w:type="dxa"/>
              <w:right w:w="105" w:type="dxa"/>
            </w:tcMar>
            <w:vAlign w:val="center"/>
          </w:tcPr>
          <w:p w14:paraId="25FBBC2D">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rPr>
              <w:t>服务对象满意度</w:t>
            </w:r>
            <w:r>
              <w:rPr>
                <w:rFonts w:hint="eastAsia" w:ascii="仿宋_GB2312" w:hAnsi="仿宋_GB2312" w:eastAsia="仿宋_GB2312" w:cs="仿宋_GB2312"/>
                <w:szCs w:val="21"/>
                <w:lang w:val="en-US" w:eastAsia="zh-CN"/>
              </w:rPr>
              <w:t>达100%</w:t>
            </w:r>
          </w:p>
        </w:tc>
        <w:tc>
          <w:tcPr>
            <w:tcW w:w="833" w:type="dxa"/>
            <w:noWrap w:val="0"/>
            <w:tcMar>
              <w:top w:w="0" w:type="dxa"/>
              <w:left w:w="105" w:type="dxa"/>
              <w:bottom w:w="0" w:type="dxa"/>
              <w:right w:w="105" w:type="dxa"/>
            </w:tcMar>
            <w:vAlign w:val="center"/>
          </w:tcPr>
          <w:p w14:paraId="18290048">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1" w:type="dxa"/>
            <w:noWrap w:val="0"/>
            <w:tcMar>
              <w:top w:w="0" w:type="dxa"/>
              <w:left w:w="105" w:type="dxa"/>
              <w:bottom w:w="0" w:type="dxa"/>
              <w:right w:w="105" w:type="dxa"/>
            </w:tcMar>
            <w:vAlign w:val="center"/>
          </w:tcPr>
          <w:p w14:paraId="73EA47B5">
            <w:pPr>
              <w:spacing w:line="320" w:lineRule="exact"/>
              <w:jc w:val="center"/>
              <w:rPr>
                <w:rFonts w:hint="eastAsia" w:ascii="仿宋_GB2312" w:hAnsi="仿宋_GB2312" w:eastAsia="仿宋_GB2312" w:cs="仿宋_GB2312"/>
                <w:szCs w:val="21"/>
              </w:rPr>
            </w:pPr>
          </w:p>
        </w:tc>
      </w:tr>
      <w:tr w14:paraId="5F34C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8" w:hRule="atLeast"/>
          <w:tblCellSpacing w:w="0" w:type="dxa"/>
        </w:trPr>
        <w:tc>
          <w:tcPr>
            <w:tcW w:w="1313" w:type="dxa"/>
            <w:noWrap w:val="0"/>
            <w:tcMar>
              <w:top w:w="0" w:type="dxa"/>
              <w:left w:w="105" w:type="dxa"/>
              <w:bottom w:w="0" w:type="dxa"/>
              <w:right w:w="105" w:type="dxa"/>
            </w:tcMar>
            <w:vAlign w:val="center"/>
          </w:tcPr>
          <w:p w14:paraId="6DBF14B7">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小计</w:t>
            </w:r>
          </w:p>
        </w:tc>
        <w:tc>
          <w:tcPr>
            <w:tcW w:w="1144" w:type="dxa"/>
            <w:noWrap w:val="0"/>
            <w:tcMar>
              <w:top w:w="0" w:type="dxa"/>
              <w:left w:w="105" w:type="dxa"/>
              <w:bottom w:w="0" w:type="dxa"/>
              <w:right w:w="105" w:type="dxa"/>
            </w:tcMar>
            <w:vAlign w:val="center"/>
          </w:tcPr>
          <w:p w14:paraId="150389BC">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6" w:type="dxa"/>
            <w:gridSpan w:val="4"/>
            <w:noWrap w:val="0"/>
            <w:tcMar>
              <w:top w:w="0" w:type="dxa"/>
              <w:left w:w="105" w:type="dxa"/>
              <w:bottom w:w="0" w:type="dxa"/>
              <w:right w:w="105" w:type="dxa"/>
            </w:tcMar>
            <w:vAlign w:val="center"/>
          </w:tcPr>
          <w:p w14:paraId="664BB1C0">
            <w:pPr>
              <w:spacing w:line="300" w:lineRule="exact"/>
              <w:rPr>
                <w:rFonts w:hint="eastAsia" w:ascii="仿宋_GB2312" w:hAnsi="仿宋_GB2312" w:eastAsia="仿宋_GB2312" w:cs="仿宋_GB2312"/>
                <w:szCs w:val="21"/>
              </w:rPr>
            </w:pPr>
          </w:p>
        </w:tc>
        <w:tc>
          <w:tcPr>
            <w:tcW w:w="833" w:type="dxa"/>
            <w:noWrap w:val="0"/>
            <w:tcMar>
              <w:top w:w="0" w:type="dxa"/>
              <w:left w:w="105" w:type="dxa"/>
              <w:bottom w:w="0" w:type="dxa"/>
              <w:right w:w="105" w:type="dxa"/>
            </w:tcMar>
            <w:vAlign w:val="center"/>
          </w:tcPr>
          <w:p w14:paraId="2BF2BF9C">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95</w:t>
            </w:r>
          </w:p>
        </w:tc>
        <w:tc>
          <w:tcPr>
            <w:tcW w:w="871" w:type="dxa"/>
            <w:noWrap w:val="0"/>
            <w:tcMar>
              <w:top w:w="0" w:type="dxa"/>
              <w:left w:w="105" w:type="dxa"/>
              <w:bottom w:w="0" w:type="dxa"/>
              <w:right w:w="105" w:type="dxa"/>
            </w:tcMar>
            <w:vAlign w:val="center"/>
          </w:tcPr>
          <w:p w14:paraId="5E3FD569">
            <w:pPr>
              <w:spacing w:line="320" w:lineRule="exact"/>
              <w:jc w:val="center"/>
              <w:rPr>
                <w:rFonts w:hint="eastAsia" w:ascii="仿宋_GB2312" w:hAnsi="仿宋_GB2312" w:eastAsia="仿宋_GB2312" w:cs="仿宋_GB2312"/>
                <w:szCs w:val="21"/>
              </w:rPr>
            </w:pPr>
          </w:p>
        </w:tc>
      </w:tr>
      <w:tr w14:paraId="183AA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3" w:hRule="atLeast"/>
          <w:tblCellSpacing w:w="0" w:type="dxa"/>
        </w:trPr>
        <w:tc>
          <w:tcPr>
            <w:tcW w:w="1313" w:type="dxa"/>
            <w:noWrap w:val="0"/>
            <w:tcMar>
              <w:top w:w="0" w:type="dxa"/>
              <w:left w:w="105" w:type="dxa"/>
              <w:bottom w:w="0" w:type="dxa"/>
              <w:right w:w="105" w:type="dxa"/>
            </w:tcMar>
            <w:vAlign w:val="center"/>
          </w:tcPr>
          <w:p w14:paraId="2FD8BE8B">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负向指标</w:t>
            </w:r>
          </w:p>
        </w:tc>
        <w:tc>
          <w:tcPr>
            <w:tcW w:w="1144" w:type="dxa"/>
            <w:noWrap w:val="0"/>
            <w:tcMar>
              <w:top w:w="0" w:type="dxa"/>
              <w:left w:w="105" w:type="dxa"/>
              <w:bottom w:w="0" w:type="dxa"/>
              <w:right w:w="105" w:type="dxa"/>
            </w:tcMar>
            <w:vAlign w:val="center"/>
          </w:tcPr>
          <w:p w14:paraId="35582D00">
            <w:pPr>
              <w:spacing w:line="300" w:lineRule="exact"/>
              <w:jc w:val="center"/>
              <w:rPr>
                <w:rFonts w:hint="eastAsia" w:ascii="仿宋_GB2312" w:hAnsi="仿宋_GB2312" w:eastAsia="仿宋_GB2312" w:cs="仿宋_GB2312"/>
                <w:szCs w:val="21"/>
              </w:rPr>
            </w:pPr>
          </w:p>
        </w:tc>
        <w:tc>
          <w:tcPr>
            <w:tcW w:w="5736" w:type="dxa"/>
            <w:gridSpan w:val="4"/>
            <w:noWrap w:val="0"/>
            <w:tcMar>
              <w:top w:w="0" w:type="dxa"/>
              <w:left w:w="105" w:type="dxa"/>
              <w:bottom w:w="0" w:type="dxa"/>
              <w:right w:w="105" w:type="dxa"/>
            </w:tcMar>
            <w:vAlign w:val="center"/>
          </w:tcPr>
          <w:p w14:paraId="2551A933">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3" w:type="dxa"/>
            <w:noWrap w:val="0"/>
            <w:tcMar>
              <w:top w:w="0" w:type="dxa"/>
              <w:left w:w="105" w:type="dxa"/>
              <w:bottom w:w="0" w:type="dxa"/>
              <w:right w:w="105" w:type="dxa"/>
            </w:tcMar>
            <w:vAlign w:val="center"/>
          </w:tcPr>
          <w:p w14:paraId="10B0C45A">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0</w:t>
            </w:r>
          </w:p>
        </w:tc>
        <w:tc>
          <w:tcPr>
            <w:tcW w:w="871" w:type="dxa"/>
            <w:noWrap w:val="0"/>
            <w:tcMar>
              <w:top w:w="0" w:type="dxa"/>
              <w:left w:w="105" w:type="dxa"/>
              <w:bottom w:w="0" w:type="dxa"/>
              <w:right w:w="105" w:type="dxa"/>
            </w:tcMar>
            <w:vAlign w:val="center"/>
          </w:tcPr>
          <w:p w14:paraId="475A1D26">
            <w:pPr>
              <w:spacing w:line="320" w:lineRule="exact"/>
              <w:jc w:val="center"/>
              <w:rPr>
                <w:rFonts w:hint="eastAsia" w:ascii="仿宋_GB2312" w:hAnsi="仿宋_GB2312" w:eastAsia="仿宋_GB2312" w:cs="仿宋_GB2312"/>
                <w:szCs w:val="21"/>
              </w:rPr>
            </w:pPr>
          </w:p>
        </w:tc>
      </w:tr>
      <w:tr w14:paraId="751A8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blCellSpacing w:w="0" w:type="dxa"/>
        </w:trPr>
        <w:tc>
          <w:tcPr>
            <w:tcW w:w="1313" w:type="dxa"/>
            <w:noWrap w:val="0"/>
            <w:tcMar>
              <w:top w:w="0" w:type="dxa"/>
              <w:left w:w="105" w:type="dxa"/>
              <w:bottom w:w="0" w:type="dxa"/>
              <w:right w:w="105" w:type="dxa"/>
            </w:tcMar>
            <w:vAlign w:val="center"/>
          </w:tcPr>
          <w:p w14:paraId="42BCDD33">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合计</w:t>
            </w:r>
          </w:p>
        </w:tc>
        <w:tc>
          <w:tcPr>
            <w:tcW w:w="1144" w:type="dxa"/>
            <w:noWrap w:val="0"/>
            <w:tcMar>
              <w:top w:w="0" w:type="dxa"/>
              <w:left w:w="105" w:type="dxa"/>
              <w:bottom w:w="0" w:type="dxa"/>
              <w:right w:w="105" w:type="dxa"/>
            </w:tcMar>
            <w:vAlign w:val="center"/>
          </w:tcPr>
          <w:p w14:paraId="4430B98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6" w:type="dxa"/>
            <w:gridSpan w:val="4"/>
            <w:noWrap w:val="0"/>
            <w:tcMar>
              <w:top w:w="0" w:type="dxa"/>
              <w:left w:w="105" w:type="dxa"/>
              <w:bottom w:w="0" w:type="dxa"/>
              <w:right w:w="105" w:type="dxa"/>
            </w:tcMar>
            <w:vAlign w:val="center"/>
          </w:tcPr>
          <w:p w14:paraId="409ABAB5">
            <w:pPr>
              <w:spacing w:line="320" w:lineRule="exact"/>
              <w:jc w:val="center"/>
              <w:rPr>
                <w:rFonts w:hint="eastAsia" w:ascii="仿宋_GB2312" w:hAnsi="仿宋_GB2312" w:eastAsia="仿宋_GB2312" w:cs="仿宋_GB2312"/>
                <w:szCs w:val="21"/>
              </w:rPr>
            </w:pPr>
          </w:p>
        </w:tc>
        <w:tc>
          <w:tcPr>
            <w:tcW w:w="833" w:type="dxa"/>
            <w:noWrap w:val="0"/>
            <w:tcMar>
              <w:top w:w="0" w:type="dxa"/>
              <w:left w:w="105" w:type="dxa"/>
              <w:bottom w:w="0" w:type="dxa"/>
              <w:right w:w="105" w:type="dxa"/>
            </w:tcMar>
            <w:vAlign w:val="center"/>
          </w:tcPr>
          <w:p w14:paraId="3B5E43D4">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95</w:t>
            </w:r>
            <w:bookmarkStart w:id="0" w:name="_GoBack"/>
            <w:bookmarkEnd w:id="0"/>
          </w:p>
        </w:tc>
        <w:tc>
          <w:tcPr>
            <w:tcW w:w="871" w:type="dxa"/>
            <w:noWrap w:val="0"/>
            <w:tcMar>
              <w:top w:w="0" w:type="dxa"/>
              <w:left w:w="105" w:type="dxa"/>
              <w:bottom w:w="0" w:type="dxa"/>
              <w:right w:w="105" w:type="dxa"/>
            </w:tcMar>
            <w:vAlign w:val="center"/>
          </w:tcPr>
          <w:p w14:paraId="0B04F836">
            <w:pPr>
              <w:spacing w:line="320" w:lineRule="exact"/>
              <w:jc w:val="center"/>
              <w:rPr>
                <w:rFonts w:hint="eastAsia" w:ascii="仿宋_GB2312" w:hAnsi="仿宋_GB2312" w:eastAsia="仿宋_GB2312" w:cs="仿宋_GB2312"/>
                <w:szCs w:val="21"/>
              </w:rPr>
            </w:pPr>
          </w:p>
        </w:tc>
      </w:tr>
      <w:tr w14:paraId="1561C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9" w:hRule="atLeast"/>
          <w:tblCellSpacing w:w="0" w:type="dxa"/>
        </w:trPr>
        <w:tc>
          <w:tcPr>
            <w:tcW w:w="1313" w:type="dxa"/>
            <w:noWrap w:val="0"/>
            <w:tcMar>
              <w:top w:w="0" w:type="dxa"/>
              <w:left w:w="105" w:type="dxa"/>
              <w:bottom w:w="0" w:type="dxa"/>
              <w:right w:w="105" w:type="dxa"/>
            </w:tcMar>
            <w:vAlign w:val="center"/>
          </w:tcPr>
          <w:p w14:paraId="3C36C9F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评价结果</w:t>
            </w:r>
          </w:p>
        </w:tc>
        <w:tc>
          <w:tcPr>
            <w:tcW w:w="1144" w:type="dxa"/>
            <w:noWrap w:val="0"/>
            <w:tcMar>
              <w:top w:w="0" w:type="dxa"/>
              <w:left w:w="105" w:type="dxa"/>
              <w:bottom w:w="0" w:type="dxa"/>
              <w:right w:w="105" w:type="dxa"/>
            </w:tcMar>
            <w:vAlign w:val="center"/>
          </w:tcPr>
          <w:p w14:paraId="2C527B31">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优秀</w:t>
            </w:r>
          </w:p>
        </w:tc>
        <w:tc>
          <w:tcPr>
            <w:tcW w:w="7440" w:type="dxa"/>
            <w:gridSpan w:val="6"/>
            <w:noWrap w:val="0"/>
            <w:tcMar>
              <w:top w:w="0" w:type="dxa"/>
              <w:left w:w="105" w:type="dxa"/>
              <w:bottom w:w="0" w:type="dxa"/>
              <w:right w:w="105" w:type="dxa"/>
            </w:tcMar>
            <w:vAlign w:val="center"/>
          </w:tcPr>
          <w:p w14:paraId="4926186D">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14:paraId="7165DA57">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14:paraId="3CA99361">
      <w:pPr>
        <w:spacing w:line="320" w:lineRule="exact"/>
        <w:ind w:left="0"/>
        <w:jc w:val="left"/>
        <w:rPr>
          <w:rFonts w:ascii="华文中宋" w:hAnsi="华文中宋" w:eastAsia="华文中宋"/>
          <w:sz w:val="8"/>
          <w:szCs w:val="10"/>
        </w:rPr>
      </w:pPr>
    </w:p>
    <w:p w14:paraId="26B4147D">
      <w:pPr>
        <w:spacing w:line="320" w:lineRule="exact"/>
        <w:ind w:left="0"/>
        <w:jc w:val="left"/>
      </w:pPr>
      <w:r>
        <w:rPr>
          <w:rFonts w:ascii="华文中宋" w:hAnsi="华文中宋" w:eastAsia="华文中宋"/>
          <w:szCs w:val="21"/>
        </w:rPr>
        <w:t>单位负责人（签字）：</w:t>
      </w:r>
      <w:r>
        <w:rPr>
          <w:rFonts w:hint="eastAsia" w:ascii="华文中宋" w:hAnsi="华文中宋" w:eastAsia="华文中宋"/>
          <w:szCs w:val="21"/>
          <w:lang w:val="en-US" w:eastAsia="zh-CN"/>
        </w:rPr>
        <w:t>朱明</w:t>
      </w:r>
      <w:r>
        <w:rPr>
          <w:rFonts w:ascii="华文中宋" w:hAnsi="华文中宋" w:eastAsia="华文中宋"/>
          <w:szCs w:val="21"/>
        </w:rPr>
        <w:t xml:space="preserve">  </w:t>
      </w:r>
      <w:r>
        <w:rPr>
          <w:rFonts w:hint="eastAsia" w:ascii="华文中宋" w:hAnsi="华文中宋" w:eastAsia="华文中宋"/>
          <w:szCs w:val="21"/>
        </w:rPr>
        <w:t xml:space="preserve"> </w:t>
      </w:r>
      <w:r>
        <w:rPr>
          <w:rFonts w:ascii="华文中宋" w:hAnsi="华文中宋" w:eastAsia="华文中宋"/>
          <w:szCs w:val="21"/>
        </w:rPr>
        <w:t>项目负责人（签字）：</w:t>
      </w:r>
      <w:r>
        <w:rPr>
          <w:rFonts w:hint="eastAsia" w:ascii="华文中宋" w:hAnsi="华文中宋" w:eastAsia="华文中宋"/>
          <w:szCs w:val="21"/>
          <w:lang w:val="en-US" w:eastAsia="zh-CN"/>
        </w:rPr>
        <w:t>杨建华</w:t>
      </w:r>
      <w:r>
        <w:rPr>
          <w:rFonts w:ascii="华文中宋" w:hAnsi="华文中宋" w:eastAsia="华文中宋"/>
          <w:szCs w:val="21"/>
        </w:rPr>
        <w:t> </w:t>
      </w:r>
      <w:r>
        <w:rPr>
          <w:rFonts w:hint="eastAsia" w:ascii="华文中宋" w:hAnsi="华文中宋" w:eastAsia="华文中宋"/>
          <w:szCs w:val="21"/>
        </w:rPr>
        <w:t xml:space="preserve">  </w:t>
      </w:r>
      <w:r>
        <w:rPr>
          <w:rFonts w:ascii="华文中宋" w:hAnsi="华文中宋" w:eastAsia="华文中宋"/>
          <w:szCs w:val="21"/>
        </w:rPr>
        <w:t>填表日期：</w:t>
      </w:r>
      <w:r>
        <w:rPr>
          <w:rFonts w:hint="eastAsia" w:ascii="华文中宋" w:hAnsi="华文中宋" w:eastAsia="华文中宋"/>
          <w:szCs w:val="21"/>
          <w:lang w:val="en-US" w:eastAsia="zh-CN"/>
        </w:rPr>
        <w:t>2025</w:t>
      </w:r>
      <w:r>
        <w:rPr>
          <w:rFonts w:ascii="华文中宋" w:hAnsi="华文中宋" w:eastAsia="华文中宋"/>
          <w:szCs w:val="21"/>
        </w:rPr>
        <w:t>年</w:t>
      </w:r>
      <w:r>
        <w:rPr>
          <w:rFonts w:hint="eastAsia" w:ascii="华文中宋" w:hAnsi="华文中宋" w:eastAsia="华文中宋"/>
          <w:szCs w:val="21"/>
          <w:lang w:val="en-US" w:eastAsia="zh-CN"/>
        </w:rPr>
        <w:t>3</w:t>
      </w:r>
      <w:r>
        <w:rPr>
          <w:rFonts w:ascii="华文中宋" w:hAnsi="华文中宋" w:eastAsia="华文中宋"/>
          <w:szCs w:val="21"/>
        </w:rPr>
        <w:t>月</w:t>
      </w:r>
      <w:r>
        <w:rPr>
          <w:rFonts w:hint="eastAsia" w:ascii="华文中宋" w:hAnsi="华文中宋" w:eastAsia="华文中宋"/>
          <w:szCs w:val="21"/>
          <w:lang w:val="en-US" w:eastAsia="zh-CN"/>
        </w:rPr>
        <w:t>17</w:t>
      </w:r>
      <w:r>
        <w:rPr>
          <w:rFonts w:ascii="华文中宋" w:hAnsi="华文中宋" w:eastAsia="华文中宋"/>
          <w:szCs w:val="21"/>
        </w:rPr>
        <w:t>日</w:t>
      </w:r>
    </w:p>
    <w:p w14:paraId="0639BA7C">
      <w:pPr>
        <w:spacing w:before="240" w:line="340" w:lineRule="exact"/>
        <w:jc w:val="left"/>
        <w:rPr>
          <w:rFonts w:hint="default" w:eastAsia="仿宋_GB2312"/>
          <w:b/>
          <w:sz w:val="24"/>
          <w:lang w:val="en-US" w:eastAsia="zh-CN"/>
        </w:rPr>
      </w:pPr>
      <w:r>
        <w:rPr>
          <w:rFonts w:hint="eastAsia" w:ascii="仿宋_GB2312" w:hAnsi="仿宋_GB2312" w:eastAsia="仿宋_GB2312" w:cs="仿宋_GB2312"/>
          <w:b/>
          <w:sz w:val="24"/>
        </w:rPr>
        <w:t>附件2-3 </w:t>
      </w:r>
    </w:p>
    <w:p w14:paraId="60C68A33">
      <w:pPr>
        <w:spacing w:line="600" w:lineRule="exact"/>
        <w:jc w:val="center"/>
        <w:rPr>
          <w:rFonts w:hint="eastAsia" w:ascii="宋体" w:hAnsi="宋体"/>
          <w:b/>
          <w:w w:val="85"/>
          <w:sz w:val="44"/>
          <w:szCs w:val="44"/>
        </w:rPr>
      </w:pPr>
      <w:r>
        <w:rPr>
          <w:rFonts w:eastAsia="方正粗宋简体"/>
          <w:w w:val="85"/>
          <w:sz w:val="44"/>
          <w:szCs w:val="44"/>
        </w:rPr>
        <w:t> </w:t>
      </w:r>
      <w:r>
        <w:rPr>
          <w:rFonts w:hint="eastAsia" w:ascii="宋体" w:hAnsi="宋体" w:eastAsia="方正粗宋简体"/>
          <w:b/>
          <w:w w:val="85"/>
          <w:sz w:val="44"/>
          <w:szCs w:val="44"/>
          <w:lang w:eastAsia="zh-CN"/>
        </w:rPr>
        <w:t>202</w:t>
      </w:r>
      <w:r>
        <w:rPr>
          <w:rFonts w:hint="eastAsia" w:ascii="宋体" w:hAnsi="宋体" w:eastAsia="方正粗宋简体"/>
          <w:b/>
          <w:w w:val="85"/>
          <w:sz w:val="44"/>
          <w:szCs w:val="44"/>
          <w:lang w:val="en-US" w:eastAsia="zh-CN"/>
        </w:rPr>
        <w:t>4</w:t>
      </w:r>
      <w:r>
        <w:rPr>
          <w:rFonts w:ascii="宋体" w:hAnsi="宋体"/>
          <w:b/>
          <w:w w:val="85"/>
          <w:sz w:val="44"/>
          <w:szCs w:val="44"/>
        </w:rPr>
        <w:t>年度</w:t>
      </w:r>
      <w:r>
        <w:rPr>
          <w:rFonts w:hint="eastAsia" w:ascii="宋体" w:hAnsi="宋体"/>
          <w:b/>
          <w:w w:val="85"/>
          <w:sz w:val="44"/>
          <w:szCs w:val="44"/>
          <w:lang w:val="en-US" w:eastAsia="zh-CN"/>
        </w:rPr>
        <w:t>特岗人员意外伤害保险</w:t>
      </w:r>
      <w:r>
        <w:rPr>
          <w:rFonts w:hint="eastAsia" w:ascii="宋体" w:hAnsi="宋体"/>
          <w:b/>
          <w:w w:val="85"/>
          <w:sz w:val="44"/>
          <w:szCs w:val="44"/>
        </w:rPr>
        <w:t>项目</w:t>
      </w:r>
      <w:r>
        <w:rPr>
          <w:rFonts w:ascii="宋体" w:hAnsi="宋体"/>
          <w:b/>
          <w:w w:val="85"/>
          <w:sz w:val="44"/>
          <w:szCs w:val="44"/>
        </w:rPr>
        <w:t>支出</w:t>
      </w:r>
      <w:r>
        <w:rPr>
          <w:rFonts w:hint="eastAsia" w:ascii="宋体" w:hAnsi="宋体"/>
          <w:b/>
          <w:w w:val="85"/>
          <w:sz w:val="44"/>
          <w:szCs w:val="44"/>
        </w:rPr>
        <w:t>绩效</w:t>
      </w:r>
    </w:p>
    <w:p w14:paraId="0EB1497E">
      <w:pPr>
        <w:spacing w:line="600" w:lineRule="exact"/>
        <w:jc w:val="center"/>
        <w:rPr>
          <w:rFonts w:hint="eastAsia" w:ascii="宋体" w:hAnsi="宋体"/>
          <w:b/>
          <w:w w:val="85"/>
          <w:sz w:val="36"/>
          <w:szCs w:val="36"/>
        </w:rPr>
      </w:pPr>
      <w:r>
        <w:rPr>
          <w:rFonts w:ascii="宋体" w:hAnsi="宋体"/>
          <w:b/>
          <w:w w:val="85"/>
          <w:sz w:val="44"/>
          <w:szCs w:val="44"/>
        </w:rPr>
        <w:t>自评报告</w:t>
      </w:r>
    </w:p>
    <w:p w14:paraId="21FFB2E6">
      <w:pPr>
        <w:spacing w:line="560" w:lineRule="exact"/>
        <w:ind w:firstLine="643" w:firstLineChars="200"/>
        <w:jc w:val="left"/>
        <w:rPr>
          <w:rFonts w:hint="eastAsia" w:ascii="宋体" w:hAnsi="宋体" w:eastAsia="宋体" w:cs="宋体"/>
          <w:b/>
          <w:bCs w:val="0"/>
          <w:sz w:val="32"/>
          <w:szCs w:val="32"/>
        </w:rPr>
      </w:pPr>
    </w:p>
    <w:p w14:paraId="3DD64B11">
      <w:pPr>
        <w:spacing w:line="560" w:lineRule="exact"/>
        <w:ind w:firstLine="640" w:firstLineChars="200"/>
        <w:jc w:val="left"/>
        <w:rPr>
          <w:rFonts w:hint="eastAsia" w:ascii="黑体" w:hAnsi="黑体" w:eastAsia="黑体" w:cs="黑体"/>
          <w:b w:val="0"/>
          <w:bCs/>
          <w:sz w:val="32"/>
          <w:szCs w:val="32"/>
        </w:rPr>
      </w:pPr>
      <w:r>
        <w:rPr>
          <w:rFonts w:hint="eastAsia" w:ascii="黑体" w:hAnsi="黑体" w:eastAsia="黑体" w:cs="黑体"/>
          <w:b w:val="0"/>
          <w:bCs/>
          <w:sz w:val="32"/>
          <w:szCs w:val="32"/>
        </w:rPr>
        <w:t>一、基本情况</w:t>
      </w:r>
    </w:p>
    <w:p w14:paraId="620DE216">
      <w:pPr>
        <w:spacing w:line="560" w:lineRule="exact"/>
        <w:ind w:firstLine="643" w:firstLineChars="200"/>
        <w:jc w:val="left"/>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（一）项目概况</w:t>
      </w:r>
    </w:p>
    <w:p w14:paraId="326D5140">
      <w:pPr>
        <w:spacing w:line="56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应急管理部办公厅关于为应急管理系统特岗人员购买意外伤害保险的通知》（应急厅函〔2019〕468号）、《湖南省应急管理厅办公室关于为特岗人员购买意外伤害保险的通知》（湘应急办函〔2019〕48号）文件精神，按照分级管理，分级负责的原则，给予应急管理系统在编（含事业编制人员）在职特岗人员购买意外伤害险。该项目年初预算5.50万元，全年执行数5.4502万元，预算执行率99.09%。</w:t>
      </w:r>
    </w:p>
    <w:p w14:paraId="557F4380">
      <w:pPr>
        <w:spacing w:line="560" w:lineRule="exact"/>
        <w:ind w:firstLine="643" w:firstLineChars="200"/>
        <w:jc w:val="left"/>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二</w:t>
      </w: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rPr>
        <w:t>项目绩效目标</w:t>
      </w:r>
    </w:p>
    <w:p w14:paraId="181D2877">
      <w:pPr>
        <w:numPr>
          <w:ilvl w:val="0"/>
          <w:numId w:val="0"/>
        </w:numPr>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特岗人员意外伤害保险项目5.50万元，用于全县乡（镇）及县本级应急部门在编（含事业编制人员）在职特岗人员和临时救火人员购买意外伤害险。</w:t>
      </w:r>
    </w:p>
    <w:p w14:paraId="14CA7A48">
      <w:pPr>
        <w:spacing w:line="560" w:lineRule="exact"/>
        <w:ind w:firstLine="640" w:firstLineChars="200"/>
        <w:jc w:val="left"/>
        <w:rPr>
          <w:rFonts w:hint="eastAsia" w:ascii="黑体" w:hAnsi="黑体" w:eastAsia="黑体" w:cs="黑体"/>
          <w:b w:val="0"/>
          <w:bCs/>
          <w:sz w:val="32"/>
          <w:szCs w:val="32"/>
        </w:rPr>
      </w:pPr>
      <w:r>
        <w:rPr>
          <w:rFonts w:hint="eastAsia" w:ascii="黑体" w:hAnsi="黑体" w:eastAsia="黑体" w:cs="黑体"/>
          <w:b w:val="0"/>
          <w:bCs/>
          <w:sz w:val="32"/>
          <w:szCs w:val="32"/>
        </w:rPr>
        <w:t>二、绩效评价工作开展情况</w:t>
      </w:r>
    </w:p>
    <w:p w14:paraId="502476B7">
      <w:pPr>
        <w:spacing w:line="560" w:lineRule="exact"/>
        <w:ind w:left="0" w:leftChars="0" w:firstLine="643" w:firstLineChars="200"/>
        <w:jc w:val="left"/>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（一）绩效评价目的、对象和范围</w:t>
      </w:r>
      <w:r>
        <w:rPr>
          <w:rFonts w:hint="eastAsia" w:ascii="仿宋_GB2312" w:hAnsi="仿宋_GB2312" w:eastAsia="仿宋_GB2312" w:cs="仿宋_GB2312"/>
          <w:sz w:val="32"/>
          <w:szCs w:val="32"/>
        </w:rPr>
        <w:t>。</w:t>
      </w:r>
    </w:p>
    <w:p w14:paraId="5C60A45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（1）严格执行《预算法》，强化支出责任，提高项目资金使用效益，对项目支出情况开展绩效评价，践行“花钱必问效、无效必问责”。</w:t>
      </w:r>
    </w:p>
    <w:p w14:paraId="2312DA5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通过项目资金的绩效评价，进一步了解和掌握项目实施的具体情况，评价其项目资金安排的科学性、合理性、规范性和资金使用成效，及时总结项目管理经验，完善项目管理办法，提高项目管理水平和资金额使用效益。</w:t>
      </w:r>
    </w:p>
    <w:p w14:paraId="143298A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（3）促</w:t>
      </w:r>
      <w:r>
        <w:rPr>
          <w:rFonts w:hint="eastAsia" w:ascii="仿宋_GB2312" w:hAnsi="仿宋_GB2312" w:eastAsia="仿宋_GB2312" w:cs="仿宋_GB2312"/>
          <w:b w:val="0"/>
          <w:bCs w:val="0"/>
          <w:sz w:val="32"/>
          <w:szCs w:val="32"/>
          <w:lang w:val="en-US" w:eastAsia="zh-CN"/>
        </w:rPr>
        <w:t>进</w:t>
      </w:r>
      <w:r>
        <w:rPr>
          <w:rFonts w:hint="eastAsia" w:ascii="仿宋_GB2312" w:hAnsi="仿宋_GB2312" w:eastAsia="仿宋_GB2312" w:cs="仿宋_GB2312"/>
          <w:b w:val="0"/>
          <w:bCs w:val="0"/>
          <w:sz w:val="32"/>
          <w:szCs w:val="32"/>
        </w:rPr>
        <w:t>项目</w:t>
      </w:r>
      <w:r>
        <w:rPr>
          <w:rFonts w:hint="eastAsia" w:ascii="仿宋_GB2312" w:hAnsi="仿宋_GB2312" w:eastAsia="仿宋_GB2312" w:cs="仿宋_GB2312"/>
          <w:b w:val="0"/>
          <w:bCs w:val="0"/>
          <w:sz w:val="32"/>
          <w:szCs w:val="32"/>
          <w:lang w:val="en-US" w:eastAsia="zh-CN"/>
        </w:rPr>
        <w:t>实施方</w:t>
      </w:r>
      <w:r>
        <w:rPr>
          <w:rFonts w:hint="eastAsia" w:ascii="仿宋_GB2312" w:hAnsi="仿宋_GB2312" w:eastAsia="仿宋_GB2312" w:cs="仿宋_GB2312"/>
          <w:b w:val="0"/>
          <w:bCs w:val="0"/>
          <w:sz w:val="32"/>
          <w:szCs w:val="32"/>
        </w:rPr>
        <w:t>及项目分管领导，对绩效评价中发现的问题，认真整改，及时调整和完善单位的工作计划和绩效目标，提高管理水平，同时为项目后续资金投入、分配和管理提供决策依据。</w:t>
      </w:r>
    </w:p>
    <w:p w14:paraId="6A6FBB33">
      <w:pPr>
        <w:spacing w:line="560" w:lineRule="exact"/>
        <w:ind w:firstLine="640" w:firstLineChars="200"/>
        <w:jc w:val="left"/>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（4）2024年特岗人员意外伤害保险资金5.50</w:t>
      </w:r>
      <w:r>
        <w:rPr>
          <w:rFonts w:hint="eastAsia" w:ascii="仿宋_GB2312" w:hAnsi="仿宋_GB2312" w:eastAsia="仿宋_GB2312" w:cs="仿宋_GB2312"/>
          <w:b w:val="0"/>
          <w:bCs w:val="0"/>
          <w:sz w:val="32"/>
          <w:szCs w:val="32"/>
        </w:rPr>
        <w:t>万元，</w:t>
      </w:r>
      <w:r>
        <w:rPr>
          <w:rFonts w:hint="eastAsia" w:ascii="仿宋_GB2312" w:hAnsi="仿宋_GB2312" w:eastAsia="仿宋_GB2312" w:cs="仿宋_GB2312"/>
          <w:b w:val="0"/>
          <w:bCs w:val="0"/>
          <w:sz w:val="32"/>
          <w:szCs w:val="32"/>
          <w:lang w:val="en-US" w:eastAsia="zh-CN"/>
        </w:rPr>
        <w:t>截止2025年1月， 使用5.4502万元，全部用于乡镇</w:t>
      </w:r>
      <w:r>
        <w:rPr>
          <w:rFonts w:hint="eastAsia" w:ascii="仿宋_GB2312" w:hAnsi="仿宋_GB2312" w:eastAsia="仿宋_GB2312" w:cs="仿宋_GB2312"/>
          <w:sz w:val="32"/>
          <w:szCs w:val="32"/>
          <w:lang w:val="en-US" w:eastAsia="zh-CN"/>
        </w:rPr>
        <w:t>及县本级应急部门在编（含事业编制人员）在职特岗人员和临时救火人员购买的意外伤害险。</w:t>
      </w:r>
    </w:p>
    <w:p w14:paraId="0F4CCF8F">
      <w:pPr>
        <w:numPr>
          <w:ilvl w:val="0"/>
          <w:numId w:val="0"/>
        </w:numPr>
        <w:spacing w:line="560" w:lineRule="exact"/>
        <w:ind w:leftChars="200"/>
        <w:jc w:val="left"/>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二</w:t>
      </w: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rPr>
        <w:t>绩效评价原则、评价指标体系（附表说明）、评价</w:t>
      </w:r>
    </w:p>
    <w:p w14:paraId="4437216C">
      <w:pPr>
        <w:numPr>
          <w:ilvl w:val="0"/>
          <w:numId w:val="0"/>
        </w:numPr>
        <w:spacing w:line="560" w:lineRule="exact"/>
        <w:jc w:val="left"/>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方法、评价标准等。</w:t>
      </w:r>
    </w:p>
    <w:p w14:paraId="5CB30AC0">
      <w:pPr>
        <w:numPr>
          <w:ilvl w:val="0"/>
          <w:numId w:val="0"/>
        </w:numPr>
        <w:spacing w:line="560" w:lineRule="exact"/>
        <w:ind w:firstLine="640" w:firstLine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科学公正。绩效评价应当运用科学合理的方法，按照规范的程序，对项目绩效进行客观、公正的反映。</w:t>
      </w:r>
    </w:p>
    <w:p w14:paraId="0AD2B8F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（2）统筹兼顾。单位自评、部门评价和财政评价应职责明确，各有侧重，相互衔接。单位自评应由项目单位自助实施，即“谁支出、谁自评”。部门评价和财政评价应在单位自评的基础上开展。</w:t>
      </w:r>
    </w:p>
    <w:p w14:paraId="5B2906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（3）激励约束。绩效评价结果应与预算安排、政策调整、改进管理实质性挂钩，体现奖优罚劣和激励相容导向，有效要安排，低效要压减、无效要问责。</w:t>
      </w:r>
    </w:p>
    <w:p w14:paraId="41B1A741">
      <w:pPr>
        <w:numPr>
          <w:ilvl w:val="0"/>
          <w:numId w:val="0"/>
        </w:numPr>
        <w:spacing w:line="560" w:lineRule="exact"/>
        <w:ind w:firstLine="640" w:firstLineChars="200"/>
        <w:jc w:val="left"/>
        <w:rPr>
          <w:rFonts w:hint="default" w:ascii="楷体_GB2312" w:hAnsi="楷体_GB2312" w:eastAsia="楷体_GB2312" w:cs="楷体_GB2312"/>
          <w:b/>
          <w:bCs/>
          <w:sz w:val="32"/>
          <w:szCs w:val="32"/>
          <w:lang w:val="en-US" w:eastAsia="zh-CN"/>
        </w:rPr>
      </w:pPr>
      <w:r>
        <w:rPr>
          <w:rFonts w:hint="eastAsia" w:ascii="仿宋_GB2312" w:hAnsi="仿宋_GB2312" w:eastAsia="仿宋_GB2312" w:cs="仿宋_GB2312"/>
          <w:b w:val="0"/>
          <w:bCs w:val="0"/>
          <w:sz w:val="32"/>
          <w:szCs w:val="32"/>
        </w:rPr>
        <w:t>（4）公开透明。绩效评价结果应依法依归公开，并自觉接受社会监督。</w:t>
      </w:r>
    </w:p>
    <w:p w14:paraId="4D736036">
      <w:pPr>
        <w:spacing w:line="560" w:lineRule="exact"/>
        <w:ind w:firstLine="643" w:firstLineChars="200"/>
        <w:jc w:val="left"/>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（三）绩效评价工作过程</w:t>
      </w:r>
      <w:r>
        <w:rPr>
          <w:rFonts w:hint="eastAsia" w:ascii="仿宋_GB2312" w:hAnsi="仿宋_GB2312" w:eastAsia="仿宋_GB2312" w:cs="仿宋_GB2312"/>
          <w:sz w:val="32"/>
          <w:szCs w:val="32"/>
        </w:rPr>
        <w:t>。</w:t>
      </w:r>
    </w:p>
    <w:p w14:paraId="423EF2E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（1）成立绩效</w:t>
      </w:r>
      <w:r>
        <w:rPr>
          <w:rFonts w:hint="eastAsia" w:ascii="仿宋_GB2312" w:hAnsi="仿宋_GB2312" w:eastAsia="仿宋_GB2312" w:cs="仿宋_GB2312"/>
          <w:b w:val="0"/>
          <w:bCs w:val="0"/>
          <w:sz w:val="32"/>
          <w:szCs w:val="32"/>
          <w:lang w:val="en-US" w:eastAsia="zh-CN"/>
        </w:rPr>
        <w:t>自评</w:t>
      </w:r>
      <w:r>
        <w:rPr>
          <w:rFonts w:hint="eastAsia" w:ascii="仿宋_GB2312" w:hAnsi="仿宋_GB2312" w:eastAsia="仿宋_GB2312" w:cs="仿宋_GB2312"/>
          <w:b w:val="0"/>
          <w:bCs w:val="0"/>
          <w:sz w:val="32"/>
          <w:szCs w:val="32"/>
        </w:rPr>
        <w:t>小组；</w:t>
      </w:r>
    </w:p>
    <w:p w14:paraId="295FB01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（2）组织相关人员进行培训；</w:t>
      </w:r>
    </w:p>
    <w:p w14:paraId="4FD2839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（3）收集相关资料；</w:t>
      </w:r>
    </w:p>
    <w:p w14:paraId="2482B63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（4）分析资料、汇总评价数据；</w:t>
      </w:r>
    </w:p>
    <w:p w14:paraId="5B6B1AE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（5）填写项目支出绩效单位自评表，撰写绩效自评报告。</w:t>
      </w:r>
    </w:p>
    <w:p w14:paraId="08C94A25">
      <w:pPr>
        <w:spacing w:line="560" w:lineRule="exact"/>
        <w:ind w:left="0" w:leftChars="0" w:firstLine="640" w:firstLineChars="200"/>
        <w:jc w:val="left"/>
        <w:rPr>
          <w:rFonts w:hint="eastAsia" w:ascii="仿宋_GB2312" w:hAnsi="仿宋_GB2312" w:eastAsia="仿宋_GB2312" w:cs="仿宋_GB2312"/>
          <w:bCs/>
          <w:sz w:val="32"/>
          <w:szCs w:val="32"/>
        </w:rPr>
      </w:pPr>
      <w:r>
        <w:rPr>
          <w:rFonts w:hint="eastAsia" w:ascii="黑体" w:hAnsi="黑体" w:eastAsia="黑体" w:cs="黑体"/>
          <w:b w:val="0"/>
          <w:bCs/>
          <w:sz w:val="32"/>
          <w:szCs w:val="32"/>
        </w:rPr>
        <w:t>三、综合评价情况及评价结论</w:t>
      </w:r>
    </w:p>
    <w:p w14:paraId="03A9AF4A">
      <w:pPr>
        <w:numPr>
          <w:ilvl w:val="0"/>
          <w:numId w:val="0"/>
        </w:numPr>
        <w:spacing w:line="560" w:lineRule="exact"/>
        <w:ind w:firstLine="640" w:firstLineChars="200"/>
        <w:jc w:val="left"/>
        <w:rPr>
          <w:rFonts w:hint="eastAsia" w:ascii="黑体" w:hAnsi="黑体" w:eastAsia="黑体" w:cs="黑体"/>
          <w:b w:val="0"/>
          <w:bCs/>
          <w:sz w:val="32"/>
          <w:szCs w:val="32"/>
        </w:rPr>
      </w:pPr>
      <w:r>
        <w:rPr>
          <w:rFonts w:hint="eastAsia" w:ascii="仿宋_GB2312" w:hAnsi="仿宋_GB2312" w:eastAsia="仿宋_GB2312" w:cs="仿宋_GB2312"/>
          <w:b w:val="0"/>
          <w:bCs w:val="0"/>
          <w:sz w:val="32"/>
          <w:szCs w:val="32"/>
          <w:lang w:val="en-US" w:eastAsia="zh-CN"/>
        </w:rPr>
        <w:t>2024年特岗人员意外伤害保险资金5.50</w:t>
      </w:r>
      <w:r>
        <w:rPr>
          <w:rFonts w:hint="eastAsia" w:ascii="仿宋_GB2312" w:hAnsi="仿宋_GB2312" w:eastAsia="仿宋_GB2312" w:cs="仿宋_GB2312"/>
          <w:b w:val="0"/>
          <w:bCs w:val="0"/>
          <w:sz w:val="32"/>
          <w:szCs w:val="32"/>
        </w:rPr>
        <w:t>万元</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用于</w:t>
      </w:r>
      <w:r>
        <w:rPr>
          <w:rFonts w:hint="eastAsia" w:ascii="仿宋_GB2312" w:hAnsi="仿宋_GB2312" w:eastAsia="仿宋_GB2312" w:cs="仿宋_GB2312"/>
          <w:sz w:val="32"/>
          <w:szCs w:val="32"/>
          <w:lang w:val="en-US" w:eastAsia="zh-CN"/>
        </w:rPr>
        <w:t>全县乡（镇）及县本级应急部门在编（含事业编制人员）在职特岗人员购买意外伤害险。</w:t>
      </w:r>
      <w:r>
        <w:rPr>
          <w:rFonts w:hint="eastAsia" w:ascii="仿宋_GB2312" w:hAnsi="仿宋_GB2312" w:eastAsia="仿宋_GB2312" w:cs="仿宋_GB2312"/>
          <w:b w:val="0"/>
          <w:bCs w:val="0"/>
          <w:sz w:val="32"/>
          <w:szCs w:val="32"/>
          <w:lang w:val="en-US" w:eastAsia="zh-CN"/>
        </w:rPr>
        <w:t>项目完成率100%。</w:t>
      </w:r>
    </w:p>
    <w:p w14:paraId="734B57CF">
      <w:pPr>
        <w:spacing w:line="560" w:lineRule="exact"/>
        <w:ind w:firstLine="640" w:firstLineChars="200"/>
        <w:jc w:val="left"/>
        <w:rPr>
          <w:rFonts w:hint="eastAsia" w:ascii="黑体" w:hAnsi="黑体" w:eastAsia="黑体" w:cs="黑体"/>
          <w:b w:val="0"/>
          <w:bCs/>
          <w:sz w:val="32"/>
          <w:szCs w:val="32"/>
        </w:rPr>
      </w:pPr>
      <w:r>
        <w:rPr>
          <w:rFonts w:hint="eastAsia" w:ascii="黑体" w:hAnsi="黑体" w:eastAsia="黑体" w:cs="黑体"/>
          <w:b w:val="0"/>
          <w:bCs/>
          <w:sz w:val="32"/>
          <w:szCs w:val="32"/>
        </w:rPr>
        <w:t>四、绩效评价指标分析</w:t>
      </w:r>
    </w:p>
    <w:p w14:paraId="7C32F872">
      <w:pPr>
        <w:spacing w:line="560" w:lineRule="exact"/>
        <w:ind w:firstLine="643" w:firstLineChars="200"/>
        <w:jc w:val="left"/>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（一）项目决策情况。</w:t>
      </w:r>
    </w:p>
    <w:p w14:paraId="3307762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特岗人员意外伤害保险资金严格按照财务制度有关规定拨付和使用。建立台账和财务档案，做到账实相符、账表相符。资金使用经局分管财务领导签字后，财务人员方可支付。</w:t>
      </w:r>
    </w:p>
    <w:p w14:paraId="2952CC07">
      <w:pPr>
        <w:spacing w:line="560" w:lineRule="exact"/>
        <w:ind w:left="0" w:leftChars="0" w:firstLine="643" w:firstLineChars="200"/>
        <w:jc w:val="left"/>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（二）项目过程情况。</w:t>
      </w:r>
    </w:p>
    <w:p w14:paraId="161D775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特岗人员意外伤害保险资金5.50万元，为</w:t>
      </w:r>
      <w:r>
        <w:rPr>
          <w:rFonts w:hint="eastAsia" w:ascii="仿宋_GB2312" w:hAnsi="仿宋_GB2312" w:eastAsia="仿宋_GB2312" w:cs="仿宋_GB2312"/>
          <w:sz w:val="32"/>
          <w:szCs w:val="32"/>
          <w:lang w:val="en-US" w:eastAsia="zh-CN"/>
        </w:rPr>
        <w:t>全县乡（镇）及县本级应急部门在编（含事业编制人员）在职特岗人员454人购买意外伤害险5.4502万元</w:t>
      </w:r>
      <w:r>
        <w:rPr>
          <w:rFonts w:hint="eastAsia" w:ascii="仿宋_GB2312" w:hAnsi="仿宋_GB2312" w:eastAsia="仿宋_GB2312" w:cs="仿宋_GB2312"/>
          <w:b w:val="0"/>
          <w:bCs w:val="0"/>
          <w:sz w:val="32"/>
          <w:szCs w:val="32"/>
          <w:lang w:val="en-US" w:eastAsia="zh-CN"/>
        </w:rPr>
        <w:t>，剩余0.0498元万元。</w:t>
      </w:r>
    </w:p>
    <w:p w14:paraId="588B278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（三）项目产出情况</w:t>
      </w:r>
    </w:p>
    <w:p w14:paraId="35D9302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2024年特岗人员意外伤害保险5.50</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val="en-US" w:eastAsia="zh-CN"/>
        </w:rPr>
        <w:t>全部用于</w:t>
      </w:r>
      <w:r>
        <w:rPr>
          <w:rFonts w:hint="eastAsia" w:ascii="仿宋_GB2312" w:hAnsi="仿宋_GB2312" w:eastAsia="仿宋_GB2312" w:cs="仿宋_GB2312"/>
          <w:sz w:val="32"/>
          <w:szCs w:val="32"/>
          <w:lang w:val="en-US" w:eastAsia="zh-CN"/>
        </w:rPr>
        <w:t>县本级应急部门和乡镇在编（含事业编制人员）在职特岗人员购买意外伤害险，全县在编在职特岗人员和临时救火人员454人，每人保费120元，</w:t>
      </w:r>
      <w:r>
        <w:rPr>
          <w:rFonts w:hint="eastAsia" w:ascii="仿宋_GB2312" w:hAnsi="仿宋_GB2312" w:eastAsia="仿宋_GB2312" w:cs="仿宋_GB2312"/>
          <w:b w:val="0"/>
          <w:bCs w:val="0"/>
          <w:color w:val="auto"/>
          <w:sz w:val="32"/>
          <w:szCs w:val="32"/>
          <w:lang w:val="en-US" w:eastAsia="zh-CN"/>
        </w:rPr>
        <w:t>预算执行率100%。</w:t>
      </w:r>
    </w:p>
    <w:p w14:paraId="15585E4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（四）项目效益情况</w:t>
      </w:r>
    </w:p>
    <w:p w14:paraId="2FDD81E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0"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1、产出指标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b w:val="0"/>
          <w:bCs w:val="0"/>
          <w:color w:val="auto"/>
          <w:sz w:val="32"/>
          <w:szCs w:val="32"/>
          <w:lang w:val="en-US" w:eastAsia="zh-CN"/>
        </w:rPr>
        <w:t>特岗人员意外伤害保险5.50</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sz w:val="32"/>
          <w:szCs w:val="32"/>
          <w:lang w:val="en-US" w:eastAsia="zh-CN"/>
        </w:rPr>
        <w:t>，已使用5.5402万元。完成预算数的99.09%。</w:t>
      </w:r>
    </w:p>
    <w:p w14:paraId="6510BA40">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3"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2、经济效益</w:t>
      </w: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b w:val="0"/>
          <w:bCs w:val="0"/>
          <w:color w:val="auto"/>
          <w:sz w:val="32"/>
          <w:szCs w:val="32"/>
          <w:lang w:val="en-US" w:eastAsia="zh-CN"/>
        </w:rPr>
        <w:t>特岗人员意外伤害保险5.50</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sz w:val="32"/>
          <w:szCs w:val="32"/>
          <w:lang w:val="en-US" w:eastAsia="zh-CN"/>
        </w:rPr>
        <w:t>资金下拨</w:t>
      </w:r>
      <w:r>
        <w:rPr>
          <w:rFonts w:hint="eastAsia" w:ascii="仿宋_GB2312" w:hAnsi="仿宋_GB2312" w:eastAsia="仿宋_GB2312" w:cs="仿宋_GB2312"/>
          <w:sz w:val="32"/>
          <w:szCs w:val="32"/>
          <w:lang w:eastAsia="zh-CN"/>
        </w:rPr>
        <w:t>及时率</w:t>
      </w:r>
      <w:r>
        <w:rPr>
          <w:rFonts w:hint="eastAsia" w:ascii="仿宋_GB2312" w:hAnsi="仿宋_GB2312" w:eastAsia="仿宋_GB2312" w:cs="仿宋_GB2312"/>
          <w:sz w:val="32"/>
          <w:szCs w:val="32"/>
          <w:lang w:val="en-US" w:eastAsia="zh-CN"/>
        </w:rPr>
        <w:t>100%。保障了全县</w:t>
      </w:r>
      <w:r>
        <w:rPr>
          <w:rFonts w:hint="eastAsia" w:ascii="仿宋_GB2312" w:hAnsi="仿宋_GB2312" w:eastAsia="仿宋_GB2312" w:cs="仿宋_GB2312"/>
          <w:b w:val="0"/>
          <w:bCs w:val="0"/>
          <w:sz w:val="32"/>
          <w:szCs w:val="32"/>
          <w:lang w:val="en-US" w:eastAsia="zh-CN"/>
        </w:rPr>
        <w:t>应急系统特岗人员和</w:t>
      </w:r>
      <w:r>
        <w:rPr>
          <w:rFonts w:hint="eastAsia" w:ascii="仿宋_GB2312" w:hAnsi="仿宋_GB2312" w:eastAsia="仿宋_GB2312" w:cs="仿宋_GB2312"/>
          <w:sz w:val="32"/>
          <w:szCs w:val="32"/>
          <w:lang w:val="en-US" w:eastAsia="zh-CN"/>
        </w:rPr>
        <w:t>临时救火人员</w:t>
      </w:r>
      <w:r>
        <w:rPr>
          <w:rFonts w:hint="eastAsia" w:ascii="仿宋_GB2312" w:hAnsi="仿宋_GB2312" w:eastAsia="仿宋_GB2312" w:cs="仿宋_GB2312"/>
          <w:b w:val="0"/>
          <w:bCs w:val="0"/>
          <w:sz w:val="32"/>
          <w:szCs w:val="32"/>
          <w:lang w:val="en-US" w:eastAsia="zh-CN"/>
        </w:rPr>
        <w:t>的人身安全。</w:t>
      </w:r>
    </w:p>
    <w:p w14:paraId="158E77F2">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color w:val="auto"/>
          <w:sz w:val="32"/>
          <w:szCs w:val="32"/>
          <w:lang w:val="en-US" w:eastAsia="zh-CN"/>
        </w:rPr>
        <w:t>3</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rPr>
        <w:t>可持续性</w:t>
      </w:r>
      <w:r>
        <w:rPr>
          <w:rFonts w:hint="eastAsia" w:ascii="仿宋_GB2312" w:hAnsi="仿宋_GB2312" w:eastAsia="仿宋_GB2312" w:cs="仿宋_GB2312"/>
          <w:b/>
          <w:bCs/>
          <w:sz w:val="32"/>
          <w:szCs w:val="32"/>
        </w:rPr>
        <w:t>分析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资金支付</w:t>
      </w:r>
      <w:r>
        <w:rPr>
          <w:rFonts w:hint="eastAsia" w:ascii="仿宋_GB2312" w:hAnsi="仿宋_GB2312" w:eastAsia="仿宋_GB2312" w:cs="仿宋_GB2312"/>
          <w:sz w:val="32"/>
          <w:szCs w:val="32"/>
          <w:lang w:eastAsia="zh-CN"/>
        </w:rPr>
        <w:t>完成后，我</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lang w:eastAsia="zh-CN"/>
        </w:rPr>
        <w:t>积极对</w:t>
      </w:r>
      <w:r>
        <w:rPr>
          <w:rFonts w:hint="eastAsia" w:ascii="仿宋_GB2312" w:hAnsi="仿宋_GB2312" w:eastAsia="仿宋_GB2312" w:cs="仿宋_GB2312"/>
          <w:sz w:val="32"/>
          <w:szCs w:val="32"/>
          <w:lang w:val="en-US" w:eastAsia="zh-CN"/>
        </w:rPr>
        <w:t>资金使用</w:t>
      </w:r>
      <w:r>
        <w:rPr>
          <w:rFonts w:hint="eastAsia" w:ascii="仿宋_GB2312" w:hAnsi="仿宋_GB2312" w:eastAsia="仿宋_GB2312" w:cs="仿宋_GB2312"/>
          <w:sz w:val="32"/>
          <w:szCs w:val="32"/>
          <w:lang w:eastAsia="zh-CN"/>
        </w:rPr>
        <w:t>进行</w:t>
      </w:r>
      <w:r>
        <w:rPr>
          <w:rFonts w:hint="eastAsia" w:ascii="仿宋_GB2312" w:hAnsi="仿宋_GB2312" w:eastAsia="仿宋_GB2312" w:cs="仿宋_GB2312"/>
          <w:sz w:val="32"/>
          <w:szCs w:val="32"/>
          <w:lang w:val="en-US" w:eastAsia="zh-CN"/>
        </w:rPr>
        <w:t>后续跟踪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确保资金专款专用，</w:t>
      </w:r>
      <w:r>
        <w:rPr>
          <w:rFonts w:hint="eastAsia" w:ascii="仿宋_GB2312" w:hAnsi="仿宋_GB2312" w:eastAsia="仿宋_GB2312" w:cs="仿宋_GB2312"/>
          <w:sz w:val="32"/>
          <w:szCs w:val="32"/>
          <w:lang w:eastAsia="zh-CN"/>
        </w:rPr>
        <w:t>保障</w:t>
      </w:r>
      <w:r>
        <w:rPr>
          <w:rFonts w:hint="eastAsia" w:ascii="仿宋_GB2312" w:hAnsi="仿宋_GB2312" w:eastAsia="仿宋_GB2312" w:cs="仿宋_GB2312"/>
          <w:sz w:val="32"/>
          <w:szCs w:val="32"/>
          <w:lang w:val="en-US" w:eastAsia="zh-CN"/>
        </w:rPr>
        <w:t>项目顺利实施</w:t>
      </w:r>
      <w:r>
        <w:rPr>
          <w:rFonts w:hint="eastAsia" w:ascii="仿宋_GB2312" w:hAnsi="仿宋_GB2312" w:eastAsia="仿宋_GB2312" w:cs="仿宋_GB2312"/>
          <w:sz w:val="32"/>
          <w:szCs w:val="32"/>
          <w:lang w:eastAsia="zh-CN"/>
        </w:rPr>
        <w:t>。</w:t>
      </w:r>
    </w:p>
    <w:p w14:paraId="136F085B">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3" w:firstLineChars="200"/>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五、主要经验及做法，存在的问题及原因分析</w:t>
      </w:r>
    </w:p>
    <w:p w14:paraId="44D6527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无</w:t>
      </w:r>
    </w:p>
    <w:p w14:paraId="1329ACD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b w:val="0"/>
          <w:bCs w:val="0"/>
          <w:sz w:val="32"/>
          <w:szCs w:val="32"/>
          <w:lang w:val="en-US" w:eastAsia="zh-CN"/>
        </w:rPr>
      </w:pPr>
      <w:r>
        <w:rPr>
          <w:rFonts w:hint="eastAsia" w:ascii="黑体" w:hAnsi="黑体" w:eastAsia="黑体" w:cs="黑体"/>
          <w:b w:val="0"/>
          <w:bCs w:val="0"/>
          <w:sz w:val="32"/>
          <w:szCs w:val="32"/>
          <w:lang w:val="en-US" w:eastAsia="zh-CN"/>
        </w:rPr>
        <w:t>六、有关建议</w:t>
      </w:r>
    </w:p>
    <w:p w14:paraId="733D798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无</w:t>
      </w:r>
    </w:p>
    <w:p w14:paraId="4D2FDA2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七、其他需要说明的问题</w:t>
      </w:r>
    </w:p>
    <w:p w14:paraId="5339E2B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jc w:val="both"/>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由于县级财政资金紧张，付款都在下年的1-2月付款，单位运行经费支出额度不匹配，影响项目资金的使用。</w:t>
      </w: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b w:val="0"/>
          <w:bCs w:val="0"/>
          <w:color w:val="auto"/>
          <w:sz w:val="32"/>
          <w:szCs w:val="32"/>
          <w:lang w:val="en-US" w:eastAsia="zh-CN"/>
        </w:rPr>
        <w:t>特岗人员意外伤害保险5.50</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sz w:val="32"/>
          <w:szCs w:val="32"/>
          <w:lang w:val="en-US" w:eastAsia="zh-CN"/>
        </w:rPr>
        <w:t>，已使用5.5402万元。</w:t>
      </w:r>
      <w:r>
        <w:rPr>
          <w:rFonts w:hint="eastAsia" w:ascii="仿宋_GB2312" w:hAnsi="仿宋_GB2312" w:eastAsia="仿宋_GB2312" w:cs="仿宋_GB2312"/>
          <w:b w:val="0"/>
          <w:bCs w:val="0"/>
          <w:sz w:val="32"/>
          <w:szCs w:val="32"/>
          <w:lang w:val="en-US" w:eastAsia="zh-CN"/>
        </w:rPr>
        <w:t>剩余0.0498元万元用于下年用。原2023年剩余0.04万元财政预算股已收回。</w:t>
      </w:r>
    </w:p>
    <w:p w14:paraId="0B837D8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jc w:val="both"/>
        <w:rPr>
          <w:rFonts w:hint="default" w:ascii="仿宋_GB2312" w:hAnsi="仿宋_GB2312" w:eastAsia="仿宋_GB2312" w:cs="仿宋_GB2312"/>
          <w:b w:val="0"/>
          <w:bCs w:val="0"/>
          <w:sz w:val="32"/>
          <w:szCs w:val="32"/>
          <w:lang w:val="en-US" w:eastAsia="zh-CN"/>
        </w:rPr>
      </w:pPr>
    </w:p>
    <w:p w14:paraId="6C7D3BF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jc w:val="both"/>
        <w:rPr>
          <w:rFonts w:hint="eastAsia" w:ascii="仿宋_GB2312" w:hAnsi="仿宋_GB2312" w:eastAsia="仿宋_GB2312" w:cs="仿宋_GB2312"/>
          <w:b w:val="0"/>
          <w:bCs w:val="0"/>
          <w:sz w:val="32"/>
          <w:szCs w:val="32"/>
          <w:lang w:val="en-US" w:eastAsia="zh-CN"/>
        </w:rPr>
      </w:pPr>
    </w:p>
    <w:p w14:paraId="31576D6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jc w:val="center"/>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新晃侗族自治县应急管理局</w:t>
      </w:r>
    </w:p>
    <w:p w14:paraId="70206D0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jc w:val="center"/>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2025年3月17日</w:t>
      </w:r>
    </w:p>
    <w:p w14:paraId="79FD29C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粗宋简体">
    <w:altName w:val="宋体"/>
    <w:panose1 w:val="03000509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lNmI3YjcxYTM4YTVhYzE4YTIzM2VmZWFkYTIwZTYifQ=="/>
  </w:docVars>
  <w:rsids>
    <w:rsidRoot w:val="67572B71"/>
    <w:rsid w:val="17811279"/>
    <w:rsid w:val="2D065759"/>
    <w:rsid w:val="3CC01A2D"/>
    <w:rsid w:val="491A6896"/>
    <w:rsid w:val="4AB926A2"/>
    <w:rsid w:val="4AD71DC3"/>
    <w:rsid w:val="4B1F1C98"/>
    <w:rsid w:val="4F0A2117"/>
    <w:rsid w:val="55E464CD"/>
    <w:rsid w:val="5E873F43"/>
    <w:rsid w:val="67572B71"/>
    <w:rsid w:val="7A7466C1"/>
    <w:rsid w:val="7F535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2260</Words>
  <Characters>2478</Characters>
  <Lines>0</Lines>
  <Paragraphs>0</Paragraphs>
  <TotalTime>11</TotalTime>
  <ScaleCrop>false</ScaleCrop>
  <LinksUpToDate>false</LinksUpToDate>
  <CharactersWithSpaces>2588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2024-04-07T09:08:00Z</dcterms:created>
  <dc:creator>6105</dc:creator>
  <cp:lastModifiedBy>3508</cp:lastModifiedBy>
  <dcterms:modified xsi:type="dcterms:W3CDTF">2025-03-19T06:06:04Z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85CE035D4D9D4FC88BD1E67D63E18D74_11</vt:lpwstr>
  </property>
  <property fmtid="{D5CDD505-2E9C-101B-9397-08002B2CF9AE}" pid="4" name="KSOTemplateDocerSaveRecord">
    <vt:lpwstr>eyJoZGlkIjoiZmZlNmI3YjcxYTM4YTVhYzE4YTIzM2VmZWFkYTIwZTYiLCJ1c2VySWQiOiIxMTQ4MTU0MDM4In0=</vt:lpwstr>
  </property>
</Properties>
</file>