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w:t>
      </w:r>
      <w:r>
        <w:rPr>
          <w:rFonts w:hint="default" w:ascii="黑体" w:hAnsi="黑体" w:eastAsia="黑体" w:cs="黑体"/>
          <w:b/>
          <w:bCs/>
          <w:sz w:val="44"/>
          <w:szCs w:val="44"/>
          <w:lang w:eastAsia="zh-CN"/>
        </w:rPr>
        <w:t>1</w:t>
      </w:r>
      <w:r>
        <w:rPr>
          <w:rFonts w:hint="eastAsia" w:ascii="黑体" w:hAnsi="黑体" w:eastAsia="黑体" w:cs="黑体"/>
          <w:b/>
          <w:bCs/>
          <w:sz w:val="44"/>
          <w:szCs w:val="44"/>
          <w:lang w:val="en-US" w:eastAsia="zh-CN"/>
        </w:rPr>
        <w:t>年应急管理局整体支出绩效自评报告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根据《新晃侗族自治县财政局关于做好202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年度部门（单位）</w:t>
      </w:r>
      <w:r>
        <w:rPr>
          <w:rFonts w:hint="default" w:ascii="仿宋" w:hAnsi="仿宋" w:eastAsia="仿宋" w:cs="仿宋"/>
          <w:color w:val="000000"/>
          <w:kern w:val="0"/>
          <w:sz w:val="32"/>
          <w:szCs w:val="32"/>
        </w:rPr>
        <w:t>预算执行勤快</w:t>
      </w:r>
      <w:r>
        <w:rPr>
          <w:rFonts w:hint="eastAsia" w:ascii="仿宋" w:hAnsi="仿宋" w:eastAsia="仿宋" w:cs="仿宋"/>
          <w:color w:val="000000"/>
          <w:kern w:val="0"/>
          <w:sz w:val="32"/>
          <w:szCs w:val="32"/>
        </w:rPr>
        <w:t>绩效</w:t>
      </w:r>
      <w:r>
        <w:rPr>
          <w:rFonts w:hint="default" w:ascii="仿宋" w:hAnsi="仿宋" w:eastAsia="仿宋" w:cs="仿宋"/>
          <w:color w:val="000000"/>
          <w:kern w:val="0"/>
          <w:sz w:val="32"/>
          <w:szCs w:val="32"/>
        </w:rPr>
        <w:t>自评</w:t>
      </w:r>
      <w:r>
        <w:rPr>
          <w:rFonts w:hint="eastAsia" w:ascii="仿宋" w:hAnsi="仿宋" w:eastAsia="仿宋" w:cs="仿宋"/>
          <w:color w:val="000000"/>
          <w:kern w:val="0"/>
          <w:sz w:val="32"/>
          <w:szCs w:val="32"/>
        </w:rPr>
        <w:t>工作的通知》（晃财绩〔202</w:t>
      </w:r>
      <w:r>
        <w:rPr>
          <w:rFonts w:hint="default" w:ascii="仿宋" w:hAnsi="仿宋" w:eastAsia="仿宋" w:cs="仿宋"/>
          <w:color w:val="000000"/>
          <w:kern w:val="0"/>
          <w:sz w:val="32"/>
          <w:szCs w:val="32"/>
          <w:lang w:eastAsia="zh-CN"/>
        </w:rPr>
        <w:t>2</w:t>
      </w:r>
      <w:r>
        <w:rPr>
          <w:rFonts w:hint="eastAsia" w:ascii="仿宋" w:hAnsi="仿宋" w:eastAsia="仿宋" w:cs="仿宋"/>
          <w:color w:val="000000"/>
          <w:kern w:val="0"/>
          <w:sz w:val="32"/>
          <w:szCs w:val="32"/>
        </w:rPr>
        <w:t>〕</w:t>
      </w:r>
      <w:r>
        <w:rPr>
          <w:rFonts w:hint="default" w:ascii="仿宋" w:hAnsi="仿宋" w:eastAsia="仿宋" w:cs="仿宋"/>
          <w:color w:val="000000"/>
          <w:kern w:val="0"/>
          <w:sz w:val="32"/>
          <w:szCs w:val="32"/>
        </w:rPr>
        <w:t>12</w:t>
      </w:r>
      <w:r>
        <w:rPr>
          <w:rFonts w:hint="eastAsia" w:ascii="仿宋" w:hAnsi="仿宋" w:eastAsia="仿宋" w:cs="仿宋"/>
          <w:color w:val="000000"/>
          <w:kern w:val="0"/>
          <w:sz w:val="32"/>
          <w:szCs w:val="32"/>
        </w:rPr>
        <w:t>号）要求，我</w:t>
      </w:r>
      <w:r>
        <w:rPr>
          <w:rFonts w:hint="eastAsia" w:ascii="仿宋" w:hAnsi="仿宋" w:eastAsia="仿宋" w:cs="仿宋"/>
          <w:color w:val="000000"/>
          <w:kern w:val="0"/>
          <w:sz w:val="32"/>
          <w:szCs w:val="32"/>
          <w:lang w:val="en-US" w:eastAsia="zh-CN"/>
        </w:rPr>
        <w:t>单位</w:t>
      </w:r>
      <w:r>
        <w:rPr>
          <w:rFonts w:hint="eastAsia" w:ascii="仿宋" w:hAnsi="仿宋" w:eastAsia="仿宋" w:cs="仿宋"/>
          <w:color w:val="000000"/>
          <w:kern w:val="0"/>
          <w:sz w:val="32"/>
          <w:szCs w:val="32"/>
        </w:rPr>
        <w:t>对</w:t>
      </w:r>
      <w:r>
        <w:rPr>
          <w:rFonts w:hint="eastAsia" w:ascii="仿宋" w:hAnsi="仿宋" w:eastAsia="仿宋" w:cs="仿宋"/>
          <w:color w:val="000000"/>
          <w:kern w:val="0"/>
          <w:sz w:val="32"/>
          <w:szCs w:val="32"/>
          <w:lang w:val="en-US" w:eastAsia="zh-CN"/>
        </w:rPr>
        <w:t>202</w:t>
      </w:r>
      <w:r>
        <w:rPr>
          <w:rFonts w:hint="default" w:ascii="仿宋" w:hAnsi="仿宋" w:eastAsia="仿宋" w:cs="仿宋"/>
          <w:color w:val="000000"/>
          <w:kern w:val="0"/>
          <w:sz w:val="32"/>
          <w:szCs w:val="32"/>
          <w:lang w:eastAsia="zh-CN"/>
        </w:rPr>
        <w:t>1</w:t>
      </w:r>
      <w:r>
        <w:rPr>
          <w:rFonts w:hint="eastAsia" w:ascii="仿宋" w:hAnsi="仿宋" w:eastAsia="仿宋" w:cs="仿宋"/>
          <w:color w:val="000000"/>
          <w:kern w:val="0"/>
          <w:sz w:val="32"/>
          <w:szCs w:val="32"/>
        </w:rPr>
        <w:t>年部门整体支出进行了绩效自评，现报告如下：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一、部门基本概况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（一）职能职责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新晃侗族自治县应急管理局是县政府工作部门，为正科级，加挂新晃侗族自治县防汛抗旱指挥部办公室牌子。</w:t>
      </w:r>
      <w:r>
        <w:rPr>
          <w:rFonts w:hint="eastAsia" w:ascii="仿宋" w:hAnsi="仿宋" w:eastAsia="仿宋" w:cs="仿宋"/>
          <w:color w:val="000000"/>
          <w:sz w:val="32"/>
          <w:szCs w:val="32"/>
          <w:lang w:eastAsia="zh-CN"/>
        </w:rPr>
        <w:t>主要职能包括</w:t>
      </w:r>
      <w:r>
        <w:rPr>
          <w:rFonts w:hint="eastAsia" w:ascii="仿宋" w:hAnsi="仿宋" w:eastAsia="仿宋" w:cs="仿宋"/>
          <w:color w:val="000000"/>
          <w:sz w:val="32"/>
          <w:szCs w:val="32"/>
        </w:rPr>
        <w:t>负责应急管理工作，指导全县各乡镇各部门应对安全生产类、自然灾害类等突发事件和综合防灾减灾救灾工作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贯彻实施相关法律法规、部门规章、规程和标准，组织编制全县应急体系建设、安全生产和综合防灾减灾规划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指导应急预案体系建设，建立完善事故灾难和自然灾害分级应对制度，组织编制全县总体应急预案和安全生产类、自然灾害类专项预案，综合协调应急预案衔接工作，组织开展预案演练，推动应急避难设施建设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牵头推进全县统一的应急管理信息系统建设，负责信息传输渠道的规划和布局，建立监测预警和灾情报告制度，健全自然灾害信息资源获取和共享机制，依法统一发布灾情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组织指导协调安全生产类、自然灾害类等突发事件应急救援，承担县应对较大灾害指挥部工作，综合研判突发事件发展态势并提出应对建议，协助县委、县政府指定的负责同志组织较大及以上灾害应急处置工作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统一协调指挥各类应急专业队伍，建立应急协调联动机制，推进指挥平台对接，统筹全县应急救援力量建设，负责消防、森林火灾扑救、抗洪抢险、地震和地质灾害救援、生产安全事故救援等专业应急救援力量建设，依权限做好驻晃国家综合性应急救援队伍建设的相关工作，指导社会应急救援力量建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负责全县消防管理有关工作，指导全县消防监督、火灾预防、火灾扑救等工作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指导协调全县森林火灾、水旱灾害、地震和地质灾害等防治工作，负责自然灾害综合监测预警工作，指导开展自然灾害综合风险评估工作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组织协调灾害救助工作，组织指导灾情核查、损失评估、救灾捐赠工作，按权限管理、分配中央及省市下达和县级救灾款物并监督使用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依法行使安全生产综合监督管理职权，指导协调、监督检查县有关部门和各乡镇政府安全生产工作，组织开展安全生产巡查、考核工作。承担县安全生产委员会办公室日常工作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矿山、危险化学品和烟花爆竹（特种设备除外）安全生产监督管理工作。负责冶金、有色、建材、机械、轻工、纺织、烟草、商贸等行业安全生产综合监督管理工作。依法组织并指导监督实施安全生产准入制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依法组织开展生产安全事故调查处理，监督事故查处和责任追究落实情况。组织开展自然灾害类突发事件的调查评估工作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开展应急管理对外交流与合作，组织参与安全生产类、自然灾害类等突发事件的对外救援工作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制定全县应急物资储备和应急救援装备规划并组织实施，会同县发改局等部门建立健全应急物资信息平台和调拨制度，在救灾时统一调度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负责应急管理、安全生产宣传教育和培训工作，组织指导应急管理、安全生产的科学技术推广应用和信息化建设工作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承担县防汛抗旱指挥部日常工作，协调县防汛抗旱指挥部成员单位的相关工作，组织执行国家防汛抗旱总指挥部、相关流域防汛抗旱指挥机构和省、市、县防汛抗旱指挥部的指示、命令</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监督管理安全生产社会中介机构的安全评价工作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负责职责范围内应急管理行业安全生产工作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完成县委、县政府交办的其他任务。</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我单位</w:t>
      </w:r>
      <w:r>
        <w:rPr>
          <w:rFonts w:hint="eastAsia" w:ascii="仿宋" w:hAnsi="仿宋" w:eastAsia="仿宋" w:cs="仿宋"/>
          <w:color w:val="000000"/>
          <w:sz w:val="32"/>
          <w:szCs w:val="32"/>
          <w:lang w:eastAsia="zh-CN"/>
        </w:rPr>
        <w:t>内设</w:t>
      </w:r>
      <w:r>
        <w:rPr>
          <w:rFonts w:hint="eastAsia" w:ascii="仿宋" w:hAnsi="仿宋" w:eastAsia="仿宋" w:cs="仿宋"/>
          <w:color w:val="000000"/>
          <w:sz w:val="32"/>
          <w:szCs w:val="32"/>
        </w:rPr>
        <w:t>机构</w:t>
      </w:r>
      <w:r>
        <w:rPr>
          <w:rFonts w:hint="eastAsia" w:ascii="仿宋" w:hAnsi="仿宋" w:eastAsia="仿宋" w:cs="仿宋"/>
          <w:color w:val="000000"/>
          <w:sz w:val="32"/>
          <w:szCs w:val="32"/>
          <w:lang w:eastAsia="zh-CN"/>
        </w:rPr>
        <w:t>包括：</w:t>
      </w:r>
      <w:r>
        <w:rPr>
          <w:rFonts w:hint="eastAsia" w:ascii="仿宋" w:hAnsi="仿宋" w:eastAsia="仿宋" w:cs="仿宋"/>
          <w:color w:val="000000"/>
          <w:sz w:val="32"/>
          <w:szCs w:val="32"/>
        </w:rPr>
        <w:t>办公室（人事股）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应急指挥中心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风险监测和综合减灾股（调查评估和统计股）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救援协调和预案管理股（救灾和物资保障股）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火灾防治管理股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防汛抗旱股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工贸行业综合监督管理股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非煤矿山安全监督管理股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危险化学品安全监督管理股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烟花爆竹安全监督管理股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安全生产综合协调股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政策法规和行政审批股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政工室。</w:t>
      </w:r>
      <w:r>
        <w:rPr>
          <w:rFonts w:hint="eastAsia" w:ascii="仿宋" w:hAnsi="仿宋" w:eastAsia="仿宋" w:cs="仿宋"/>
          <w:color w:val="000000"/>
          <w:sz w:val="32"/>
          <w:szCs w:val="32"/>
          <w:lang w:val="en-US" w:eastAsia="zh-CN"/>
        </w:rPr>
        <w:t>在职人数</w:t>
      </w:r>
      <w:r>
        <w:rPr>
          <w:rFonts w:hint="default" w:ascii="仿宋" w:hAnsi="仿宋" w:eastAsia="仿宋" w:cs="仿宋"/>
          <w:color w:val="000000"/>
          <w:sz w:val="32"/>
          <w:szCs w:val="32"/>
          <w:lang w:eastAsia="zh-CN"/>
        </w:rPr>
        <w:t>31</w:t>
      </w:r>
      <w:r>
        <w:rPr>
          <w:rFonts w:hint="eastAsia" w:ascii="仿宋" w:hAnsi="仿宋" w:eastAsia="仿宋" w:cs="仿宋"/>
          <w:color w:val="000000"/>
          <w:sz w:val="32"/>
          <w:szCs w:val="32"/>
          <w:lang w:val="en-US" w:eastAsia="zh-CN"/>
        </w:rPr>
        <w:t>人，其中行政编制10人，事业编制</w:t>
      </w:r>
      <w:r>
        <w:rPr>
          <w:rFonts w:hint="default" w:ascii="仿宋" w:hAnsi="仿宋" w:eastAsia="仿宋" w:cs="仿宋"/>
          <w:color w:val="000000"/>
          <w:sz w:val="32"/>
          <w:szCs w:val="32"/>
          <w:lang w:eastAsia="zh-CN"/>
        </w:rPr>
        <w:t>21</w:t>
      </w:r>
      <w:r>
        <w:rPr>
          <w:rFonts w:hint="eastAsia" w:ascii="仿宋" w:hAnsi="仿宋" w:eastAsia="仿宋" w:cs="仿宋"/>
          <w:color w:val="000000"/>
          <w:sz w:val="32"/>
          <w:szCs w:val="32"/>
          <w:lang w:val="en-US" w:eastAsia="zh-CN"/>
        </w:rPr>
        <w:t>人；实际在岗在编3</w:t>
      </w:r>
      <w:r>
        <w:rPr>
          <w:rFonts w:hint="default" w:ascii="仿宋" w:hAnsi="仿宋" w:eastAsia="仿宋" w:cs="仿宋"/>
          <w:color w:val="000000"/>
          <w:sz w:val="32"/>
          <w:szCs w:val="32"/>
          <w:lang w:eastAsia="zh-CN"/>
        </w:rPr>
        <w:t>1</w:t>
      </w:r>
      <w:r>
        <w:rPr>
          <w:rFonts w:hint="eastAsia" w:ascii="仿宋" w:hAnsi="仿宋" w:eastAsia="仿宋" w:cs="仿宋"/>
          <w:color w:val="000000"/>
          <w:sz w:val="32"/>
          <w:szCs w:val="32"/>
          <w:lang w:val="en-US" w:eastAsia="zh-CN"/>
        </w:rPr>
        <w:t>人，其中在职</w:t>
      </w:r>
      <w:r>
        <w:rPr>
          <w:rFonts w:hint="default" w:ascii="仿宋" w:hAnsi="仿宋" w:eastAsia="仿宋" w:cs="仿宋"/>
          <w:color w:val="000000"/>
          <w:sz w:val="32"/>
          <w:szCs w:val="32"/>
          <w:lang w:eastAsia="zh-CN"/>
        </w:rPr>
        <w:t>31</w:t>
      </w:r>
      <w:r>
        <w:rPr>
          <w:rFonts w:hint="eastAsia" w:ascii="仿宋" w:hAnsi="仿宋" w:eastAsia="仿宋" w:cs="仿宋"/>
          <w:color w:val="000000"/>
          <w:sz w:val="32"/>
          <w:szCs w:val="32"/>
          <w:lang w:val="en-US" w:eastAsia="zh-CN"/>
        </w:rPr>
        <w:t>人，退休</w:t>
      </w:r>
      <w:r>
        <w:rPr>
          <w:rFonts w:hint="default" w:ascii="仿宋" w:hAnsi="仿宋" w:eastAsia="仿宋" w:cs="仿宋"/>
          <w:color w:val="000000"/>
          <w:sz w:val="32"/>
          <w:szCs w:val="32"/>
          <w:lang w:eastAsia="zh-CN"/>
        </w:rPr>
        <w:t>4</w:t>
      </w:r>
      <w:r>
        <w:rPr>
          <w:rFonts w:hint="eastAsia" w:ascii="仿宋" w:hAnsi="仿宋" w:eastAsia="仿宋" w:cs="仿宋"/>
          <w:color w:val="000000"/>
          <w:sz w:val="32"/>
          <w:szCs w:val="32"/>
          <w:lang w:val="en-US" w:eastAsia="zh-CN"/>
        </w:rPr>
        <w:t>人，提前退休1人，临聘人员2人。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sz w:val="32"/>
          <w:szCs w:val="32"/>
          <w:lang w:eastAsia="zh-CN"/>
        </w:rPr>
      </w:pPr>
      <w:r>
        <w:rPr>
          <w:rFonts w:hint="eastAsia" w:ascii="黑体" w:hAnsi="黑体" w:eastAsia="黑体" w:cs="黑体"/>
          <w:color w:val="000000"/>
          <w:kern w:val="0"/>
          <w:sz w:val="32"/>
          <w:szCs w:val="32"/>
          <w:lang w:eastAsia="zh-CN"/>
        </w:rPr>
        <w:t>（三）</w:t>
      </w:r>
      <w:r>
        <w:rPr>
          <w:rFonts w:hint="default" w:ascii="黑体" w:hAnsi="黑体" w:eastAsia="黑体" w:cs="黑体"/>
          <w:color w:val="000000"/>
          <w:kern w:val="0"/>
          <w:sz w:val="32"/>
          <w:szCs w:val="32"/>
          <w:lang w:eastAsia="zh-CN"/>
        </w:rPr>
        <w:t>2021年度财政收支和年末固定资产状况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202</w:t>
      </w:r>
      <w:r>
        <w:rPr>
          <w:rFonts w:hint="default" w:ascii="仿宋" w:hAnsi="仿宋" w:eastAsia="仿宋" w:cs="仿宋"/>
          <w:color w:val="auto"/>
          <w:kern w:val="0"/>
          <w:sz w:val="32"/>
          <w:szCs w:val="32"/>
          <w:lang w:eastAsia="zh-CN"/>
        </w:rPr>
        <w:t>1</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eastAsia="zh-CN"/>
        </w:rPr>
        <w:t>本年</w:t>
      </w:r>
      <w:r>
        <w:rPr>
          <w:rFonts w:hint="eastAsia" w:ascii="仿宋" w:hAnsi="仿宋" w:eastAsia="仿宋" w:cs="仿宋"/>
          <w:color w:val="auto"/>
          <w:kern w:val="0"/>
          <w:sz w:val="32"/>
          <w:szCs w:val="32"/>
        </w:rPr>
        <w:t>收入</w:t>
      </w:r>
      <w:r>
        <w:rPr>
          <w:rFonts w:hint="default" w:ascii="仿宋" w:hAnsi="仿宋" w:eastAsia="仿宋" w:cs="仿宋"/>
          <w:color w:val="auto"/>
          <w:kern w:val="0"/>
          <w:sz w:val="32"/>
          <w:szCs w:val="32"/>
          <w:lang w:eastAsia="zh-CN"/>
        </w:rPr>
        <w:t>410.98</w:t>
      </w:r>
      <w:r>
        <w:rPr>
          <w:rFonts w:hint="eastAsia" w:ascii="仿宋" w:hAnsi="仿宋" w:eastAsia="仿宋" w:cs="仿宋"/>
          <w:color w:val="auto"/>
          <w:kern w:val="0"/>
          <w:sz w:val="32"/>
          <w:szCs w:val="32"/>
        </w:rPr>
        <w:t>万元，</w:t>
      </w:r>
      <w:r>
        <w:rPr>
          <w:rFonts w:hint="eastAsia" w:ascii="仿宋" w:hAnsi="仿宋" w:eastAsia="仿宋" w:cs="仿宋"/>
          <w:color w:val="auto"/>
          <w:kern w:val="0"/>
          <w:sz w:val="32"/>
          <w:szCs w:val="32"/>
          <w:lang w:eastAsia="zh-CN"/>
        </w:rPr>
        <w:t>本年</w:t>
      </w:r>
      <w:r>
        <w:rPr>
          <w:rFonts w:hint="eastAsia" w:ascii="仿宋" w:hAnsi="仿宋" w:eastAsia="仿宋" w:cs="仿宋"/>
          <w:color w:val="auto"/>
          <w:kern w:val="0"/>
          <w:sz w:val="32"/>
          <w:szCs w:val="32"/>
        </w:rPr>
        <w:t>支出</w:t>
      </w:r>
      <w:r>
        <w:rPr>
          <w:rFonts w:hint="default" w:ascii="仿宋" w:hAnsi="仿宋" w:eastAsia="仿宋" w:cs="仿宋"/>
          <w:color w:val="auto"/>
          <w:kern w:val="0"/>
          <w:sz w:val="32"/>
          <w:szCs w:val="32"/>
          <w:lang w:eastAsia="zh-CN"/>
        </w:rPr>
        <w:t>410.98</w:t>
      </w:r>
      <w:r>
        <w:rPr>
          <w:rFonts w:hint="eastAsia" w:ascii="仿宋" w:hAnsi="仿宋" w:eastAsia="仿宋" w:cs="仿宋"/>
          <w:color w:val="auto"/>
          <w:kern w:val="0"/>
          <w:sz w:val="32"/>
          <w:szCs w:val="32"/>
        </w:rPr>
        <w:t>万元，年末</w:t>
      </w:r>
      <w:r>
        <w:rPr>
          <w:rFonts w:hint="eastAsia" w:ascii="仿宋" w:hAnsi="仿宋" w:eastAsia="仿宋" w:cs="仿宋"/>
          <w:color w:val="auto"/>
          <w:kern w:val="0"/>
          <w:sz w:val="32"/>
          <w:szCs w:val="32"/>
          <w:lang w:eastAsia="zh-CN"/>
        </w:rPr>
        <w:t>结转</w:t>
      </w:r>
      <w:r>
        <w:rPr>
          <w:rFonts w:hint="eastAsia" w:ascii="仿宋" w:hAnsi="仿宋" w:eastAsia="仿宋" w:cs="仿宋"/>
          <w:color w:val="auto"/>
          <w:kern w:val="0"/>
          <w:sz w:val="32"/>
          <w:szCs w:val="32"/>
        </w:rPr>
        <w:t>结余</w:t>
      </w:r>
      <w:r>
        <w:rPr>
          <w:rFonts w:hint="default" w:ascii="仿宋" w:hAnsi="仿宋" w:eastAsia="仿宋" w:cs="仿宋"/>
          <w:color w:val="auto"/>
          <w:kern w:val="0"/>
          <w:sz w:val="32"/>
          <w:szCs w:val="32"/>
          <w:lang w:eastAsia="zh-CN"/>
        </w:rPr>
        <w:t>0</w:t>
      </w:r>
      <w:r>
        <w:rPr>
          <w:rFonts w:hint="eastAsia" w:ascii="仿宋" w:hAnsi="仿宋" w:eastAsia="仿宋" w:cs="仿宋"/>
          <w:color w:val="auto"/>
          <w:kern w:val="0"/>
          <w:sz w:val="32"/>
          <w:szCs w:val="32"/>
        </w:rPr>
        <w:t>万元。</w:t>
      </w:r>
      <w:r>
        <w:rPr>
          <w:rFonts w:hint="default" w:ascii="仿宋" w:hAnsi="仿宋" w:eastAsia="仿宋" w:cs="仿宋"/>
          <w:color w:val="auto"/>
          <w:kern w:val="0"/>
          <w:sz w:val="32"/>
          <w:szCs w:val="32"/>
        </w:rPr>
        <w:t>年初预算410.98万元。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决算支出中，基本支出468.13万元，项目支出37.66万元。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决算总支出中410.98万元，一般公共服务支出17.94万元，社会保障和就业支出34.25万元，卫生健康支出18.67万元，住房保障支出18.44万元，灾害防治及应急管理支出321.68万元，应急指挥中心网络建设项目支出37.66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严格控制“三公”经费支出。2021年公车平台托管到本单位的公务用车0辆，“三公”经费预算5万元，其中：公务用车运行维护费0万元，公务接待费8.5万元，其余没有预算支出；2021年“三公”经费支出实际支出2.14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截止2021年12月31日，本单位固定资产年末原值186.22万元，均为在用的固定资产；本单位共有公车平台托管车辆0辆，其中，领导干部用车0辆，机要通信车0量、辆、应急保障用车0辆、其他用车0辆。单位价值50万元以上通用设备0台（套）；单位价值100万元以上专用设备0台（套）。</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00" w:firstLine="160" w:firstLineChars="50"/>
        <w:textAlignment w:val="auto"/>
        <w:rPr>
          <w:rFonts w:hint="default" w:ascii="仿宋" w:hAnsi="仿宋" w:eastAsia="仿宋" w:cs="仿宋"/>
          <w:color w:val="auto"/>
          <w:kern w:val="0"/>
          <w:sz w:val="32"/>
          <w:szCs w:val="32"/>
        </w:rPr>
      </w:pPr>
      <w:r>
        <w:rPr>
          <w:rFonts w:hint="default" w:ascii="仿宋" w:hAnsi="仿宋" w:eastAsia="仿宋" w:cs="仿宋"/>
          <w:color w:val="auto"/>
          <w:kern w:val="0"/>
          <w:sz w:val="32"/>
          <w:szCs w:val="32"/>
        </w:rPr>
        <w:t>（四）财政财务管理制度及执行情况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我单位根据上级要求，制定了《</w:t>
      </w:r>
      <w:r>
        <w:rPr>
          <w:rFonts w:hint="eastAsia" w:ascii="仿宋" w:hAnsi="仿宋" w:eastAsia="仿宋" w:cs="仿宋"/>
          <w:color w:val="000000"/>
          <w:kern w:val="0"/>
          <w:sz w:val="32"/>
          <w:szCs w:val="32"/>
          <w:lang w:val="en-US" w:eastAsia="zh-CN"/>
        </w:rPr>
        <w:t>应急管理局</w:t>
      </w:r>
      <w:r>
        <w:rPr>
          <w:rFonts w:hint="eastAsia" w:ascii="仿宋" w:hAnsi="仿宋" w:eastAsia="仿宋" w:cs="仿宋"/>
          <w:color w:val="000000"/>
          <w:kern w:val="0"/>
          <w:sz w:val="32"/>
          <w:szCs w:val="32"/>
        </w:rPr>
        <w:t>财务管理制度》、《</w:t>
      </w:r>
      <w:r>
        <w:rPr>
          <w:rFonts w:hint="eastAsia" w:ascii="仿宋" w:hAnsi="仿宋" w:eastAsia="仿宋" w:cs="仿宋"/>
          <w:color w:val="000000"/>
          <w:kern w:val="0"/>
          <w:sz w:val="32"/>
          <w:szCs w:val="32"/>
          <w:lang w:val="en-US" w:eastAsia="zh-CN"/>
        </w:rPr>
        <w:t>应急管理局</w:t>
      </w:r>
      <w:r>
        <w:rPr>
          <w:rFonts w:hint="eastAsia" w:ascii="仿宋" w:hAnsi="仿宋" w:eastAsia="仿宋" w:cs="仿宋"/>
          <w:color w:val="000000"/>
          <w:kern w:val="0"/>
          <w:sz w:val="32"/>
          <w:szCs w:val="32"/>
        </w:rPr>
        <w:t>内部控制制度汇编》、《</w:t>
      </w:r>
      <w:r>
        <w:rPr>
          <w:rFonts w:hint="eastAsia" w:ascii="仿宋" w:hAnsi="仿宋" w:eastAsia="仿宋" w:cs="仿宋"/>
          <w:color w:val="000000"/>
          <w:kern w:val="0"/>
          <w:sz w:val="32"/>
          <w:szCs w:val="32"/>
          <w:lang w:val="en-US" w:eastAsia="zh-CN"/>
        </w:rPr>
        <w:t>应急管理局</w:t>
      </w:r>
      <w:r>
        <w:rPr>
          <w:rFonts w:hint="eastAsia" w:ascii="仿宋" w:hAnsi="仿宋" w:eastAsia="仿宋" w:cs="仿宋"/>
          <w:color w:val="000000"/>
          <w:kern w:val="0"/>
          <w:sz w:val="32"/>
          <w:szCs w:val="32"/>
        </w:rPr>
        <w:t>内部控制手册》等财务管理制度并严格执行。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2" w:firstLineChars="15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二、部门整体支出绩效情况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根据《部门整体支出绩效评价指标》评分表，自评得分</w:t>
      </w:r>
      <w:r>
        <w:rPr>
          <w:rFonts w:hint="default" w:ascii="仿宋" w:hAnsi="仿宋" w:eastAsia="仿宋" w:cs="仿宋"/>
          <w:color w:val="000000"/>
          <w:kern w:val="0"/>
          <w:sz w:val="32"/>
          <w:szCs w:val="32"/>
          <w:lang w:eastAsia="zh-CN"/>
        </w:rPr>
        <w:t>92</w:t>
      </w:r>
      <w:r>
        <w:rPr>
          <w:rFonts w:hint="eastAsia" w:ascii="仿宋" w:hAnsi="仿宋" w:eastAsia="仿宋" w:cs="仿宋"/>
          <w:color w:val="000000"/>
          <w:kern w:val="0"/>
          <w:sz w:val="32"/>
          <w:szCs w:val="32"/>
          <w:lang w:eastAsia="zh-CN"/>
        </w:rPr>
        <w:t>分，整体支出绩效为“良好”。主要绩效如下：</w:t>
      </w:r>
      <w:r>
        <w:rPr>
          <w:rFonts w:hint="eastAsia" w:ascii="仿宋" w:hAnsi="仿宋" w:eastAsia="仿宋" w:cs="仿宋"/>
          <w:color w:val="000000"/>
          <w:kern w:val="0"/>
          <w:sz w:val="32"/>
          <w:szCs w:val="32"/>
          <w:lang w:val="en-US" w:eastAsia="zh-CN"/>
        </w:rPr>
        <w:t>202</w:t>
      </w:r>
      <w:r>
        <w:rPr>
          <w:rFonts w:hint="default" w:ascii="仿宋" w:hAnsi="仿宋" w:eastAsia="仿宋" w:cs="仿宋"/>
          <w:color w:val="000000"/>
          <w:kern w:val="0"/>
          <w:sz w:val="32"/>
          <w:szCs w:val="32"/>
          <w:lang w:eastAsia="zh-CN"/>
        </w:rPr>
        <w:t>1</w:t>
      </w:r>
      <w:r>
        <w:rPr>
          <w:rFonts w:hint="eastAsia" w:ascii="仿宋" w:hAnsi="仿宋" w:eastAsia="仿宋" w:cs="仿宋"/>
          <w:color w:val="000000"/>
          <w:kern w:val="0"/>
          <w:sz w:val="32"/>
          <w:szCs w:val="32"/>
          <w:lang w:eastAsia="zh-CN"/>
        </w:rPr>
        <w:t>年，</w:t>
      </w:r>
      <w:r>
        <w:rPr>
          <w:rFonts w:hint="eastAsia" w:ascii="仿宋" w:hAnsi="仿宋" w:eastAsia="仿宋" w:cs="仿宋"/>
          <w:color w:val="000000"/>
          <w:kern w:val="0"/>
          <w:sz w:val="32"/>
          <w:szCs w:val="32"/>
          <w:lang w:val="en-US" w:eastAsia="zh-CN"/>
        </w:rPr>
        <w:t>我单位</w:t>
      </w:r>
      <w:r>
        <w:rPr>
          <w:rFonts w:hint="eastAsia" w:ascii="仿宋" w:hAnsi="仿宋" w:eastAsia="仿宋" w:cs="仿宋"/>
          <w:color w:val="000000"/>
          <w:kern w:val="0"/>
          <w:sz w:val="32"/>
          <w:szCs w:val="32"/>
          <w:lang w:eastAsia="zh-CN"/>
        </w:rPr>
        <w:t>坚持以习近平新时代中国特色社会主义思想为指导，在上级政府的坚强领导下，牢固“四个意识”，践行“两个维护”。全面贯彻落实党的十九大精神，坚持党的领导、人民当家作主、依法治国有机统一，在县委、县政府领导下，严格依法履职，积极主动作为，较好完成了县里交办的各项目标任务，各项工作取得新进展、新成效，为全</w:t>
      </w:r>
      <w:r>
        <w:rPr>
          <w:rFonts w:hint="eastAsia" w:ascii="仿宋" w:hAnsi="仿宋" w:eastAsia="仿宋" w:cs="仿宋"/>
          <w:color w:val="000000"/>
          <w:kern w:val="0"/>
          <w:sz w:val="32"/>
          <w:szCs w:val="32"/>
          <w:lang w:val="en-US" w:eastAsia="zh-CN"/>
        </w:rPr>
        <w:t>县</w:t>
      </w:r>
      <w:r>
        <w:rPr>
          <w:rFonts w:hint="eastAsia" w:ascii="仿宋" w:hAnsi="仿宋" w:eastAsia="仿宋" w:cs="仿宋"/>
          <w:color w:val="000000"/>
          <w:kern w:val="0"/>
          <w:sz w:val="32"/>
          <w:szCs w:val="32"/>
          <w:lang w:eastAsia="zh-CN"/>
        </w:rPr>
        <w:t>经济健康发展和社会稳定提供了坚实的</w:t>
      </w:r>
      <w:r>
        <w:rPr>
          <w:rFonts w:hint="eastAsia" w:ascii="仿宋" w:hAnsi="仿宋" w:eastAsia="仿宋" w:cs="仿宋"/>
          <w:color w:val="000000"/>
          <w:kern w:val="0"/>
          <w:sz w:val="32"/>
          <w:szCs w:val="32"/>
          <w:lang w:val="en-US" w:eastAsia="zh-CN"/>
        </w:rPr>
        <w:t>安全保障</w:t>
      </w:r>
      <w:r>
        <w:rPr>
          <w:rFonts w:hint="eastAsia" w:ascii="仿宋" w:hAnsi="仿宋" w:eastAsia="仿宋" w:cs="仿宋"/>
          <w:color w:val="000000"/>
          <w:kern w:val="0"/>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应急保障体系建设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各级县镇应急办人员已全部到岗，乡镇换届后第一时间明确应急管理相关负责人，全员到位并正常开展工作。应急能力建设专项预算资金已纳入各乡镇的全年专项经费列支。</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结合实际工作，认真梳理，明确了乡镇应急工作台账及档册管理内容，加强了基础资料，基础数据、基本制度建设。加强各乡镇个社区应急人员的培训，及时收集意见，宣传相关救灾防灾政策，解答工作中存在的问题，全面形成自上而下，联动推进工作格局。</w:t>
      </w:r>
    </w:p>
    <w:p>
      <w:pPr>
        <w:keepNext w:val="0"/>
        <w:keepLines w:val="0"/>
        <w:pageBreakBefore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扎实最好安全生产及救灾防灾工作</w:t>
      </w:r>
    </w:p>
    <w:p>
      <w:pPr>
        <w:keepNext w:val="0"/>
        <w:keepLines w:val="0"/>
        <w:pageBreakBefore w:val="0"/>
        <w:numPr>
          <w:ilvl w:val="0"/>
          <w:numId w:val="3"/>
        </w:numPr>
        <w:kinsoku/>
        <w:wordWrap/>
        <w:overflowPunct/>
        <w:topLinePunct w:val="0"/>
        <w:autoSpaceDE/>
        <w:autoSpaceDN/>
        <w:bidi w:val="0"/>
        <w:adjustRightInd/>
        <w:snapToGrid/>
        <w:spacing w:line="520" w:lineRule="exact"/>
        <w:ind w:left="800" w:leftChars="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安全生产监督检查及指导工作</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 xml:space="preserve">     一是各股室牵头，按行业类别，不定期对各生产进行安全生产检查。2021年度，我单位组织安全生产专项检查共5次，对问题企业，责令整改，2021年我县安全事故发生率0%。二是实行安全生产举报奖励制度，对于举报安全生产隐患问题，成立小组经行严格调查，确有安全隐患的问题的，责令整改，对举报人员实行奖励机制，鼓励群众监督。2021年，我单位通过群众举报，整改安全生产隐患问题企业共3家。三是开展各行业安全生产专项培训会10次，定期组织当地企业安全员培训，加强安</w:t>
      </w:r>
      <w:r>
        <w:rPr>
          <w:rFonts w:hint="eastAsia" w:ascii="仿宋" w:hAnsi="仿宋" w:eastAsia="仿宋" w:cs="仿宋"/>
          <w:color w:val="000000"/>
          <w:kern w:val="0"/>
          <w:sz w:val="32"/>
          <w:szCs w:val="32"/>
          <w:lang w:eastAsia="zh-CN"/>
        </w:rPr>
        <w:t>全</w:t>
      </w:r>
      <w:r>
        <w:rPr>
          <w:rFonts w:hint="default" w:ascii="仿宋" w:hAnsi="仿宋" w:eastAsia="仿宋" w:cs="仿宋"/>
          <w:color w:val="000000"/>
          <w:kern w:val="0"/>
          <w:sz w:val="32"/>
          <w:szCs w:val="32"/>
          <w:lang w:eastAsia="zh-CN"/>
        </w:rPr>
        <w:t>生产的预防意识。</w:t>
      </w:r>
    </w:p>
    <w:p>
      <w:pPr>
        <w:keepNext w:val="0"/>
        <w:keepLines w:val="0"/>
        <w:pageBreakBefore w:val="0"/>
        <w:numPr>
          <w:ilvl w:val="0"/>
          <w:numId w:val="3"/>
        </w:numPr>
        <w:kinsoku/>
        <w:wordWrap/>
        <w:overflowPunct/>
        <w:topLinePunct w:val="0"/>
        <w:autoSpaceDE/>
        <w:autoSpaceDN/>
        <w:bidi w:val="0"/>
        <w:adjustRightInd/>
        <w:snapToGrid/>
        <w:spacing w:line="520" w:lineRule="exact"/>
        <w:ind w:left="800" w:leftChars="0" w:firstLine="0" w:firstLineChars="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救灾防灾提高综合提高各级政府减灾能力</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2021年，我单位共发起森林</w:t>
      </w:r>
      <w:bookmarkStart w:id="0" w:name="_GoBack"/>
      <w:bookmarkEnd w:id="0"/>
      <w:r>
        <w:rPr>
          <w:rFonts w:hint="default" w:ascii="仿宋" w:hAnsi="仿宋" w:eastAsia="仿宋" w:cs="仿宋"/>
          <w:color w:val="000000"/>
          <w:kern w:val="0"/>
          <w:sz w:val="32"/>
          <w:szCs w:val="32"/>
          <w:lang w:eastAsia="zh-CN"/>
        </w:rPr>
        <w:t>防火专项宣传活动共2次，通过手机推送及上门宣传等方式相结合，加强群众的森林防火意识。我单位举办防汛演练1次，参加救援演练人员85人，包括消防队、武装部、民间救护队及自愿者，一定程度上提高我县在汛期的救灾能力，通过气象监测平台及水文平台数据，做好全县汛期的实时监测，发布汛期推送信息共2万条以上，并在全年执行24小时值班值守制度，全天进行动态监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2021年，共上报因灾房屋倒塌5户，冬春受灾群众300余户，保障了受灾群众的住房及基本生活物资保障。</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color w:val="000000"/>
          <w:kern w:val="0"/>
          <w:sz w:val="32"/>
          <w:szCs w:val="32"/>
          <w:lang w:eastAsia="zh-CN"/>
        </w:rPr>
      </w:pPr>
      <w:r>
        <w:rPr>
          <w:rFonts w:hint="default" w:ascii="仿宋" w:hAnsi="仿宋" w:eastAsia="仿宋" w:cs="仿宋"/>
          <w:color w:val="000000"/>
          <w:kern w:val="0"/>
          <w:sz w:val="32"/>
          <w:szCs w:val="32"/>
          <w:lang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我单位财政资金紧张，资金缺口过大，特别是部门公用经费尤其紧张。公用经费实行定额标准管理，预算标准与实际执行脱节，在很大程度上影响了资金的使用效率。各种矛盾凸显，导致我单位基本保障面临巨大的压力。</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四、提高财政资金绩效的措施与建议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1.科学合理编制预算，严格执行预算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　　加强预算编制的前瞻性，按照新《预算法》及其实施条例的相关规定，按政策规定及本部门的发展规划，结合上一年度预算执行情况和本年度预算收支变化，科学、合理地编制本年预算草案，避免项目支出与基本支出划分不准或预算支出与实际执行出现较大偏差的情况，执行中确需调剂预算的，按规定程序报经批准。</w:t>
      </w:r>
      <w:r>
        <w:rPr>
          <w:rFonts w:hint="default" w:ascii="仿宋" w:hAnsi="仿宋" w:eastAsia="仿宋" w:cs="仿宋"/>
          <w:color w:val="000000"/>
          <w:kern w:val="0"/>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2.完善管理制度，进一步加强资产管理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3.加强法制教育，严肃财经法规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强化法律意识，高度重视财务管理工作，进一步提高有关工作人员的专业知识水平和业务工作能力，不断完善内部控制，努力提高财务管理水平，规范预算执行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4.不断提高财政资金的使用效益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积极探索、建立财政预算的绩效评价体系和考核制度，加强预算执行分析，强化决算管理。建立预算执行追踪问效制度，有效控制公用经费的支出，提高预算资金的使用效益。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5.加强新会计制度和新预算法学习培训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加强新《预算法》、《政府会计制度》等学习培训，规范部门预算收支核算。一是加强财务人员培训，提高财务人员专业水平；二是制定和完善基本支出、项目支出等各项支出标准，严格按项目和进度执行预算，增强预算的约束力和严肃性；三是落实预算执行分析，及时了解预算执行差异，合理调整、纠正预算执行偏差，切实提高部门预算收支管理水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kern w:val="0"/>
          <w:sz w:val="32"/>
          <w:szCs w:val="32"/>
          <w:lang w:eastAsia="zh-CN"/>
        </w:rPr>
      </w:pP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新晃县应急管理局</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w:t>
      </w:r>
      <w:r>
        <w:rPr>
          <w:rFonts w:hint="default" w:ascii="仿宋" w:hAnsi="仿宋" w:eastAsia="仿宋" w:cs="仿宋"/>
          <w:color w:val="000000"/>
          <w:kern w:val="0"/>
          <w:sz w:val="32"/>
          <w:szCs w:val="32"/>
          <w:lang w:eastAsia="zh-CN"/>
        </w:rPr>
        <w:t>2</w:t>
      </w:r>
      <w:r>
        <w:rPr>
          <w:rFonts w:hint="eastAsia" w:ascii="仿宋" w:hAnsi="仿宋" w:eastAsia="仿宋" w:cs="仿宋"/>
          <w:color w:val="000000"/>
          <w:kern w:val="0"/>
          <w:sz w:val="32"/>
          <w:szCs w:val="32"/>
          <w:lang w:val="en-US" w:eastAsia="zh-CN"/>
        </w:rPr>
        <w:t>年</w:t>
      </w:r>
      <w:r>
        <w:rPr>
          <w:rFonts w:hint="default" w:ascii="仿宋" w:hAnsi="仿宋" w:eastAsia="仿宋" w:cs="仿宋"/>
          <w:color w:val="000000"/>
          <w:kern w:val="0"/>
          <w:sz w:val="32"/>
          <w:szCs w:val="32"/>
          <w:lang w:eastAsia="zh-CN"/>
        </w:rPr>
        <w:t>5</w:t>
      </w:r>
      <w:r>
        <w:rPr>
          <w:rFonts w:hint="eastAsia" w:ascii="仿宋" w:hAnsi="仿宋" w:eastAsia="仿宋" w:cs="仿宋"/>
          <w:color w:val="000000"/>
          <w:kern w:val="0"/>
          <w:sz w:val="32"/>
          <w:szCs w:val="32"/>
          <w:lang w:val="en-US" w:eastAsia="zh-CN"/>
        </w:rPr>
        <w:t>月</w:t>
      </w:r>
      <w:r>
        <w:rPr>
          <w:rFonts w:hint="default" w:ascii="仿宋" w:hAnsi="仿宋" w:eastAsia="仿宋" w:cs="仿宋"/>
          <w:color w:val="000000"/>
          <w:kern w:val="0"/>
          <w:sz w:val="32"/>
          <w:szCs w:val="32"/>
          <w:lang w:eastAsia="zh-CN"/>
        </w:rPr>
        <w:t>25</w:t>
      </w:r>
      <w:r>
        <w:rPr>
          <w:rFonts w:hint="eastAsia" w:ascii="仿宋" w:hAnsi="仿宋" w:eastAsia="仿宋" w:cs="仿宋"/>
          <w:color w:val="000000"/>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color w:val="000000"/>
          <w:kern w:val="0"/>
          <w:sz w:val="32"/>
          <w:szCs w:val="32"/>
          <w:lang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仿宋" w:hAnsi="仿宋" w:eastAsia="仿宋" w:cs="仿宋"/>
          <w:color w:val="000000"/>
          <w:sz w:val="32"/>
          <w:szCs w:val="32"/>
        </w:rPr>
      </w:pPr>
    </w:p>
    <w:p>
      <w:pPr>
        <w:spacing w:before="100" w:beforeAutospacing="1" w:after="100" w:afterAutospacing="1"/>
        <w:jc w:val="center"/>
        <w:rPr>
          <w:rStyle w:val="4"/>
          <w:rFonts w:hint="eastAsia" w:ascii="方正小标宋_GBK" w:hAnsi="方正小标宋_GBK" w:eastAsia="方正小标宋_GBK" w:cs="方正小标宋_GBK"/>
          <w:b w:val="0"/>
          <w:bCs w:val="0"/>
          <w:spacing w:val="-20"/>
          <w:sz w:val="44"/>
          <w:szCs w:val="44"/>
        </w:rPr>
      </w:pPr>
    </w:p>
    <w:p/>
    <w:p/>
    <w:p/>
    <w:p/>
    <w:p/>
    <w:p/>
    <w:p/>
    <w:p/>
    <w:p/>
    <w:p/>
    <w:p/>
    <w:p>
      <w:pPr>
        <w:spacing w:line="520" w:lineRule="exact"/>
        <w:jc w:val="left"/>
        <w:rPr>
          <w:kern w:val="0"/>
          <w:sz w:val="24"/>
        </w:rPr>
      </w:pPr>
      <w:r>
        <w:rPr>
          <w:rFonts w:hint="eastAsia" w:ascii="仿宋_GB2312" w:hAnsi="仿宋_GB2312" w:eastAsia="仿宋_GB2312" w:cs="仿宋_GB2312"/>
          <w:sz w:val="24"/>
        </w:rPr>
        <w:t>附件2-1</w:t>
      </w:r>
    </w:p>
    <w:p>
      <w:pPr>
        <w:spacing w:line="500" w:lineRule="exact"/>
        <w:jc w:val="center"/>
        <w:rPr>
          <w:rFonts w:eastAsia="方正粗宋简体"/>
          <w:w w:val="85"/>
          <w:kern w:val="0"/>
          <w:sz w:val="44"/>
          <w:szCs w:val="44"/>
        </w:rPr>
      </w:pPr>
      <w:r>
        <w:rPr>
          <w:rFonts w:eastAsia="方正粗宋简体"/>
          <w:w w:val="85"/>
          <w:kern w:val="0"/>
          <w:sz w:val="44"/>
          <w:szCs w:val="44"/>
        </w:rPr>
        <w:t>2020</w:t>
      </w:r>
      <w:r>
        <w:rPr>
          <w:rFonts w:hAnsi="方正粗宋简体" w:eastAsia="方正粗宋简体"/>
          <w:w w:val="85"/>
          <w:kern w:val="0"/>
          <w:sz w:val="44"/>
          <w:szCs w:val="44"/>
        </w:rPr>
        <w:t>年度新晃侗族自治县部门（单位）整体支出绩</w:t>
      </w:r>
    </w:p>
    <w:p>
      <w:pPr>
        <w:spacing w:line="500" w:lineRule="exact"/>
        <w:jc w:val="center"/>
        <w:rPr>
          <w:rFonts w:eastAsia="方正粗宋简体"/>
          <w:w w:val="85"/>
          <w:kern w:val="0"/>
          <w:sz w:val="44"/>
          <w:szCs w:val="44"/>
        </w:rPr>
      </w:pPr>
      <w:r>
        <w:rPr>
          <w:rFonts w:hAnsi="方正粗宋简体" w:eastAsia="方正粗宋简体"/>
          <w:w w:val="85"/>
          <w:kern w:val="0"/>
          <w:sz w:val="44"/>
          <w:szCs w:val="44"/>
        </w:rPr>
        <w:t>效评价指标体系</w:t>
      </w:r>
    </w:p>
    <w:tbl>
      <w:tblPr>
        <w:tblStyle w:val="2"/>
        <w:tblW w:w="10020"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780"/>
        <w:gridCol w:w="796"/>
        <w:gridCol w:w="720"/>
        <w:gridCol w:w="3575"/>
        <w:gridCol w:w="1977"/>
        <w:gridCol w:w="989"/>
        <w:gridCol w:w="512"/>
        <w:gridCol w:w="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0" w:hRule="atLeast"/>
          <w:tblHeader/>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一级指标</w:t>
            </w:r>
          </w:p>
        </w:tc>
        <w:tc>
          <w:tcPr>
            <w:tcW w:w="78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二级指标</w:t>
            </w:r>
          </w:p>
        </w:tc>
        <w:tc>
          <w:tcPr>
            <w:tcW w:w="796"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三级指标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分值</w:t>
            </w:r>
          </w:p>
        </w:tc>
        <w:tc>
          <w:tcPr>
            <w:tcW w:w="3575"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指标内容</w:t>
            </w:r>
          </w:p>
        </w:tc>
        <w:tc>
          <w:tcPr>
            <w:tcW w:w="1977"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指标评价标及对应分值</w:t>
            </w:r>
          </w:p>
        </w:tc>
        <w:tc>
          <w:tcPr>
            <w:tcW w:w="989"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指标实际完成情况及依据</w:t>
            </w:r>
          </w:p>
        </w:tc>
        <w:tc>
          <w:tcPr>
            <w:tcW w:w="523" w:type="dxa"/>
            <w:gridSpan w:val="2"/>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149"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投入(共20分)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预算编制(共10分)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整体</w:t>
            </w:r>
          </w:p>
          <w:p>
            <w:pPr>
              <w:spacing w:line="300" w:lineRule="exact"/>
              <w:jc w:val="center"/>
              <w:rPr>
                <w:rFonts w:eastAsia="楷体_GB2312"/>
                <w:kern w:val="0"/>
                <w:sz w:val="24"/>
              </w:rPr>
            </w:pPr>
            <w:r>
              <w:rPr>
                <w:rFonts w:eastAsia="楷体_GB2312"/>
                <w:kern w:val="0"/>
                <w:sz w:val="24"/>
              </w:rPr>
              <w:t>绩效目标设定</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部门（含所属二级预算单位，下同）或单位是否制定了年度预算整体绩效目标；整体绩效目标制定依据是否充分，是否与部门履职、年度工作任务相符；整体绩效目标是否清晰、细化、可衡量。</w:t>
            </w:r>
          </w:p>
        </w:tc>
        <w:tc>
          <w:tcPr>
            <w:tcW w:w="1977"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设有整体绩效目标2分；目标设定依据充分符合客观实际1分；目标清晰、细化1分；目标可衡量1分。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51"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绩效目标设定</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是否科学、合理设立了项目绩效目标；目标明确；目标细化；目标量化。</w:t>
            </w:r>
          </w:p>
        </w:tc>
        <w:tc>
          <w:tcPr>
            <w:tcW w:w="1977"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项目均设有绩效目标1分；目标科学合理1分；目标明确1分；目标细化1分；目标量化1分。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99"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预算配置(共10分)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在职</w:t>
            </w:r>
          </w:p>
          <w:p>
            <w:pPr>
              <w:spacing w:line="300" w:lineRule="exact"/>
              <w:jc w:val="center"/>
              <w:rPr>
                <w:rFonts w:eastAsia="楷体_GB2312"/>
                <w:kern w:val="0"/>
                <w:sz w:val="24"/>
              </w:rPr>
            </w:pPr>
            <w:r>
              <w:rPr>
                <w:rFonts w:eastAsia="楷体_GB2312"/>
                <w:kern w:val="0"/>
                <w:sz w:val="24"/>
              </w:rPr>
              <w:t>人员</w:t>
            </w:r>
          </w:p>
          <w:p>
            <w:pPr>
              <w:spacing w:line="300" w:lineRule="exact"/>
              <w:jc w:val="center"/>
              <w:rPr>
                <w:rFonts w:eastAsia="楷体_GB2312"/>
                <w:kern w:val="0"/>
                <w:sz w:val="24"/>
              </w:rPr>
            </w:pPr>
            <w:r>
              <w:rPr>
                <w:rFonts w:eastAsia="楷体_GB2312"/>
                <w:kern w:val="0"/>
                <w:sz w:val="24"/>
              </w:rPr>
              <w:t>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在职人员控制率=[在职人员数/编制数]×100%</w:t>
            </w:r>
          </w:p>
          <w:p>
            <w:pPr>
              <w:spacing w:line="300" w:lineRule="exact"/>
              <w:rPr>
                <w:rFonts w:eastAsia="楷体_GB2312"/>
                <w:kern w:val="0"/>
                <w:sz w:val="24"/>
              </w:rPr>
            </w:pPr>
            <w:r>
              <w:rPr>
                <w:rFonts w:eastAsia="楷体_GB2312"/>
                <w:kern w:val="0"/>
                <w:sz w:val="24"/>
              </w:rPr>
              <w:t>在职人员数：部门实际在职人数，以财政确定的部门决算编制口径为准，结合工资发放表上的年平均人数。</w:t>
            </w:r>
          </w:p>
          <w:p>
            <w:pPr>
              <w:spacing w:line="300" w:lineRule="exact"/>
              <w:rPr>
                <w:rFonts w:eastAsia="楷体_GB2312"/>
                <w:kern w:val="0"/>
                <w:sz w:val="24"/>
              </w:rPr>
            </w:pPr>
            <w:r>
              <w:rPr>
                <w:rFonts w:eastAsia="楷体_GB2312"/>
                <w:kern w:val="0"/>
                <w:sz w:val="24"/>
              </w:rPr>
              <w:t>编制数：机构编制部门核定批复的部门的人员编制数(含临时人员)。</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“三公经费”变动率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“三公经费”变动率=[本年度“三公经费”预算总额/上年度“三公经费”预算总额] ×100%</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3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重点项目预算保障率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4</w:t>
            </w:r>
          </w:p>
        </w:tc>
        <w:tc>
          <w:tcPr>
            <w:tcW w:w="3575"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重点项目预算保障率=（重点项目预算/项目总预算）×100%。</w:t>
            </w:r>
          </w:p>
          <w:p>
            <w:pPr>
              <w:spacing w:line="300" w:lineRule="exact"/>
              <w:jc w:val="left"/>
              <w:rPr>
                <w:rFonts w:eastAsia="楷体_GB2312"/>
                <w:kern w:val="0"/>
                <w:sz w:val="24"/>
              </w:rPr>
            </w:pPr>
            <w:r>
              <w:rPr>
                <w:rFonts w:eastAsia="楷体_GB2312"/>
                <w:spacing w:val="-20"/>
                <w:kern w:val="0"/>
                <w:sz w:val="24"/>
              </w:rPr>
              <w:t>重点项目预算：部门年度预算安排的，与本部门履职和发展密切相关、具有明显社会和经济影响、党委政府关心或社会比较关注的，列入政府重点项目的预算总额。</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结果≥80%，得4分；80%＞结果≥60%，得2分；结果＜60%，得0分。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45"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过程(共30分)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预算执行（15分）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项目</w:t>
            </w:r>
          </w:p>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执行率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项目预算执行率=[项目预算执行数/项目预算数]×100%。</w:t>
            </w:r>
          </w:p>
          <w:p>
            <w:pPr>
              <w:spacing w:line="300" w:lineRule="exact"/>
              <w:rPr>
                <w:rFonts w:eastAsia="楷体_GB2312"/>
                <w:kern w:val="0"/>
                <w:sz w:val="24"/>
              </w:rPr>
            </w:pPr>
            <w:r>
              <w:rPr>
                <w:rFonts w:eastAsia="楷体_GB2312"/>
                <w:kern w:val="0"/>
                <w:sz w:val="24"/>
              </w:rPr>
              <w:t>项目预算执行数：部门本年度实际执行的项目预算数。</w:t>
            </w:r>
          </w:p>
          <w:p>
            <w:pPr>
              <w:spacing w:line="300" w:lineRule="exact"/>
              <w:rPr>
                <w:rFonts w:eastAsia="楷体_GB2312"/>
                <w:kern w:val="0"/>
                <w:sz w:val="24"/>
              </w:rPr>
            </w:pPr>
            <w:r>
              <w:rPr>
                <w:rFonts w:eastAsia="楷体_GB2312"/>
                <w:kern w:val="0"/>
                <w:sz w:val="24"/>
              </w:rPr>
              <w:t>项目预算数：财政部门批复的本年度部门项目预算数。</w:t>
            </w:r>
          </w:p>
        </w:tc>
        <w:tc>
          <w:tcPr>
            <w:tcW w:w="1977"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95%≤结果≤100%，得5分；90%≤结果＜95%，得3分；80%≤结果＜90%，得1分；结果＜80%，得0分。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1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预算</w:t>
            </w:r>
          </w:p>
          <w:p>
            <w:pPr>
              <w:spacing w:line="300" w:lineRule="exact"/>
              <w:jc w:val="center"/>
              <w:rPr>
                <w:rFonts w:eastAsia="楷体_GB2312"/>
                <w:kern w:val="0"/>
                <w:sz w:val="24"/>
              </w:rPr>
            </w:pPr>
            <w:r>
              <w:rPr>
                <w:rFonts w:eastAsia="楷体_GB2312"/>
                <w:kern w:val="0"/>
                <w:sz w:val="24"/>
              </w:rPr>
              <w:t>调整率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预算调整率=[预算调整数/预算数]×100%</w:t>
            </w:r>
          </w:p>
          <w:p>
            <w:pPr>
              <w:spacing w:line="300" w:lineRule="exact"/>
              <w:jc w:val="left"/>
              <w:rPr>
                <w:rFonts w:eastAsia="楷体_GB2312"/>
                <w:kern w:val="0"/>
                <w:sz w:val="24"/>
              </w:rPr>
            </w:pPr>
            <w:r>
              <w:rPr>
                <w:rFonts w:eastAsia="楷体_GB2312"/>
                <w:spacing w:val="-20"/>
                <w:kern w:val="0"/>
                <w:sz w:val="24"/>
              </w:rPr>
              <w:t>预算调整数：部门在本年度内涉及预算的追加、追减或结构调整的资金总和（因落实国家政策、发生不可抗力、上级部门或党委政府临时交办而产生的调整除外）。</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结果≤5%，得3分；</w:t>
            </w:r>
          </w:p>
          <w:p>
            <w:pPr>
              <w:spacing w:line="300" w:lineRule="exact"/>
              <w:jc w:val="left"/>
              <w:rPr>
                <w:rFonts w:eastAsia="楷体_GB2312"/>
                <w:kern w:val="0"/>
                <w:sz w:val="24"/>
              </w:rPr>
            </w:pPr>
            <w:r>
              <w:rPr>
                <w:rFonts w:eastAsia="楷体_GB2312"/>
                <w:kern w:val="0"/>
                <w:sz w:val="24"/>
              </w:rPr>
              <w:t>5%＜结果≤10%，得1分；结果＞10%，得0分。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1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公用</w:t>
            </w:r>
          </w:p>
          <w:p>
            <w:pPr>
              <w:spacing w:line="300" w:lineRule="exact"/>
              <w:jc w:val="center"/>
              <w:rPr>
                <w:rFonts w:eastAsia="楷体_GB2312"/>
                <w:kern w:val="0"/>
                <w:sz w:val="24"/>
              </w:rPr>
            </w:pPr>
            <w:r>
              <w:rPr>
                <w:rFonts w:eastAsia="楷体_GB2312"/>
                <w:kern w:val="0"/>
                <w:sz w:val="24"/>
              </w:rPr>
              <w:t>经费</w:t>
            </w:r>
          </w:p>
          <w:p>
            <w:pPr>
              <w:spacing w:line="300" w:lineRule="exact"/>
              <w:jc w:val="center"/>
              <w:rPr>
                <w:rFonts w:eastAsia="楷体_GB2312"/>
                <w:kern w:val="0"/>
                <w:sz w:val="24"/>
              </w:rPr>
            </w:pPr>
            <w:r>
              <w:rPr>
                <w:rFonts w:eastAsia="楷体_GB2312"/>
                <w:kern w:val="0"/>
                <w:sz w:val="24"/>
              </w:rPr>
              <w:t>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公用经费控制率=[公用经费实际支出总额/公用经费预算安排总额]×100%</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结果≤100%，得2分；结果＞100%，得0分。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spacing w:val="-20"/>
                <w:kern w:val="0"/>
                <w:sz w:val="24"/>
              </w:rPr>
            </w:pPr>
            <w:r>
              <w:rPr>
                <w:rFonts w:eastAsia="楷体_GB2312"/>
                <w:spacing w:val="-20"/>
                <w:kern w:val="0"/>
                <w:sz w:val="24"/>
              </w:rPr>
              <w:t>“三公经费”控制率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“三公经费”控制率=[“三公经费”实际支出总额/“三公经费”预算安排总额]×100%</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结果≤100%，得3分；结果＞100%，得0分。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7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政府</w:t>
            </w:r>
          </w:p>
          <w:p>
            <w:pPr>
              <w:spacing w:line="300" w:lineRule="exact"/>
              <w:jc w:val="center"/>
              <w:rPr>
                <w:rFonts w:eastAsia="楷体_GB2312"/>
                <w:kern w:val="0"/>
                <w:sz w:val="24"/>
              </w:rPr>
            </w:pPr>
            <w:r>
              <w:rPr>
                <w:rFonts w:eastAsia="楷体_GB2312"/>
                <w:kern w:val="0"/>
                <w:sz w:val="24"/>
              </w:rPr>
              <w:t>采购</w:t>
            </w:r>
          </w:p>
          <w:p>
            <w:pPr>
              <w:spacing w:line="300" w:lineRule="exact"/>
              <w:jc w:val="center"/>
              <w:rPr>
                <w:rFonts w:eastAsia="楷体_GB2312"/>
                <w:kern w:val="0"/>
                <w:sz w:val="24"/>
              </w:rPr>
            </w:pPr>
            <w:r>
              <w:rPr>
                <w:rFonts w:eastAsia="楷体_GB2312"/>
                <w:kern w:val="0"/>
                <w:sz w:val="24"/>
              </w:rPr>
              <w:t>完成率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政府采购完成率=（政府采购完成项目数/政府采购预算项目数）×100%；</w:t>
            </w:r>
          </w:p>
          <w:p>
            <w:pPr>
              <w:spacing w:line="300" w:lineRule="exact"/>
              <w:rPr>
                <w:rFonts w:eastAsia="楷体_GB2312"/>
                <w:spacing w:val="-20"/>
                <w:kern w:val="0"/>
                <w:sz w:val="24"/>
              </w:rPr>
            </w:pPr>
            <w:r>
              <w:rPr>
                <w:rFonts w:eastAsia="楷体_GB2312"/>
                <w:spacing w:val="-20"/>
                <w:kern w:val="0"/>
                <w:sz w:val="24"/>
              </w:rPr>
              <w:t>政府采购预算项目：采购机关根据事业发展计划和行政任务编制的、并经过规定程序批准的年度政府采购计划项目。</w:t>
            </w:r>
          </w:p>
        </w:tc>
        <w:tc>
          <w:tcPr>
            <w:tcW w:w="1977" w:type="dxa"/>
            <w:noWrap w:val="0"/>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按照完成率得分，若完成率＜50%，得0分。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预算</w:t>
            </w:r>
          </w:p>
          <w:p>
            <w:pPr>
              <w:spacing w:before="100" w:beforeAutospacing="1" w:after="100" w:afterAutospacing="1"/>
              <w:jc w:val="center"/>
              <w:rPr>
                <w:rFonts w:eastAsia="楷体_GB2312"/>
                <w:kern w:val="0"/>
                <w:sz w:val="24"/>
              </w:rPr>
            </w:pPr>
            <w:r>
              <w:rPr>
                <w:rFonts w:eastAsia="楷体_GB2312"/>
                <w:kern w:val="0"/>
                <w:sz w:val="24"/>
              </w:rPr>
              <w:t>管理（10分）</w:t>
            </w:r>
          </w:p>
        </w:tc>
        <w:tc>
          <w:tcPr>
            <w:tcW w:w="796" w:type="dxa"/>
            <w:noWrap w:val="0"/>
            <w:tcMar>
              <w:top w:w="0" w:type="dxa"/>
              <w:left w:w="105" w:type="dxa"/>
              <w:bottom w:w="0" w:type="dxa"/>
              <w:right w:w="105" w:type="dxa"/>
            </w:tcMar>
            <w:vAlign w:val="center"/>
          </w:tcPr>
          <w:p>
            <w:pPr>
              <w:spacing w:line="280" w:lineRule="exact"/>
              <w:jc w:val="center"/>
              <w:rPr>
                <w:rFonts w:eastAsia="楷体_GB2312"/>
                <w:kern w:val="0"/>
                <w:sz w:val="24"/>
              </w:rPr>
            </w:pPr>
            <w:r>
              <w:rPr>
                <w:rFonts w:eastAsia="楷体_GB2312"/>
                <w:kern w:val="0"/>
                <w:sz w:val="24"/>
              </w:rPr>
              <w:t>资金</w:t>
            </w:r>
          </w:p>
          <w:p>
            <w:pPr>
              <w:spacing w:line="280" w:lineRule="exact"/>
              <w:jc w:val="center"/>
              <w:rPr>
                <w:rFonts w:eastAsia="楷体_GB2312"/>
                <w:kern w:val="0"/>
                <w:sz w:val="24"/>
              </w:rPr>
            </w:pPr>
            <w:r>
              <w:rPr>
                <w:rFonts w:eastAsia="楷体_GB2312"/>
                <w:kern w:val="0"/>
                <w:sz w:val="24"/>
              </w:rPr>
              <w:t>管理</w:t>
            </w:r>
          </w:p>
          <w:p>
            <w:pPr>
              <w:spacing w:line="280" w:lineRule="exact"/>
              <w:jc w:val="center"/>
              <w:rPr>
                <w:rFonts w:eastAsia="楷体_GB2312"/>
                <w:kern w:val="0"/>
                <w:sz w:val="24"/>
              </w:rPr>
            </w:pPr>
            <w:r>
              <w:rPr>
                <w:rFonts w:eastAsia="楷体_GB2312"/>
                <w:kern w:val="0"/>
                <w:sz w:val="24"/>
              </w:rPr>
              <w:t>制度</w:t>
            </w:r>
          </w:p>
          <w:p>
            <w:pPr>
              <w:spacing w:line="280" w:lineRule="exact"/>
              <w:jc w:val="center"/>
              <w:rPr>
                <w:rFonts w:eastAsia="楷体_GB2312"/>
                <w:kern w:val="0"/>
                <w:sz w:val="24"/>
              </w:rPr>
            </w:pPr>
            <w:r>
              <w:rPr>
                <w:rFonts w:eastAsia="楷体_GB2312"/>
                <w:kern w:val="0"/>
                <w:sz w:val="24"/>
              </w:rPr>
              <w:t>健全性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制定预算资金管理办法、内部财务管理制度、内控制度、会计核算制度等是否完整，是否执行到位。</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每发现一项问题，扣1分，扣完为止。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vMerge w:val="restart"/>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合规性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rPr>
                <w:rFonts w:eastAsia="楷体_GB2312"/>
                <w:spacing w:val="-20"/>
                <w:kern w:val="0"/>
                <w:sz w:val="24"/>
              </w:rPr>
            </w:pPr>
            <w:r>
              <w:rPr>
                <w:rFonts w:eastAsia="楷体_GB2312"/>
                <w:spacing w:val="-20"/>
                <w:kern w:val="0"/>
                <w:sz w:val="24"/>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合规率100%得2分；合规率每下降1%，扣0.5分，扣完为止。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vMerge w:val="continue"/>
            <w:noWrap w:val="0"/>
            <w:vAlign w:val="center"/>
          </w:tcPr>
          <w:p>
            <w:pPr>
              <w:jc w:val="center"/>
              <w:rPr>
                <w:rFonts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6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资金</w:t>
            </w:r>
          </w:p>
          <w:p>
            <w:pPr>
              <w:spacing w:line="300" w:lineRule="exact"/>
              <w:jc w:val="center"/>
              <w:rPr>
                <w:rFonts w:eastAsia="楷体_GB2312"/>
                <w:kern w:val="0"/>
                <w:sz w:val="24"/>
              </w:rPr>
            </w:pPr>
            <w:r>
              <w:rPr>
                <w:rFonts w:eastAsia="楷体_GB2312"/>
                <w:kern w:val="0"/>
                <w:sz w:val="24"/>
              </w:rPr>
              <w:t>使用</w:t>
            </w:r>
          </w:p>
          <w:p>
            <w:pPr>
              <w:spacing w:line="300" w:lineRule="exact"/>
              <w:jc w:val="center"/>
              <w:rPr>
                <w:rFonts w:eastAsia="楷体_GB2312"/>
                <w:kern w:val="0"/>
                <w:sz w:val="24"/>
              </w:rPr>
            </w:pPr>
            <w:r>
              <w:rPr>
                <w:rFonts w:eastAsia="楷体_GB2312"/>
                <w:kern w:val="0"/>
                <w:sz w:val="24"/>
              </w:rPr>
              <w:t>合理性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部门预算资金使用是否与批准的预算及其预算内容相符合。</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相符率100%得2分；相符率每下降1%，扣0.5分，扣完为止。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整改</w:t>
            </w:r>
          </w:p>
          <w:p>
            <w:pPr>
              <w:spacing w:line="300" w:lineRule="exact"/>
              <w:jc w:val="center"/>
              <w:rPr>
                <w:rFonts w:eastAsia="楷体_GB2312"/>
                <w:kern w:val="0"/>
                <w:sz w:val="24"/>
              </w:rPr>
            </w:pPr>
            <w:r>
              <w:rPr>
                <w:rFonts w:eastAsia="楷体_GB2312"/>
                <w:kern w:val="0"/>
                <w:sz w:val="24"/>
              </w:rPr>
              <w:t>落实</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3</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是否对近三年内审计、财政等部门各项检查中、绩效评价发现违法违规问题已经进行有效整改。</w:t>
            </w:r>
          </w:p>
        </w:tc>
        <w:tc>
          <w:tcPr>
            <w:tcW w:w="1977" w:type="dxa"/>
            <w:noWrap w:val="0"/>
            <w:tcMar>
              <w:top w:w="0" w:type="dxa"/>
              <w:left w:w="105" w:type="dxa"/>
              <w:bottom w:w="0" w:type="dxa"/>
              <w:right w:w="105" w:type="dxa"/>
            </w:tcMar>
            <w:vAlign w:val="top"/>
          </w:tcPr>
          <w:p>
            <w:pPr>
              <w:spacing w:line="300" w:lineRule="exact"/>
              <w:rPr>
                <w:rFonts w:eastAsia="楷体_GB2312"/>
                <w:spacing w:val="-20"/>
                <w:kern w:val="0"/>
                <w:sz w:val="24"/>
              </w:rPr>
            </w:pPr>
            <w:r>
              <w:rPr>
                <w:rFonts w:eastAsia="楷体_GB2312"/>
                <w:spacing w:val="-20"/>
                <w:kern w:val="0"/>
                <w:sz w:val="24"/>
              </w:rPr>
              <w:t>没发现违法违规问题或发现违法违纪行为并积极制定措施全部整改的，得3分；部分整改的，视整改情况得1-2分；未整改的，得0分。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9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资产管理（5分）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制度</w:t>
            </w:r>
          </w:p>
          <w:p>
            <w:pPr>
              <w:spacing w:line="300" w:lineRule="exact"/>
              <w:jc w:val="center"/>
              <w:rPr>
                <w:rFonts w:eastAsia="楷体_GB2312"/>
                <w:kern w:val="0"/>
                <w:sz w:val="24"/>
              </w:rPr>
            </w:pPr>
            <w:r>
              <w:rPr>
                <w:rFonts w:eastAsia="楷体_GB2312"/>
                <w:kern w:val="0"/>
                <w:sz w:val="24"/>
              </w:rPr>
              <w:t>健全性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部门为加强资产管理、规范资产管理行为而制定的管理制度是否健全完整，是否合法合规，是否执行到位。</w:t>
            </w:r>
          </w:p>
        </w:tc>
        <w:tc>
          <w:tcPr>
            <w:tcW w:w="1977" w:type="dxa"/>
            <w:noWrap w:val="0"/>
            <w:tcMar>
              <w:top w:w="0" w:type="dxa"/>
              <w:left w:w="105" w:type="dxa"/>
              <w:bottom w:w="0" w:type="dxa"/>
              <w:right w:w="105" w:type="dxa"/>
            </w:tcMar>
            <w:vAlign w:val="center"/>
          </w:tcPr>
          <w:p>
            <w:pPr>
              <w:spacing w:line="300" w:lineRule="exact"/>
              <w:rPr>
                <w:rFonts w:eastAsia="楷体_GB2312"/>
                <w:kern w:val="0"/>
                <w:sz w:val="24"/>
              </w:rPr>
            </w:pPr>
            <w:r>
              <w:rPr>
                <w:rFonts w:eastAsia="楷体_GB2312"/>
                <w:kern w:val="0"/>
                <w:sz w:val="24"/>
              </w:rPr>
              <w:t>每发现一项问题，扣0.5分，扣完为止。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管理</w:t>
            </w:r>
          </w:p>
          <w:p>
            <w:pPr>
              <w:spacing w:line="300" w:lineRule="exact"/>
              <w:jc w:val="center"/>
              <w:rPr>
                <w:rFonts w:eastAsia="楷体_GB2312"/>
                <w:kern w:val="0"/>
                <w:sz w:val="24"/>
              </w:rPr>
            </w:pPr>
            <w:r>
              <w:rPr>
                <w:rFonts w:eastAsia="楷体_GB2312"/>
                <w:kern w:val="0"/>
                <w:sz w:val="24"/>
              </w:rPr>
              <w:t>安全性</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部门的资产是否保存完整、使用合规、配置合理、处置规范、收入及时足额上缴。</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每发现一项问题，扣0.5分，扣完为止。</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固定</w:t>
            </w:r>
          </w:p>
          <w:p>
            <w:pPr>
              <w:spacing w:line="300" w:lineRule="exact"/>
              <w:jc w:val="center"/>
              <w:rPr>
                <w:rFonts w:eastAsia="楷体_GB2312"/>
                <w:kern w:val="0"/>
                <w:sz w:val="24"/>
              </w:rPr>
            </w:pPr>
            <w:r>
              <w:rPr>
                <w:rFonts w:eastAsia="楷体_GB2312"/>
                <w:kern w:val="0"/>
                <w:sz w:val="24"/>
              </w:rPr>
              <w:t>资产</w:t>
            </w:r>
          </w:p>
          <w:p>
            <w:pPr>
              <w:spacing w:line="300" w:lineRule="exact"/>
              <w:jc w:val="center"/>
              <w:rPr>
                <w:rFonts w:eastAsia="楷体_GB2312"/>
                <w:kern w:val="0"/>
                <w:sz w:val="24"/>
              </w:rPr>
            </w:pPr>
            <w:r>
              <w:rPr>
                <w:rFonts w:eastAsia="楷体_GB2312"/>
                <w:kern w:val="0"/>
                <w:sz w:val="24"/>
              </w:rPr>
              <w:t>利用率</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2</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固定资产利用率=（实际在用固定资产总额/所有固定资产总额）×100%</w:t>
            </w:r>
          </w:p>
        </w:tc>
        <w:tc>
          <w:tcPr>
            <w:tcW w:w="1977" w:type="dxa"/>
            <w:noWrap w:val="0"/>
            <w:tcMar>
              <w:top w:w="0" w:type="dxa"/>
              <w:left w:w="105" w:type="dxa"/>
              <w:bottom w:w="0" w:type="dxa"/>
              <w:right w:w="105" w:type="dxa"/>
            </w:tcMar>
            <w:vAlign w:val="center"/>
          </w:tcPr>
          <w:p>
            <w:pPr>
              <w:spacing w:line="300" w:lineRule="exact"/>
              <w:jc w:val="left"/>
              <w:rPr>
                <w:rFonts w:eastAsia="楷体_GB2312"/>
                <w:spacing w:val="-20"/>
                <w:kern w:val="0"/>
                <w:sz w:val="24"/>
              </w:rPr>
            </w:pPr>
            <w:r>
              <w:rPr>
                <w:rFonts w:eastAsia="楷体_GB2312"/>
                <w:spacing w:val="-20"/>
                <w:kern w:val="0"/>
                <w:sz w:val="24"/>
              </w:rPr>
              <w:t>99%≤结果≤100%，得2分；90%≤结果＜99%，得1分；结果＜90%，得0分。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084" w:hRule="atLeast"/>
          <w:tblCellSpacing w:w="0" w:type="dxa"/>
          <w:jc w:val="center"/>
        </w:trPr>
        <w:tc>
          <w:tcPr>
            <w:tcW w:w="66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产出与效果(共50分)</w:t>
            </w: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p>
          <w:p>
            <w:pPr>
              <w:spacing w:before="100" w:beforeAutospacing="1" w:after="100" w:afterAutospacing="1"/>
              <w:jc w:val="center"/>
              <w:rPr>
                <w:rFonts w:eastAsia="楷体_GB2312"/>
                <w:kern w:val="0"/>
                <w:sz w:val="24"/>
              </w:rPr>
            </w:pPr>
            <w:r>
              <w:rPr>
                <w:rFonts w:eastAsia="楷体_GB2312"/>
                <w:kern w:val="0"/>
                <w:sz w:val="24"/>
              </w:rPr>
              <w:t>产出指标（30分）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数量</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7</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对照整体绩效目标评价。未设置整体绩效目标，或整体绩效目标设置不完善的，根据部门年度履行职责主要工作和重点工作计划任务数与实际完成任务数的比率评价得分。</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对照绩效目标，按实际产出数量率计算得分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08"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质量</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对照整体绩效目标评价。未设置整体绩效目标，或整体绩效目标设置不完善的，根据部门年度履行职责主要工作和重点工作，标识具体明确的产出质量。</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对照绩效目标，按实际产出质量计算得分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94"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时效</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8</w:t>
            </w: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对照整体绩效目标评价。未设置整体绩效目标，或整体绩效目标设置不完善的，根据部门年度履行职责主要工作和重点工作，标识具体明确的产出时效。</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对照绩效目标，按实际产出时效计算得分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84"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效益指标（20分）</w:t>
            </w:r>
          </w:p>
        </w:tc>
        <w:tc>
          <w:tcPr>
            <w:tcW w:w="796" w:type="dxa"/>
            <w:noWrap w:val="0"/>
            <w:tcMar>
              <w:top w:w="0" w:type="dxa"/>
              <w:left w:w="105" w:type="dxa"/>
              <w:bottom w:w="0" w:type="dxa"/>
              <w:right w:w="105" w:type="dxa"/>
            </w:tcMar>
            <w:vAlign w:val="center"/>
          </w:tcPr>
          <w:p>
            <w:pPr>
              <w:spacing w:line="300" w:lineRule="exact"/>
              <w:jc w:val="center"/>
              <w:rPr>
                <w:rFonts w:eastAsia="楷体_GB2312"/>
                <w:kern w:val="0"/>
                <w:sz w:val="24"/>
              </w:rPr>
            </w:pPr>
            <w:r>
              <w:rPr>
                <w:rFonts w:eastAsia="楷体_GB2312"/>
                <w:kern w:val="0"/>
                <w:sz w:val="24"/>
              </w:rPr>
              <w:t>经济</w:t>
            </w:r>
          </w:p>
          <w:p>
            <w:pPr>
              <w:spacing w:line="300" w:lineRule="exact"/>
              <w:jc w:val="center"/>
              <w:rPr>
                <w:rFonts w:eastAsia="楷体_GB2312"/>
                <w:kern w:val="0"/>
                <w:sz w:val="24"/>
              </w:rPr>
            </w:pPr>
            <w:r>
              <w:rPr>
                <w:rFonts w:eastAsia="楷体_GB2312"/>
                <w:kern w:val="0"/>
                <w:sz w:val="24"/>
              </w:rPr>
              <w:t>效益</w:t>
            </w:r>
          </w:p>
        </w:tc>
        <w:tc>
          <w:tcPr>
            <w:tcW w:w="720" w:type="dxa"/>
            <w:vMerge w:val="restart"/>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15</w:t>
            </w:r>
          </w:p>
          <w:p>
            <w:pPr>
              <w:spacing w:before="100" w:beforeAutospacing="1" w:after="100" w:afterAutospacing="1"/>
              <w:jc w:val="center"/>
              <w:rPr>
                <w:rFonts w:eastAsia="楷体_GB2312"/>
                <w:kern w:val="0"/>
                <w:sz w:val="24"/>
              </w:rPr>
            </w:pPr>
            <w:r>
              <w:rPr>
                <w:rFonts w:eastAsia="楷体_GB2312"/>
                <w:kern w:val="0"/>
                <w:sz w:val="24"/>
              </w:rPr>
              <w:t>（根据需要增减指标并赋分值）</w:t>
            </w:r>
          </w:p>
          <w:p>
            <w:pPr>
              <w:spacing w:before="100" w:beforeAutospacing="1" w:after="100" w:afterAutospacing="1"/>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对照整体绩效目标评价。未设置整体绩效目标，或整体绩效目标设置不完善的，根据部门年度履行职责主要工作和重点工作，标识所产生的直接或间接的经济效益</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对照绩效目标，按经济效益实现程度计算得分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66"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社会</w:t>
            </w:r>
          </w:p>
          <w:p>
            <w:pPr>
              <w:spacing w:line="300" w:lineRule="exact"/>
              <w:jc w:val="center"/>
              <w:rPr>
                <w:rFonts w:eastAsia="楷体_GB2312"/>
                <w:kern w:val="0"/>
                <w:sz w:val="24"/>
              </w:rPr>
            </w:pPr>
            <w:r>
              <w:rPr>
                <w:rFonts w:eastAsia="楷体_GB2312"/>
                <w:kern w:val="0"/>
                <w:sz w:val="24"/>
              </w:rPr>
              <w:t>效益</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对照整体绩效目标评价。未设置整体绩效目标，或整体绩效目标设置不完善的，根据部门年度履行职责主要工作和重点工作，标识所产生的社会效益</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对照绩效目标，按社会效益实现程度计算得分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60"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环境</w:t>
            </w:r>
          </w:p>
          <w:p>
            <w:pPr>
              <w:spacing w:line="300" w:lineRule="exact"/>
              <w:jc w:val="center"/>
              <w:rPr>
                <w:rFonts w:eastAsia="楷体_GB2312"/>
                <w:kern w:val="0"/>
                <w:sz w:val="24"/>
              </w:rPr>
            </w:pPr>
            <w:r>
              <w:rPr>
                <w:rFonts w:eastAsia="楷体_GB2312"/>
                <w:kern w:val="0"/>
                <w:sz w:val="24"/>
              </w:rPr>
              <w:t>效益</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对照整体绩效目标评价。未设置整体绩效目标，或整体绩效目标设置不完善的，根据部门年度履行职责主要工作和重点工作，标识对环境所产生的积极或消极影响</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对照绩效目标，按对环境所产生的实际影响程度计算得分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96"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vAlign w:val="center"/>
          </w:tcPr>
          <w:p>
            <w:pPr>
              <w:spacing w:line="300" w:lineRule="exact"/>
              <w:jc w:val="center"/>
              <w:rPr>
                <w:rFonts w:eastAsia="楷体_GB2312"/>
                <w:kern w:val="0"/>
                <w:sz w:val="24"/>
              </w:rPr>
            </w:pPr>
            <w:r>
              <w:rPr>
                <w:rFonts w:eastAsia="楷体_GB2312"/>
                <w:kern w:val="0"/>
                <w:sz w:val="24"/>
              </w:rPr>
              <w:t>可持续性</w:t>
            </w:r>
          </w:p>
        </w:tc>
        <w:tc>
          <w:tcPr>
            <w:tcW w:w="720" w:type="dxa"/>
            <w:vMerge w:val="continue"/>
            <w:noWrap w:val="0"/>
            <w:vAlign w:val="center"/>
          </w:tcPr>
          <w:p>
            <w:pPr>
              <w:jc w:val="center"/>
              <w:rPr>
                <w:rFonts w:eastAsia="楷体_GB2312"/>
                <w:kern w:val="0"/>
                <w:sz w:val="24"/>
              </w:rPr>
            </w:pPr>
          </w:p>
        </w:tc>
        <w:tc>
          <w:tcPr>
            <w:tcW w:w="3575" w:type="dxa"/>
            <w:noWrap w:val="0"/>
            <w:tcMar>
              <w:top w:w="0" w:type="dxa"/>
              <w:left w:w="105" w:type="dxa"/>
              <w:bottom w:w="0" w:type="dxa"/>
              <w:right w:w="105" w:type="dxa"/>
            </w:tcMar>
            <w:vAlign w:val="top"/>
          </w:tcPr>
          <w:p>
            <w:pPr>
              <w:spacing w:line="300" w:lineRule="exact"/>
              <w:rPr>
                <w:rFonts w:eastAsia="楷体_GB2312"/>
                <w:kern w:val="0"/>
                <w:sz w:val="24"/>
              </w:rPr>
            </w:pPr>
            <w:r>
              <w:rPr>
                <w:rFonts w:eastAsia="楷体_GB2312"/>
                <w:kern w:val="0"/>
                <w:sz w:val="24"/>
              </w:rPr>
              <w:t>对照整体绩效目标评价。未设置整体绩效目标，或整体绩效目标设置不完善的，根据部门年度履行职责主要工作和重点工作，标识可持续性</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对照绩效目标，按实际情况计算得分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25" w:hRule="atLeast"/>
          <w:tblCellSpacing w:w="0" w:type="dxa"/>
          <w:jc w:val="center"/>
        </w:trPr>
        <w:tc>
          <w:tcPr>
            <w:tcW w:w="660" w:type="dxa"/>
            <w:vMerge w:val="continue"/>
            <w:noWrap w:val="0"/>
            <w:vAlign w:val="center"/>
          </w:tcPr>
          <w:p>
            <w:pPr>
              <w:jc w:val="center"/>
              <w:rPr>
                <w:rFonts w:eastAsia="楷体_GB2312"/>
                <w:kern w:val="0"/>
                <w:sz w:val="24"/>
              </w:rPr>
            </w:pPr>
          </w:p>
        </w:tc>
        <w:tc>
          <w:tcPr>
            <w:tcW w:w="780" w:type="dxa"/>
            <w:vMerge w:val="continue"/>
            <w:noWrap w:val="0"/>
            <w:vAlign w:val="center"/>
          </w:tcPr>
          <w:p>
            <w:pPr>
              <w:jc w:val="center"/>
              <w:rPr>
                <w:rFonts w:eastAsia="楷体_GB2312"/>
                <w:kern w:val="0"/>
                <w:sz w:val="24"/>
              </w:rPr>
            </w:pPr>
          </w:p>
        </w:tc>
        <w:tc>
          <w:tcPr>
            <w:tcW w:w="796" w:type="dxa"/>
            <w:noWrap w:val="0"/>
            <w:tcMar>
              <w:top w:w="0" w:type="dxa"/>
              <w:left w:w="105" w:type="dxa"/>
              <w:bottom w:w="0" w:type="dxa"/>
              <w:right w:w="105" w:type="dxa"/>
            </w:tcMar>
            <w:vAlign w:val="center"/>
          </w:tcPr>
          <w:p>
            <w:pPr>
              <w:spacing w:line="260" w:lineRule="exact"/>
              <w:jc w:val="center"/>
              <w:rPr>
                <w:rFonts w:eastAsia="楷体_GB2312"/>
                <w:kern w:val="0"/>
                <w:sz w:val="24"/>
              </w:rPr>
            </w:pPr>
            <w:r>
              <w:rPr>
                <w:rFonts w:eastAsia="楷体_GB2312"/>
                <w:kern w:val="0"/>
                <w:sz w:val="24"/>
              </w:rPr>
              <w:t>社会公众与服务对象满意度</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5</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社会公众、服务对象对部门主要工作实施的满意程度</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按收集到的社会公众、服务对象的满意率计算得分</w:t>
            </w:r>
          </w:p>
        </w:tc>
        <w:tc>
          <w:tcPr>
            <w:tcW w:w="989" w:type="dxa"/>
            <w:noWrap w:val="0"/>
            <w:tcMar>
              <w:top w:w="0" w:type="dxa"/>
              <w:left w:w="105" w:type="dxa"/>
              <w:bottom w:w="0" w:type="dxa"/>
              <w:right w:w="105" w:type="dxa"/>
            </w:tcMar>
            <w:vAlign w:val="center"/>
          </w:tcPr>
          <w:p>
            <w:pPr>
              <w:jc w:val="center"/>
              <w:rPr>
                <w:rFonts w:eastAsia="楷体_GB2312"/>
                <w:kern w:val="0"/>
                <w:sz w:val="24"/>
              </w:rPr>
            </w:pPr>
          </w:p>
        </w:tc>
        <w:tc>
          <w:tcPr>
            <w:tcW w:w="523" w:type="dxa"/>
            <w:gridSpan w:val="2"/>
            <w:noWrap w:val="0"/>
            <w:tcMar>
              <w:top w:w="0" w:type="dxa"/>
              <w:left w:w="105" w:type="dxa"/>
              <w:bottom w:w="0" w:type="dxa"/>
              <w:right w:w="105" w:type="dxa"/>
            </w:tcMar>
            <w:vAlign w:val="center"/>
          </w:tcPr>
          <w:p>
            <w:pPr>
              <w:jc w:val="center"/>
              <w:rPr>
                <w:rFonts w:hint="eastAsia" w:eastAsia="楷体_GB2312"/>
                <w:kern w:val="0"/>
                <w:sz w:val="24"/>
                <w:lang w:val="en-US" w:eastAsia="zh-CN"/>
              </w:rPr>
            </w:pPr>
            <w:r>
              <w:rPr>
                <w:rFonts w:hint="eastAsia" w:eastAsia="楷体_GB2312"/>
                <w:kern w:val="0"/>
                <w:sz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0" w:hRule="atLeast"/>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合计</w:t>
            </w:r>
          </w:p>
        </w:tc>
        <w:tc>
          <w:tcPr>
            <w:tcW w:w="78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96"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720"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100</w:t>
            </w:r>
          </w:p>
        </w:tc>
        <w:tc>
          <w:tcPr>
            <w:tcW w:w="3575"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1977" w:type="dxa"/>
            <w:noWrap w:val="0"/>
            <w:tcMar>
              <w:top w:w="0" w:type="dxa"/>
              <w:left w:w="105" w:type="dxa"/>
              <w:bottom w:w="0" w:type="dxa"/>
              <w:right w:w="105" w:type="dxa"/>
            </w:tcMar>
            <w:vAlign w:val="center"/>
          </w:tcPr>
          <w:p>
            <w:pPr>
              <w:spacing w:line="300" w:lineRule="exact"/>
              <w:jc w:val="left"/>
              <w:rPr>
                <w:rFonts w:eastAsia="楷体_GB2312"/>
                <w:kern w:val="0"/>
                <w:sz w:val="24"/>
              </w:rPr>
            </w:pPr>
            <w:r>
              <w:rPr>
                <w:rFonts w:eastAsia="楷体_GB2312"/>
                <w:kern w:val="0"/>
                <w:sz w:val="24"/>
              </w:rPr>
              <w:t>——</w:t>
            </w:r>
          </w:p>
        </w:tc>
        <w:tc>
          <w:tcPr>
            <w:tcW w:w="989" w:type="dxa"/>
            <w:noWrap w:val="0"/>
            <w:tcMar>
              <w:top w:w="0" w:type="dxa"/>
              <w:left w:w="105" w:type="dxa"/>
              <w:bottom w:w="0" w:type="dxa"/>
              <w:right w:w="105" w:type="dxa"/>
            </w:tcMar>
            <w:vAlign w:val="center"/>
          </w:tcPr>
          <w:p>
            <w:pPr>
              <w:spacing w:before="100" w:beforeAutospacing="1" w:after="100" w:afterAutospacing="1"/>
              <w:jc w:val="center"/>
              <w:rPr>
                <w:rFonts w:eastAsia="楷体_GB2312"/>
                <w:kern w:val="0"/>
                <w:sz w:val="24"/>
              </w:rPr>
            </w:pPr>
            <w:r>
              <w:rPr>
                <w:rFonts w:eastAsia="楷体_GB2312"/>
                <w:kern w:val="0"/>
                <w:sz w:val="24"/>
              </w:rPr>
              <w:t>——</w:t>
            </w:r>
          </w:p>
        </w:tc>
        <w:tc>
          <w:tcPr>
            <w:tcW w:w="523" w:type="dxa"/>
            <w:gridSpan w:val="2"/>
            <w:noWrap w:val="0"/>
            <w:tcMar>
              <w:top w:w="0" w:type="dxa"/>
              <w:left w:w="105" w:type="dxa"/>
              <w:bottom w:w="0" w:type="dxa"/>
              <w:right w:w="105" w:type="dxa"/>
            </w:tcMar>
            <w:vAlign w:val="center"/>
          </w:tcPr>
          <w:p>
            <w:pPr>
              <w:jc w:val="center"/>
              <w:rPr>
                <w:rFonts w:hint="default" w:eastAsia="楷体_GB2312"/>
                <w:kern w:val="0"/>
                <w:sz w:val="24"/>
                <w:lang w:val="en-US" w:eastAsia="zh-CN"/>
              </w:rPr>
            </w:pPr>
            <w:r>
              <w:rPr>
                <w:rFonts w:hint="eastAsia" w:eastAsia="楷体_GB2312"/>
                <w:kern w:val="0"/>
                <w:sz w:val="24"/>
                <w:lang w:val="en-US" w:eastAsia="zh-CN"/>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1" w:type="dxa"/>
          <w:trHeight w:val="1125" w:hRule="atLeast"/>
          <w:tblCellSpacing w:w="0" w:type="dxa"/>
          <w:jc w:val="center"/>
        </w:trPr>
        <w:tc>
          <w:tcPr>
            <w:tcW w:w="660" w:type="dxa"/>
            <w:noWrap w:val="0"/>
            <w:tcMar>
              <w:top w:w="0" w:type="dxa"/>
              <w:left w:w="105" w:type="dxa"/>
              <w:bottom w:w="0" w:type="dxa"/>
              <w:right w:w="105" w:type="dxa"/>
            </w:tcMar>
            <w:vAlign w:val="center"/>
          </w:tcPr>
          <w:p>
            <w:pPr>
              <w:spacing w:before="100" w:beforeAutospacing="1" w:after="100" w:afterAutospacing="1"/>
              <w:jc w:val="center"/>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评价等次</w:t>
            </w:r>
          </w:p>
        </w:tc>
        <w:tc>
          <w:tcPr>
            <w:tcW w:w="9349" w:type="dxa"/>
            <w:gridSpan w:val="7"/>
            <w:noWrap w:val="0"/>
            <w:tcMar>
              <w:top w:w="0" w:type="dxa"/>
              <w:left w:w="105" w:type="dxa"/>
              <w:bottom w:w="0" w:type="dxa"/>
              <w:right w:w="105" w:type="dxa"/>
            </w:tcMar>
            <w:vAlign w:val="center"/>
          </w:tcPr>
          <w:p>
            <w:pPr>
              <w:spacing w:before="100" w:beforeAutospacing="1" w:after="100" w:afterAutospacing="1"/>
              <w:rPr>
                <w:rFonts w:hint="eastAsia" w:ascii="楷体_GB2312" w:hAnsi="楷体_GB2312" w:eastAsia="楷体_GB2312" w:cs="楷体_GB2312"/>
                <w:kern w:val="0"/>
                <w:sz w:val="24"/>
              </w:rPr>
            </w:pPr>
            <w:r>
              <w:rPr>
                <w:rFonts w:hint="eastAsia" w:ascii="楷体_GB2312" w:hAnsi="楷体_GB2312" w:eastAsia="楷体_GB2312" w:cs="楷体_GB2312"/>
                <w:kern w:val="0"/>
                <w:sz w:val="24"/>
                <w:lang w:eastAsia="zh-CN"/>
              </w:rPr>
              <w:t>☑</w:t>
            </w:r>
            <w:r>
              <w:rPr>
                <w:rFonts w:hint="eastAsia" w:ascii="楷体_GB2312" w:hAnsi="楷体_GB2312" w:eastAsia="楷体_GB2312" w:cs="楷体_GB2312"/>
                <w:kern w:val="0"/>
                <w:sz w:val="24"/>
              </w:rPr>
              <w:t>优秀  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 xml:space="preserve">分≤得分≤100分；  □良好  </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分≤得分＜9</w:t>
            </w:r>
            <w:r>
              <w:rPr>
                <w:rFonts w:ascii="楷体_GB2312" w:hAnsi="楷体_GB2312" w:eastAsia="楷体_GB2312" w:cs="楷体_GB2312"/>
                <w:kern w:val="0"/>
                <w:sz w:val="24"/>
              </w:rPr>
              <w:t>5</w:t>
            </w:r>
            <w:r>
              <w:rPr>
                <w:rFonts w:hint="eastAsia" w:ascii="楷体_GB2312" w:hAnsi="楷体_GB2312" w:eastAsia="楷体_GB2312" w:cs="楷体_GB2312"/>
                <w:kern w:val="0"/>
                <w:sz w:val="24"/>
              </w:rPr>
              <w:t>分；□一般  60分≤得分＜</w:t>
            </w:r>
            <w:r>
              <w:rPr>
                <w:rFonts w:ascii="楷体_GB2312" w:hAnsi="楷体_GB2312" w:eastAsia="楷体_GB2312" w:cs="楷体_GB2312"/>
                <w:kern w:val="0"/>
                <w:sz w:val="24"/>
              </w:rPr>
              <w:t>80</w:t>
            </w:r>
            <w:r>
              <w:rPr>
                <w:rFonts w:hint="eastAsia" w:ascii="楷体_GB2312" w:hAnsi="楷体_GB2312" w:eastAsia="楷体_GB2312" w:cs="楷体_GB2312"/>
                <w:kern w:val="0"/>
                <w:sz w:val="24"/>
              </w:rPr>
              <w:t>分；  □较差  得分＜60分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粗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E1335"/>
    <w:multiLevelType w:val="singleLevel"/>
    <w:tmpl w:val="CAFE1335"/>
    <w:lvl w:ilvl="0" w:tentative="0">
      <w:start w:val="2"/>
      <w:numFmt w:val="chineseCounting"/>
      <w:suff w:val="nothing"/>
      <w:lvlText w:val="（%1）"/>
      <w:lvlJc w:val="left"/>
      <w:rPr>
        <w:rFonts w:hint="eastAsia"/>
      </w:rPr>
    </w:lvl>
  </w:abstractNum>
  <w:abstractNum w:abstractNumId="1">
    <w:nsid w:val="EBBF308B"/>
    <w:multiLevelType w:val="singleLevel"/>
    <w:tmpl w:val="EBBF308B"/>
    <w:lvl w:ilvl="0" w:tentative="0">
      <w:start w:val="1"/>
      <w:numFmt w:val="chineseCounting"/>
      <w:suff w:val="nothing"/>
      <w:lvlText w:val="（%1）"/>
      <w:lvlJc w:val="left"/>
      <w:rPr>
        <w:rFonts w:hint="eastAsia"/>
      </w:rPr>
    </w:lvl>
  </w:abstractNum>
  <w:abstractNum w:abstractNumId="2">
    <w:nsid w:val="FEBFE318"/>
    <w:multiLevelType w:val="singleLevel"/>
    <w:tmpl w:val="FEBFE318"/>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6CCD4196"/>
    <w:rsid w:val="32A927A4"/>
    <w:rsid w:val="3B2C2356"/>
    <w:rsid w:val="57AA7879"/>
    <w:rsid w:val="6CCD4196"/>
    <w:rsid w:val="7BFAFADC"/>
    <w:rsid w:val="7D4B55E1"/>
    <w:rsid w:val="B2FF4C61"/>
    <w:rsid w:val="EDFE9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6319</Words>
  <Characters>6635</Characters>
  <Lines>0</Lines>
  <Paragraphs>0</Paragraphs>
  <TotalTime>62</TotalTime>
  <ScaleCrop>false</ScaleCrop>
  <LinksUpToDate>false</LinksUpToDate>
  <CharactersWithSpaces>6706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2021-09-03T08:30:00Z</dcterms:created>
  <dc:creator>Administrator</dc:creator>
  <cp:lastModifiedBy>白菜花</cp:lastModifiedBy>
  <dcterms:modified xsi:type="dcterms:W3CDTF">2023-07-09T15:09:17Z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1C3A83E39E8040DBB039025461499155</vt:lpwstr>
  </property>
</Properties>
</file>