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hAnsi="方正粗宋简体" w:eastAsia="方正粗宋简体"/>
          <w:w w:val="85"/>
          <w:sz w:val="44"/>
          <w:szCs w:val="44"/>
        </w:rPr>
      </w:pPr>
      <w:r>
        <w:rPr>
          <w:rFonts w:eastAsia="方正粗宋简体"/>
          <w:w w:val="85"/>
          <w:sz w:val="44"/>
          <w:szCs w:val="44"/>
        </w:rPr>
        <w:t> 202</w:t>
      </w:r>
      <w:r>
        <w:rPr>
          <w:rFonts w:hint="eastAsia" w:eastAsia="方正粗宋简体"/>
          <w:w w:val="85"/>
          <w:sz w:val="44"/>
          <w:szCs w:val="44"/>
        </w:rPr>
        <w:t>1</w:t>
      </w:r>
      <w:r>
        <w:rPr>
          <w:rFonts w:hAnsi="方正粗宋简体" w:eastAsia="方正粗宋简体"/>
          <w:w w:val="85"/>
          <w:sz w:val="44"/>
          <w:szCs w:val="44"/>
        </w:rPr>
        <w:t>年度</w:t>
      </w:r>
      <w:r>
        <w:rPr>
          <w:rFonts w:hAnsi="方正粗宋简体" w:eastAsia="方正粗宋简体"/>
          <w:w w:val="85"/>
          <w:sz w:val="44"/>
          <w:szCs w:val="44"/>
        </w:rPr>
        <w:t>新晃应急管理局指挥中心视频会议接入及监控接入平台建设</w:t>
      </w:r>
      <w:r>
        <w:rPr>
          <w:rFonts w:hint="eastAsia" w:hAnsi="方正粗宋简体" w:eastAsia="方正粗宋简体"/>
          <w:w w:val="85"/>
          <w:sz w:val="44"/>
          <w:szCs w:val="44"/>
        </w:rPr>
        <w:t>工程项目</w:t>
      </w:r>
      <w:r>
        <w:rPr>
          <w:rFonts w:hAnsi="方正粗宋简体" w:eastAsia="方正粗宋简体"/>
          <w:w w:val="85"/>
          <w:sz w:val="44"/>
          <w:szCs w:val="44"/>
        </w:rPr>
        <w:t>支出</w:t>
      </w:r>
      <w:r>
        <w:rPr>
          <w:rFonts w:hint="eastAsia" w:hAnsi="方正粗宋简体" w:eastAsia="方正粗宋简体"/>
          <w:w w:val="85"/>
          <w:sz w:val="44"/>
          <w:szCs w:val="44"/>
        </w:rPr>
        <w:t>绩效</w:t>
      </w:r>
      <w:r>
        <w:rPr>
          <w:rFonts w:hAnsi="方正粗宋简体" w:eastAsia="方正粗宋简体"/>
          <w:w w:val="85"/>
          <w:sz w:val="44"/>
          <w:szCs w:val="44"/>
        </w:rPr>
        <w:t>自评报告</w:t>
      </w:r>
    </w:p>
    <w:p>
      <w:pPr>
        <w:spacing w:line="600" w:lineRule="exact"/>
        <w:jc w:val="center"/>
        <w:rPr>
          <w:rFonts w:eastAsia="方正粗宋简体"/>
          <w:w w:val="85"/>
          <w:sz w:val="44"/>
          <w:szCs w:val="44"/>
        </w:rPr>
      </w:pPr>
    </w:p>
    <w:p>
      <w:pPr>
        <w:spacing w:line="560" w:lineRule="exact"/>
        <w:ind w:firstLine="642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（一）项目概况。包括项目背景、主要内容及实施情况、资金投入和使用情况等。</w:t>
      </w:r>
    </w:p>
    <w:p>
      <w:pPr>
        <w:shd w:val="clear" w:color="auto" w:fill="FFFFFF"/>
        <w:adjustRightInd/>
        <w:snapToGrid/>
        <w:spacing w:after="0"/>
        <w:ind w:firstLine="640" w:firstLineChars="200"/>
        <w:jc w:val="both"/>
        <w:rPr>
          <w:rFonts w:hint="default" w:ascii="仿宋" w:hAnsi="仿宋" w:eastAsia="仿宋" w:cs="宋体"/>
          <w:color w:val="333333"/>
          <w:sz w:val="32"/>
          <w:szCs w:val="32"/>
        </w:rPr>
      </w:pPr>
      <w:r>
        <w:rPr>
          <w:rFonts w:hint="default" w:ascii="仿宋" w:hAnsi="仿宋" w:eastAsia="仿宋" w:cs="宋体"/>
          <w:color w:val="333333"/>
          <w:sz w:val="32"/>
          <w:szCs w:val="32"/>
        </w:rPr>
        <w:t>根据机构调整改革职能转化方案和市应急管理局的工作要求，为使县应急指挥中心能够实现省、市、县三级互联互通指挥调度条件，以现有条件为基础，接入视频会议系统。</w:t>
      </w:r>
    </w:p>
    <w:p>
      <w:pPr>
        <w:shd w:val="clear" w:color="auto" w:fill="FFFFFF"/>
        <w:adjustRightInd/>
        <w:snapToGrid/>
        <w:spacing w:after="0"/>
        <w:ind w:firstLine="640" w:firstLineChars="200"/>
        <w:jc w:val="both"/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2021年度</w:t>
      </w:r>
      <w:r>
        <w:rPr>
          <w:rFonts w:hint="default" w:ascii="仿宋" w:hAnsi="仿宋" w:eastAsia="仿宋" w:cs="宋体"/>
          <w:color w:val="333333"/>
          <w:sz w:val="32"/>
          <w:szCs w:val="32"/>
        </w:rPr>
        <w:t>应急指挥中心视频会议接入及监控接入平台建设工程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工程项目</w:t>
      </w: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资金共计</w:t>
      </w:r>
      <w:r>
        <w:rPr>
          <w:rFonts w:hint="default" w:ascii="仿宋" w:hAnsi="仿宋" w:eastAsia="仿宋" w:cs="宋体"/>
          <w:color w:val="333333"/>
          <w:sz w:val="32"/>
          <w:szCs w:val="32"/>
          <w:lang w:eastAsia="zh-CN"/>
        </w:rPr>
        <w:t>37.66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万元，全部用于</w:t>
      </w:r>
      <w:r>
        <w:rPr>
          <w:rFonts w:hint="default" w:ascii="仿宋" w:hAnsi="仿宋" w:eastAsia="仿宋" w:cs="宋体"/>
          <w:color w:val="333333"/>
          <w:sz w:val="32"/>
          <w:szCs w:val="32"/>
          <w:lang w:eastAsia="zh-CN"/>
        </w:rPr>
        <w:t>指挥中心的视屏会议接入及监控接入平台建设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等，具体实施情况如下：</w:t>
      </w:r>
    </w:p>
    <w:p>
      <w:pPr>
        <w:numPr>
          <w:ilvl w:val="0"/>
          <w:numId w:val="1"/>
        </w:numPr>
        <w:shd w:val="clear" w:color="auto" w:fill="FFFFFF"/>
        <w:adjustRightInd/>
        <w:snapToGrid/>
        <w:spacing w:after="0"/>
        <w:ind w:firstLine="640" w:firstLineChars="200"/>
        <w:jc w:val="both"/>
        <w:rPr>
          <w:rFonts w:hint="default" w:ascii="仿宋" w:hAnsi="仿宋" w:eastAsia="仿宋" w:cs="宋体"/>
          <w:color w:val="333333"/>
          <w:sz w:val="32"/>
          <w:szCs w:val="32"/>
          <w:lang w:eastAsia="zh-CN"/>
        </w:rPr>
      </w:pPr>
      <w:r>
        <w:rPr>
          <w:rFonts w:hint="default" w:ascii="仿宋" w:hAnsi="仿宋" w:eastAsia="仿宋" w:cs="宋体"/>
          <w:color w:val="333333"/>
          <w:sz w:val="32"/>
          <w:szCs w:val="32"/>
          <w:lang w:eastAsia="zh-CN"/>
        </w:rPr>
        <w:t>项目前期摸底工作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。经20</w:t>
      </w:r>
      <w:r>
        <w:rPr>
          <w:rFonts w:hint="default" w:ascii="仿宋" w:hAnsi="仿宋" w:eastAsia="仿宋" w:cs="宋体"/>
          <w:color w:val="333333"/>
          <w:sz w:val="32"/>
          <w:szCs w:val="32"/>
          <w:lang w:eastAsia="zh-CN"/>
        </w:rPr>
        <w:t>19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年前期摸底，</w:t>
      </w:r>
      <w:r>
        <w:rPr>
          <w:rFonts w:hint="default" w:ascii="仿宋" w:hAnsi="仿宋" w:eastAsia="仿宋" w:cs="宋体"/>
          <w:color w:val="333333"/>
          <w:sz w:val="32"/>
          <w:szCs w:val="32"/>
          <w:lang w:eastAsia="zh-CN"/>
        </w:rPr>
        <w:t>为推进我县视频会议接入及监控接入平台建设工程项目，借鉴其他县市建设经验，由应急指挥中心牵头实施，结合我县实际，摸清项目建设的具体实施细则，测算项目建设的预算支出。31月1日完成所有前期摸底工作。</w:t>
      </w:r>
    </w:p>
    <w:p>
      <w:pPr>
        <w:shd w:val="clear" w:color="auto" w:fill="FFFFFF"/>
        <w:adjustRightInd/>
        <w:snapToGrid/>
        <w:spacing w:after="0"/>
        <w:ind w:firstLine="640" w:firstLineChars="200"/>
        <w:jc w:val="both"/>
        <w:rPr>
          <w:rFonts w:hint="default" w:ascii="仿宋" w:hAnsi="仿宋" w:eastAsia="仿宋" w:cs="宋体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宋体"/>
          <w:color w:val="333333"/>
          <w:sz w:val="32"/>
          <w:szCs w:val="32"/>
          <w:lang w:eastAsia="zh-CN"/>
        </w:rPr>
        <w:t>接入原有设备共8个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宋体"/>
          <w:color w:val="333333"/>
          <w:sz w:val="32"/>
          <w:szCs w:val="32"/>
          <w:lang w:eastAsia="zh-CN"/>
        </w:rPr>
        <w:t>接入原安监局视频会议设备4个，接入水利局视频会议主设备4个，装入新集成系统1个，视频监控接入模块1个。项目共计预算38.14万元，实际支出37.66万元，采用政府采购非公开招标模式采购，该项目于2019年5月31日竣工验收，投入使用。</w:t>
      </w:r>
    </w:p>
    <w:p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项目绩效目标。包括总体目标和阶段性目标。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总体目标：</w:t>
      </w:r>
      <w:r>
        <w:rPr>
          <w:rFonts w:hint="default" w:ascii="仿宋" w:hAnsi="仿宋" w:eastAsia="仿宋" w:cs="宋体"/>
          <w:color w:val="333333"/>
          <w:sz w:val="32"/>
          <w:szCs w:val="32"/>
        </w:rPr>
        <w:t>县应急指挥中心能够实现省、市、县三级互联互通指挥调度条件，以现有条件为基础，接入视频会议系统</w:t>
      </w:r>
    </w:p>
    <w:p>
      <w:pPr>
        <w:numPr>
          <w:ilvl w:val="0"/>
          <w:numId w:val="0"/>
        </w:numPr>
        <w:spacing w:line="560" w:lineRule="exact"/>
        <w:ind w:leftChars="200"/>
        <w:jc w:val="left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560" w:lineRule="exact"/>
        <w:ind w:firstLine="642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二、绩效评价工作开展情况</w:t>
      </w:r>
    </w:p>
    <w:p>
      <w:pPr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（一）绩效评价目的、对象和范围。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（1）严格执行《预算法》，强化支出责任，提高项目资金使用效益，对项目支出情况开展绩效评价，践行“花钱必问效、无效必问责”。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　　（2）通过对项目资金的绩效评价，进一步了解和掌握项目实施的具体情况，评价其项目资金安排的科学性、合理性、规范性和资金使用成效，及时总结项目管理经验，完善项目管理办法，提高项目管理水平和资金的使用效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（3）促使项目承担科室及项目分管领导，对绩效评价中发现的问题，认真整改，及时调整和完善单位的工作计划和绩效目标，提高管理水平，同时为项目后续资金投入、分配和管理提供决策依据。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rPr>
          <w:rFonts w:hint="default" w:ascii="Times New Roman" w:hAnsi="Times New Roman" w:eastAsia="方正粗宋简体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（4）</w:t>
      </w:r>
      <w:r>
        <w:rPr>
          <w:rFonts w:hint="default" w:ascii="仿宋" w:hAnsi="仿宋" w:eastAsia="仿宋" w:cs="宋体"/>
          <w:color w:val="333333"/>
          <w:sz w:val="32"/>
          <w:szCs w:val="32"/>
        </w:rPr>
        <w:t>视频会议接入及监控接入平台建设工程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项目1个，涉及资金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37.66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万元，主要范围是</w:t>
      </w:r>
      <w:r>
        <w:rPr>
          <w:rFonts w:hint="default" w:ascii="仿宋" w:hAnsi="仿宋" w:eastAsia="仿宋" w:cs="宋体"/>
          <w:color w:val="333333"/>
          <w:sz w:val="32"/>
          <w:szCs w:val="32"/>
          <w:lang w:eastAsia="zh-CN"/>
        </w:rPr>
        <w:t>视频会议接入及监控接入平台建设工程项目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等。</w:t>
      </w:r>
    </w:p>
    <w:p>
      <w:pPr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（二）绩效评价原则、评价指标体系（附表说明）、评价方法、评价标准等。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（1）科学公正。绩效评价应当运用科学合理的方法，按照规范的程序，对项目绩效进行客观、公正地反映。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　　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　　（3）激励约束。绩效评价结果应与预算安排、政策调整、改进管理实质性挂钩，体现奖优罚劣和激励相容导向，有效要安排、低效要压减、无效要问责。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（4）公开透明。绩效评价结果应依法依规公开，并自觉接受社会监督。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tbl>
      <w:tblPr>
        <w:tblStyle w:val="4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44"/>
        <w:gridCol w:w="1520"/>
        <w:gridCol w:w="414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绩效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指标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一级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指标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二级指标</w:t>
            </w: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三级指标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2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产出指标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数量指标</w:t>
            </w: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整合原安监局及水利局的视频会议设备8个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新增集成系统1套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应急管理平台服务器1个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质量指标</w:t>
            </w: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项目竣工验收合格率</w:t>
            </w:r>
          </w:p>
        </w:tc>
        <w:tc>
          <w:tcPr>
            <w:tcW w:w="1105" w:type="dxa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=</w:t>
            </w:r>
            <w:r>
              <w:rPr>
                <w:rFonts w:hint="eastAsia" w:ascii="仿宋_GB2312" w:eastAsia="仿宋_GB2312" w:hAnsiTheme="minorEastAsia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时效指标</w:t>
            </w: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整体工程</w:t>
            </w:r>
            <w:r>
              <w:rPr>
                <w:rFonts w:hint="default" w:ascii="仿宋_GB2312" w:eastAsia="仿宋_GB2312" w:hAnsiTheme="minorEastAsia"/>
                <w:szCs w:val="21"/>
              </w:rPr>
              <w:t>建筑</w:t>
            </w:r>
            <w:r>
              <w:rPr>
                <w:rFonts w:hint="eastAsia" w:ascii="仿宋_GB2312" w:eastAsia="仿宋_GB2312" w:hAnsiTheme="minorEastAsia"/>
                <w:szCs w:val="21"/>
              </w:rPr>
              <w:t>资金拨付率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效益指标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社会效益指标</w:t>
            </w: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提高应急救援能力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显著提高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满意度指标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服务对象满意度指标</w:t>
            </w: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应急管理部门满意度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≥90%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560" w:lineRule="exact"/>
        <w:ind w:left="1" w:leftChars="0"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绩效评价工作过程。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1.成立绩效评价领导小组；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　　2.组织相关人员进行培训；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　　3.收集相关资料；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　　4.分析资料、汇总评价数据；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　　5.填写项目支出绩效单位自评表，撰写绩效自评报告。</w:t>
      </w:r>
    </w:p>
    <w:p>
      <w:pPr>
        <w:numPr>
          <w:ilvl w:val="0"/>
          <w:numId w:val="0"/>
        </w:numPr>
        <w:spacing w:line="560" w:lineRule="exact"/>
        <w:ind w:leftChars="200"/>
        <w:jc w:val="left"/>
        <w:rPr>
          <w:rFonts w:hint="eastAsia" w:eastAsia="仿宋_GB2312"/>
          <w:sz w:val="32"/>
          <w:szCs w:val="32"/>
        </w:rPr>
      </w:pPr>
    </w:p>
    <w:p>
      <w:pPr>
        <w:numPr>
          <w:ilvl w:val="0"/>
          <w:numId w:val="3"/>
        </w:numPr>
        <w:spacing w:line="560" w:lineRule="exact"/>
        <w:ind w:firstLine="642" w:firstLineChars="200"/>
        <w:jc w:val="left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综合评价情况及评价结论（附相关评分表）</w:t>
      </w:r>
    </w:p>
    <w:p>
      <w:pPr>
        <w:spacing w:line="600" w:lineRule="exact"/>
        <w:ind w:firstLine="640" w:firstLineChars="200"/>
        <w:jc w:val="both"/>
        <w:rPr>
          <w:rFonts w:hint="eastAsia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根据绩效目标表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相关指标，逐一对应指标值数进行综合评价。自评分数为</w:t>
      </w:r>
      <w:r>
        <w:rPr>
          <w:rFonts w:hint="default" w:eastAsia="仿宋_GB2312" w:cs="Times New Roman"/>
          <w:sz w:val="32"/>
          <w:szCs w:val="32"/>
          <w:lang w:eastAsia="zh-CN" w:bidi="ar-SA"/>
        </w:rPr>
        <w:t>100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分，评价结果为优秀。</w:t>
      </w:r>
    </w:p>
    <w:tbl>
      <w:tblPr>
        <w:tblStyle w:val="4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44"/>
        <w:gridCol w:w="1520"/>
        <w:gridCol w:w="4145"/>
        <w:gridCol w:w="110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绩效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指标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一级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指标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二级指标</w:t>
            </w: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三级指标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指标值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 w:hAnsiTheme="minorEastAsia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Cs w:val="21"/>
                <w:lang w:eastAsia="zh-CN"/>
              </w:rPr>
              <w:t>自评结果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2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产出指标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数量指标</w:t>
            </w: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整合原安监局及水利局的视频会议设备8个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8个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新增集成系统1套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1套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应急管理平台服务器1个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1个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质量指标</w:t>
            </w: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项目竣工验收合格率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=</w:t>
            </w:r>
            <w:r>
              <w:rPr>
                <w:rFonts w:hint="eastAsia" w:ascii="仿宋_GB2312" w:eastAsia="仿宋_GB2312" w:hAnsiTheme="minorEastAsia"/>
                <w:szCs w:val="21"/>
              </w:rPr>
              <w:t>100%</w:t>
            </w:r>
          </w:p>
        </w:tc>
        <w:tc>
          <w:tcPr>
            <w:tcW w:w="1105" w:type="dxa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=</w:t>
            </w:r>
            <w:r>
              <w:rPr>
                <w:rFonts w:hint="eastAsia" w:ascii="仿宋_GB2312" w:eastAsia="仿宋_GB2312" w:hAnsiTheme="minorEastAsia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时效指标</w:t>
            </w: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整体工程</w:t>
            </w:r>
            <w:r>
              <w:rPr>
                <w:rFonts w:hint="default" w:ascii="仿宋_GB2312" w:eastAsia="仿宋_GB2312" w:hAnsiTheme="minorEastAsia"/>
                <w:szCs w:val="21"/>
              </w:rPr>
              <w:t>建筑</w:t>
            </w:r>
            <w:r>
              <w:rPr>
                <w:rFonts w:hint="eastAsia" w:ascii="仿宋_GB2312" w:eastAsia="仿宋_GB2312" w:hAnsiTheme="minorEastAsia"/>
                <w:szCs w:val="21"/>
              </w:rPr>
              <w:t>资金拨付率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100%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效益指标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社会效益指标</w:t>
            </w: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提高应急救援能力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显著提高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default" w:ascii="仿宋_GB2312" w:eastAsia="仿宋_GB2312" w:hAnsiTheme="minorEastAsia"/>
                <w:szCs w:val="21"/>
              </w:rPr>
              <w:t>显著提高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满意度指标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服务对象满意度指标</w:t>
            </w: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烈属及祭扫群众满意度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≥90%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≥90%</w:t>
            </w:r>
          </w:p>
        </w:tc>
      </w:tr>
    </w:tbl>
    <w:p>
      <w:pPr>
        <w:spacing w:line="600" w:lineRule="exact"/>
        <w:ind w:firstLine="640" w:firstLineChars="200"/>
        <w:jc w:val="both"/>
        <w:rPr>
          <w:rFonts w:hint="default" w:eastAsia="仿宋_GB2312" w:cs="Times New Roman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2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四、绩效评价指标分析</w:t>
      </w:r>
    </w:p>
    <w:p>
      <w:pPr>
        <w:spacing w:line="560" w:lineRule="exact"/>
        <w:ind w:firstLine="48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A4A4A"/>
          <w:spacing w:val="0"/>
          <w:sz w:val="24"/>
          <w:szCs w:val="24"/>
          <w:shd w:val="clear" w:fill="FFFFFF"/>
        </w:rPr>
        <w:t>　</w:t>
      </w:r>
      <w:r>
        <w:rPr>
          <w:rFonts w:hint="eastAsia" w:eastAsia="仿宋_GB2312"/>
          <w:sz w:val="32"/>
          <w:szCs w:val="32"/>
        </w:rPr>
        <w:t>（一）预算执行情况</w:t>
      </w:r>
    </w:p>
    <w:p>
      <w:pPr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333333"/>
          <w:sz w:val="32"/>
          <w:szCs w:val="32"/>
        </w:rPr>
        <w:t>视频会议接入及监控接入平台建设工程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eastAsia="zh-CN"/>
        </w:rPr>
        <w:t>预算收入</w:t>
      </w:r>
      <w:r>
        <w:rPr>
          <w:rFonts w:hint="default" w:eastAsia="仿宋_GB2312"/>
          <w:sz w:val="32"/>
          <w:szCs w:val="32"/>
          <w:lang w:eastAsia="zh-CN"/>
        </w:rPr>
        <w:t>37.66</w:t>
      </w:r>
      <w:r>
        <w:rPr>
          <w:rFonts w:hint="eastAsia" w:eastAsia="仿宋_GB2312"/>
          <w:sz w:val="32"/>
          <w:szCs w:val="32"/>
          <w:lang w:val="en-US" w:eastAsia="zh-CN"/>
        </w:rPr>
        <w:t>万元，支出决算数为</w:t>
      </w:r>
      <w:r>
        <w:rPr>
          <w:rFonts w:hint="default" w:eastAsia="仿宋_GB2312"/>
          <w:sz w:val="32"/>
          <w:szCs w:val="32"/>
          <w:lang w:eastAsia="zh-CN"/>
        </w:rPr>
        <w:t>37.66</w:t>
      </w:r>
      <w:r>
        <w:rPr>
          <w:rFonts w:hint="eastAsia" w:eastAsia="仿宋_GB2312"/>
          <w:sz w:val="32"/>
          <w:szCs w:val="32"/>
          <w:lang w:val="en-US" w:eastAsia="zh-CN"/>
        </w:rPr>
        <w:t>万元，执行率为100%。</w:t>
      </w:r>
      <w:bookmarkStart w:id="0" w:name="_GoBack"/>
      <w:bookmarkEnd w:id="0"/>
    </w:p>
    <w:p>
      <w:pPr>
        <w:numPr>
          <w:ilvl w:val="0"/>
          <w:numId w:val="4"/>
        </w:numPr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项目产出情况。</w:t>
      </w:r>
    </w:p>
    <w:p>
      <w:pPr>
        <w:spacing w:line="560" w:lineRule="exact"/>
        <w:ind w:firstLine="640" w:firstLineChars="200"/>
        <w:jc w:val="left"/>
        <w:rPr>
          <w:rFonts w:hint="default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从综合评价得分情况看，此项目综合评价满分为100分，实际得分</w:t>
      </w:r>
      <w:r>
        <w:rPr>
          <w:rFonts w:hint="default" w:eastAsia="仿宋_GB2312"/>
          <w:sz w:val="32"/>
          <w:szCs w:val="32"/>
          <w:lang w:eastAsia="zh-CN"/>
        </w:rPr>
        <w:t>100</w:t>
      </w:r>
      <w:r>
        <w:rPr>
          <w:rFonts w:hint="eastAsia" w:eastAsia="仿宋_GB2312"/>
          <w:sz w:val="32"/>
          <w:szCs w:val="32"/>
          <w:lang w:val="en-US" w:eastAsia="zh-CN"/>
        </w:rPr>
        <w:t>分，</w:t>
      </w:r>
      <w:r>
        <w:rPr>
          <w:rFonts w:hint="default" w:eastAsia="仿宋_GB2312"/>
          <w:sz w:val="32"/>
          <w:szCs w:val="32"/>
          <w:lang w:eastAsia="zh-CN"/>
        </w:rPr>
        <w:t>各项指标均已完成。</w:t>
      </w:r>
    </w:p>
    <w:p>
      <w:pPr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）项目效益情况。</w:t>
      </w:r>
    </w:p>
    <w:p>
      <w:pPr>
        <w:spacing w:line="560" w:lineRule="exact"/>
        <w:ind w:firstLine="640" w:firstLineChars="200"/>
        <w:jc w:val="left"/>
        <w:rPr>
          <w:rFonts w:hint="default" w:eastAsia="仿宋_GB2312"/>
          <w:sz w:val="32"/>
          <w:szCs w:val="32"/>
          <w:lang w:eastAsia="zh-CN"/>
        </w:rPr>
      </w:pPr>
      <w:r>
        <w:rPr>
          <w:rFonts w:hint="default" w:ascii="仿宋" w:hAnsi="仿宋" w:eastAsia="仿宋" w:cs="宋体"/>
          <w:color w:val="333333"/>
          <w:sz w:val="32"/>
          <w:szCs w:val="32"/>
          <w:lang w:eastAsia="zh-CN"/>
        </w:rPr>
        <w:t>视频会议接入及监控接入平台建设工程项目</w:t>
      </w:r>
      <w:r>
        <w:rPr>
          <w:rFonts w:hint="default" w:ascii="仿宋" w:hAnsi="仿宋" w:eastAsia="仿宋" w:cs="宋体"/>
          <w:color w:val="333333"/>
          <w:sz w:val="32"/>
          <w:szCs w:val="32"/>
          <w:lang w:eastAsia="zh-CN"/>
        </w:rPr>
        <w:t>提高了我县应急管理救援的能力，全面加强应急管理体系建设，突发事件应对能力得到了全面提升。应急管理能力建设贯穿于突发事件的预防与应急准备、监测、预警、应急处置与救援、事后恢复与重建等多个环节，加强应急管理能力建设，是全面提升应急管理水平的核心内容。</w:t>
      </w:r>
    </w:p>
    <w:p>
      <w:pPr>
        <w:numPr>
          <w:ilvl w:val="0"/>
          <w:numId w:val="3"/>
        </w:numPr>
        <w:spacing w:line="560" w:lineRule="exact"/>
        <w:ind w:left="1" w:leftChars="0" w:firstLine="642" w:firstLineChars="200"/>
        <w:jc w:val="left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主要经验及做法、存在的问题及原因分析</w:t>
      </w:r>
    </w:p>
    <w:p>
      <w:pPr>
        <w:numPr>
          <w:numId w:val="0"/>
        </w:numPr>
        <w:spacing w:line="560" w:lineRule="exact"/>
        <w:ind w:leftChars="200"/>
        <w:jc w:val="left"/>
        <w:rPr>
          <w:rFonts w:hint="default" w:eastAsia="仿宋_GB2312"/>
          <w:b/>
          <w:bCs/>
          <w:sz w:val="32"/>
          <w:szCs w:val="32"/>
        </w:rPr>
      </w:pPr>
      <w:r>
        <w:rPr>
          <w:rFonts w:hint="default" w:eastAsia="仿宋_GB2312"/>
          <w:b/>
          <w:bCs/>
          <w:sz w:val="32"/>
          <w:szCs w:val="32"/>
        </w:rPr>
        <w:t xml:space="preserve">    无</w:t>
      </w:r>
    </w:p>
    <w:p>
      <w:pPr>
        <w:numPr>
          <w:numId w:val="0"/>
        </w:numPr>
        <w:spacing w:line="560" w:lineRule="exact"/>
        <w:ind w:leftChars="200" w:firstLine="321" w:firstLineChars="100"/>
        <w:jc w:val="left"/>
        <w:rPr>
          <w:rFonts w:hint="eastAsia" w:eastAsia="仿宋_GB2312"/>
          <w:b/>
          <w:bCs/>
          <w:sz w:val="32"/>
          <w:szCs w:val="32"/>
        </w:rPr>
      </w:pPr>
      <w:r>
        <w:rPr>
          <w:rFonts w:hint="default" w:eastAsia="仿宋_GB2312"/>
          <w:b/>
          <w:bCs/>
          <w:sz w:val="32"/>
          <w:szCs w:val="32"/>
        </w:rPr>
        <w:t>五、</w:t>
      </w:r>
      <w:r>
        <w:rPr>
          <w:rFonts w:hint="eastAsia" w:eastAsia="仿宋_GB2312"/>
          <w:b/>
          <w:bCs/>
          <w:sz w:val="32"/>
          <w:szCs w:val="32"/>
        </w:rPr>
        <w:t>有关建议</w:t>
      </w:r>
    </w:p>
    <w:p>
      <w:pPr>
        <w:pStyle w:val="2"/>
        <w:widowControl w:val="0"/>
        <w:spacing w:before="0" w:beforeAutospacing="0" w:after="0" w:afterAutospacing="0" w:line="520" w:lineRule="exac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无</w:t>
      </w:r>
    </w:p>
    <w:p>
      <w:pPr>
        <w:spacing w:line="560" w:lineRule="exact"/>
        <w:ind w:firstLine="642" w:firstLineChars="200"/>
        <w:jc w:val="left"/>
        <w:rPr>
          <w:rFonts w:hint="eastAsia" w:eastAsia="仿宋_GB2312"/>
          <w:b/>
          <w:bCs/>
          <w:sz w:val="32"/>
          <w:szCs w:val="32"/>
        </w:rPr>
      </w:pPr>
      <w:r>
        <w:rPr>
          <w:rFonts w:hint="default" w:eastAsia="仿宋_GB2312"/>
          <w:b/>
          <w:bCs/>
          <w:sz w:val="32"/>
          <w:szCs w:val="32"/>
        </w:rPr>
        <w:t>六、</w:t>
      </w:r>
      <w:r>
        <w:rPr>
          <w:rFonts w:hint="eastAsia" w:eastAsia="仿宋_GB2312"/>
          <w:b/>
          <w:bCs/>
          <w:sz w:val="32"/>
          <w:szCs w:val="32"/>
        </w:rPr>
        <w:t>其他需要说明的问题</w:t>
      </w:r>
    </w:p>
    <w:p>
      <w:pPr>
        <w:pStyle w:val="2"/>
        <w:widowControl w:val="0"/>
        <w:spacing w:before="0" w:beforeAutospacing="0" w:after="0" w:afterAutospacing="0" w:line="520" w:lineRule="exac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 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无</w:t>
      </w:r>
    </w:p>
    <w:p>
      <w:pPr>
        <w:ind w:left="7840" w:hanging="7840" w:hangingChars="28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                           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项目单位（签）                        </w:t>
      </w:r>
    </w:p>
    <w:p>
      <w:pPr>
        <w:ind w:firstLine="5600" w:firstLineChars="2000"/>
      </w:pPr>
      <w:r>
        <w:rPr>
          <w:rFonts w:eastAsia="仿宋_GB2312"/>
          <w:sz w:val="28"/>
          <w:szCs w:val="28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FA83EE"/>
    <w:multiLevelType w:val="singleLevel"/>
    <w:tmpl w:val="ABFA83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C79F24"/>
    <w:multiLevelType w:val="singleLevel"/>
    <w:tmpl w:val="FAC79F2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B598C8F"/>
    <w:multiLevelType w:val="singleLevel"/>
    <w:tmpl w:val="FB598C8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B5DE6B3"/>
    <w:multiLevelType w:val="singleLevel"/>
    <w:tmpl w:val="4B5DE6B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NTE0MmM4ZWY5ZjM4N2Q3YmFjN2ViZDA1NWI4NmYifQ=="/>
  </w:docVars>
  <w:rsids>
    <w:rsidRoot w:val="0E296DED"/>
    <w:rsid w:val="08C22848"/>
    <w:rsid w:val="0ACF1B15"/>
    <w:rsid w:val="0E296DED"/>
    <w:rsid w:val="271A297F"/>
    <w:rsid w:val="27543BF3"/>
    <w:rsid w:val="328F045C"/>
    <w:rsid w:val="379323FF"/>
    <w:rsid w:val="408F5EAA"/>
    <w:rsid w:val="44D07A95"/>
    <w:rsid w:val="47B0320B"/>
    <w:rsid w:val="4E9B4517"/>
    <w:rsid w:val="FAFB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599</Characters>
  <Lines>0</Lines>
  <Paragraphs>0</Paragraphs>
  <TotalTime>0</TotalTime>
  <ScaleCrop>false</ScaleCrop>
  <LinksUpToDate>false</LinksUpToDate>
  <CharactersWithSpaces>670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2022-05-20T10:05:00Z</dcterms:created>
  <dc:creator>mR.（^0^）、猪</dc:creator>
  <cp:lastModifiedBy>greatwall</cp:lastModifiedBy>
  <dcterms:modified xsi:type="dcterms:W3CDTF">2022-06-01T10:41:37Z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A7F4C9B520F24021987833D21CA473F6</vt:lpwstr>
  </property>
</Properties>
</file>