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941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76"/>
        <w:gridCol w:w="3366"/>
        <w:gridCol w:w="1421"/>
        <w:gridCol w:w="2249"/>
      </w:tblGrid>
      <w:tr w14:paraId="2FDF3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80" w:hRule="atLeast"/>
        </w:trPr>
        <w:tc>
          <w:tcPr>
            <w:tcW w:w="9412"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0E6897FB">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行政处罚信息公示表</w:t>
            </w:r>
          </w:p>
        </w:tc>
      </w:tr>
      <w:tr w14:paraId="572AF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87" w:hRule="atLeast"/>
        </w:trPr>
        <w:tc>
          <w:tcPr>
            <w:tcW w:w="23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987B14">
            <w:pPr>
              <w:keepNext w:val="0"/>
              <w:keepLines w:val="0"/>
              <w:widowControl/>
              <w:suppressLineNumbers w:val="0"/>
              <w:jc w:val="left"/>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被处罚单位（人）</w:t>
            </w:r>
            <w:r>
              <w:rPr>
                <w:rFonts w:hint="eastAsia" w:ascii="黑体" w:hAnsi="宋体" w:eastAsia="黑体" w:cs="黑体"/>
                <w:i w:val="0"/>
                <w:iCs w:val="0"/>
                <w:color w:val="000000"/>
                <w:kern w:val="0"/>
                <w:sz w:val="24"/>
                <w:szCs w:val="24"/>
                <w:u w:val="none"/>
                <w:lang w:val="en-US" w:eastAsia="zh-CN" w:bidi="ar"/>
              </w:rPr>
              <w:br w:type="textWrapping"/>
            </w:r>
          </w:p>
        </w:tc>
        <w:tc>
          <w:tcPr>
            <w:tcW w:w="7036"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14BD5BA">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新晃</w:t>
            </w:r>
            <w:r>
              <w:rPr>
                <w:rFonts w:hint="eastAsia" w:ascii="仿宋_GB2312" w:hAnsi="宋体" w:eastAsia="仿宋_GB2312" w:cs="仿宋_GB2312"/>
                <w:i w:val="0"/>
                <w:iCs w:val="0"/>
                <w:color w:val="000000"/>
                <w:kern w:val="0"/>
                <w:sz w:val="24"/>
                <w:szCs w:val="24"/>
                <w:u w:val="none"/>
                <w:lang w:val="en-US" w:eastAsia="zh-CN" w:bidi="ar"/>
              </w:rPr>
              <w:t>*</w:t>
            </w:r>
            <w:r>
              <w:rPr>
                <w:rFonts w:hint="default" w:ascii="仿宋_GB2312" w:hAnsi="宋体" w:eastAsia="仿宋_GB2312" w:cs="仿宋_GB2312"/>
                <w:i w:val="0"/>
                <w:iCs w:val="0"/>
                <w:color w:val="000000"/>
                <w:kern w:val="0"/>
                <w:sz w:val="24"/>
                <w:szCs w:val="24"/>
                <w:u w:val="none"/>
                <w:lang w:val="en-US" w:eastAsia="zh-CN" w:bidi="ar"/>
              </w:rPr>
              <w:t>麟化工有限责任公司（统一社会信用代码：91431227</w:t>
            </w:r>
            <w:r>
              <w:rPr>
                <w:rFonts w:hint="eastAsia" w:ascii="仿宋_GB2312" w:hAnsi="宋体" w:eastAsia="仿宋_GB2312" w:cs="仿宋_GB2312"/>
                <w:i w:val="0"/>
                <w:iCs w:val="0"/>
                <w:color w:val="000000"/>
                <w:kern w:val="0"/>
                <w:sz w:val="24"/>
                <w:szCs w:val="24"/>
                <w:u w:val="none"/>
                <w:lang w:val="en-US" w:eastAsia="zh-CN" w:bidi="ar"/>
              </w:rPr>
              <w:t>*********</w:t>
            </w:r>
            <w:r>
              <w:rPr>
                <w:rFonts w:hint="default" w:ascii="仿宋_GB2312" w:hAnsi="宋体" w:eastAsia="仿宋_GB2312" w:cs="仿宋_GB2312"/>
                <w:i w:val="0"/>
                <w:iCs w:val="0"/>
                <w:color w:val="000000"/>
                <w:kern w:val="0"/>
                <w:sz w:val="24"/>
                <w:szCs w:val="24"/>
                <w:u w:val="none"/>
                <w:lang w:val="en-US" w:eastAsia="zh-CN" w:bidi="ar"/>
              </w:rPr>
              <w:t>C）</w:t>
            </w:r>
          </w:p>
        </w:tc>
      </w:tr>
      <w:tr w14:paraId="66704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95" w:hRule="atLeast"/>
        </w:trPr>
        <w:tc>
          <w:tcPr>
            <w:tcW w:w="2376"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1D8C407E">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地     址</w:t>
            </w:r>
          </w:p>
        </w:tc>
        <w:tc>
          <w:tcPr>
            <w:tcW w:w="7036" w:type="dxa"/>
            <w:gridSpan w:val="3"/>
            <w:tcBorders>
              <w:top w:val="single" w:color="auto" w:sz="4" w:space="0"/>
              <w:left w:val="single" w:color="000000" w:sz="4" w:space="0"/>
              <w:bottom w:val="single" w:color="000000" w:sz="4" w:space="0"/>
              <w:right w:val="single" w:color="000000" w:sz="4" w:space="0"/>
            </w:tcBorders>
            <w:shd w:val="clear" w:color="auto" w:fill="auto"/>
            <w:noWrap/>
            <w:vAlign w:val="center"/>
          </w:tcPr>
          <w:p w14:paraId="4AECAA09">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湖南省怀化市新晃侗族自治县贡*镇碧</w:t>
            </w:r>
            <w:r>
              <w:rPr>
                <w:rFonts w:hint="eastAsia" w:ascii="仿宋_GB2312" w:hAnsi="宋体" w:eastAsia="仿宋_GB2312" w:cs="仿宋_GB2312"/>
                <w:i w:val="0"/>
                <w:iCs w:val="0"/>
                <w:color w:val="000000"/>
                <w:kern w:val="0"/>
                <w:sz w:val="24"/>
                <w:szCs w:val="24"/>
                <w:u w:val="none"/>
                <w:lang w:val="en-US" w:eastAsia="zh-CN" w:bidi="ar"/>
              </w:rPr>
              <w:t>*</w:t>
            </w:r>
            <w:r>
              <w:rPr>
                <w:rFonts w:hint="eastAsia" w:ascii="仿宋_GB2312" w:hAnsi="宋体" w:eastAsia="仿宋_GB2312" w:cs="仿宋_GB2312"/>
                <w:i w:val="0"/>
                <w:iCs w:val="0"/>
                <w:color w:val="000000"/>
                <w:kern w:val="0"/>
                <w:sz w:val="24"/>
                <w:szCs w:val="24"/>
                <w:u w:val="none"/>
                <w:lang w:val="en-US" w:eastAsia="zh-CN" w:bidi="ar"/>
              </w:rPr>
              <w:t>村</w:t>
            </w:r>
          </w:p>
        </w:tc>
      </w:tr>
      <w:tr w14:paraId="73080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910" w:hRule="atLeast"/>
        </w:trPr>
        <w:tc>
          <w:tcPr>
            <w:tcW w:w="2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C9A6E">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案件来源</w:t>
            </w:r>
          </w:p>
        </w:tc>
        <w:tc>
          <w:tcPr>
            <w:tcW w:w="3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6C441">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本级交办</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C9C1E">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检查方式</w:t>
            </w:r>
          </w:p>
        </w:tc>
        <w:tc>
          <w:tcPr>
            <w:tcW w:w="2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51A26">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现场检查</w:t>
            </w:r>
          </w:p>
        </w:tc>
      </w:tr>
      <w:tr w14:paraId="384B8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910" w:hRule="atLeast"/>
        </w:trPr>
        <w:tc>
          <w:tcPr>
            <w:tcW w:w="2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AB5BC">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处罚单位</w:t>
            </w:r>
          </w:p>
        </w:tc>
        <w:tc>
          <w:tcPr>
            <w:tcW w:w="703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43E64">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新晃侗族自治县应急管理局</w:t>
            </w:r>
          </w:p>
        </w:tc>
      </w:tr>
      <w:tr w14:paraId="54B02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965" w:hRule="atLeast"/>
        </w:trPr>
        <w:tc>
          <w:tcPr>
            <w:tcW w:w="2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09EC1">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行政处罚决定书编号</w:t>
            </w:r>
          </w:p>
        </w:tc>
        <w:tc>
          <w:tcPr>
            <w:tcW w:w="703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D2235">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（湘怀新）应急罚〔2026〕2号</w:t>
            </w:r>
          </w:p>
        </w:tc>
      </w:tr>
      <w:tr w14:paraId="0B8B8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370" w:hRule="atLeast"/>
        </w:trPr>
        <w:tc>
          <w:tcPr>
            <w:tcW w:w="2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8033C">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主要违法事实</w:t>
            </w:r>
          </w:p>
        </w:tc>
        <w:tc>
          <w:tcPr>
            <w:tcW w:w="703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22305">
            <w:pPr>
              <w:keepNext w:val="0"/>
              <w:keepLines w:val="0"/>
              <w:widowControl/>
              <w:suppressLineNumbers w:val="0"/>
              <w:ind w:firstLine="480" w:firstLineChars="200"/>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2026年1月16日，新晃侗族自治县应急管理局非煤矿山安全监督管理股执法人员在对新晃</w:t>
            </w:r>
            <w:r>
              <w:rPr>
                <w:rFonts w:hint="eastAsia" w:ascii="仿宋_GB2312" w:hAnsi="宋体" w:eastAsia="仿宋_GB2312" w:cs="仿宋_GB2312"/>
                <w:i w:val="0"/>
                <w:iCs w:val="0"/>
                <w:color w:val="000000"/>
                <w:kern w:val="0"/>
                <w:sz w:val="24"/>
                <w:szCs w:val="24"/>
                <w:u w:val="none"/>
                <w:lang w:val="en-US" w:eastAsia="zh-CN" w:bidi="ar"/>
              </w:rPr>
              <w:t>*</w:t>
            </w:r>
            <w:r>
              <w:rPr>
                <w:rFonts w:hint="eastAsia" w:ascii="仿宋_GB2312" w:hAnsi="宋体" w:eastAsia="仿宋_GB2312" w:cs="仿宋_GB2312"/>
                <w:i w:val="0"/>
                <w:iCs w:val="0"/>
                <w:color w:val="000000"/>
                <w:kern w:val="0"/>
                <w:sz w:val="24"/>
                <w:szCs w:val="24"/>
                <w:u w:val="none"/>
                <w:lang w:val="en-US" w:eastAsia="zh-CN" w:bidi="ar"/>
              </w:rPr>
              <w:t>麟化工有限责任公司（新晃</w:t>
            </w:r>
            <w:r>
              <w:rPr>
                <w:rFonts w:hint="eastAsia" w:ascii="仿宋_GB2312" w:hAnsi="宋体" w:eastAsia="仿宋_GB2312" w:cs="仿宋_GB2312"/>
                <w:i w:val="0"/>
                <w:iCs w:val="0"/>
                <w:color w:val="000000"/>
                <w:kern w:val="0"/>
                <w:sz w:val="24"/>
                <w:szCs w:val="24"/>
                <w:u w:val="none"/>
                <w:lang w:val="en-US" w:eastAsia="zh-CN" w:bidi="ar"/>
              </w:rPr>
              <w:t>*</w:t>
            </w:r>
            <w:r>
              <w:rPr>
                <w:rFonts w:hint="eastAsia" w:ascii="仿宋_GB2312" w:hAnsi="宋体" w:eastAsia="仿宋_GB2312" w:cs="仿宋_GB2312"/>
                <w:i w:val="0"/>
                <w:iCs w:val="0"/>
                <w:color w:val="000000"/>
                <w:kern w:val="0"/>
                <w:sz w:val="24"/>
                <w:szCs w:val="24"/>
                <w:u w:val="none"/>
                <w:lang w:val="en-US" w:eastAsia="zh-CN" w:bidi="ar"/>
              </w:rPr>
              <w:t>麟化工有限责任公司碧</w:t>
            </w:r>
            <w:r>
              <w:rPr>
                <w:rFonts w:hint="eastAsia" w:ascii="仿宋_GB2312" w:hAnsi="宋体" w:eastAsia="仿宋_GB2312" w:cs="仿宋_GB2312"/>
                <w:i w:val="0"/>
                <w:iCs w:val="0"/>
                <w:color w:val="000000"/>
                <w:kern w:val="0"/>
                <w:sz w:val="24"/>
                <w:szCs w:val="24"/>
                <w:u w:val="none"/>
                <w:lang w:val="en-US" w:eastAsia="zh-CN" w:bidi="ar"/>
              </w:rPr>
              <w:t>*</w:t>
            </w:r>
            <w:r>
              <w:rPr>
                <w:rFonts w:hint="eastAsia" w:ascii="仿宋_GB2312" w:hAnsi="宋体" w:eastAsia="仿宋_GB2312" w:cs="仿宋_GB2312"/>
                <w:i w:val="0"/>
                <w:iCs w:val="0"/>
                <w:color w:val="000000"/>
                <w:kern w:val="0"/>
                <w:sz w:val="24"/>
                <w:szCs w:val="24"/>
                <w:u w:val="none"/>
                <w:lang w:val="en-US" w:eastAsia="zh-CN" w:bidi="ar"/>
              </w:rPr>
              <w:t>重晶石矿）进行执法检查时，发现该公司存在2条安全隐患，具体为：1.“地表距1#主平硐井口50m范围内进行砂轮切割作业，存放有氧气瓶、乙炔瓶等易爆材料。”,不符合《金属非金属矿山安全规程》（GB16423-2020）第6.9.1.9条的规定，依据《金属非金属矿山重大事故隐患判定标准补充情形》（矿安〔2024〕41号）地下矿山部分第（一）项的规定，判定为重大事故隐患；2.“+674m中段南采场一个安全出口不畅通，不具备行人条件。”，不符合《金属非金属矿山安全规程》（GB16423-2020）第6.3.1.4条的规定，依据《金属非金属矿山重大事故隐患判定标准》（矿安〔2022〕88号）地下矿山部分第（一）条第四种情形，判定为重大事故隐患。</w:t>
            </w:r>
          </w:p>
          <w:p w14:paraId="4BB92015">
            <w:pPr>
              <w:keepNext w:val="0"/>
              <w:keepLines w:val="0"/>
              <w:widowControl/>
              <w:suppressLineNumbers w:val="0"/>
              <w:ind w:firstLine="480" w:firstLineChars="200"/>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该公司未采取技术、管理措施及时发现并消除上述两项重大事故隐患。</w:t>
            </w:r>
          </w:p>
        </w:tc>
      </w:tr>
      <w:tr w14:paraId="61106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200" w:hRule="atLeast"/>
        </w:trPr>
        <w:tc>
          <w:tcPr>
            <w:tcW w:w="2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9B7BA">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处罚依据及处罚结果</w:t>
            </w:r>
          </w:p>
        </w:tc>
        <w:tc>
          <w:tcPr>
            <w:tcW w:w="703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623F9">
            <w:pPr>
              <w:keepNext w:val="0"/>
              <w:keepLines w:val="0"/>
              <w:widowControl/>
              <w:suppressLineNumbers w:val="0"/>
              <w:ind w:firstLine="480" w:firstLineChars="200"/>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新晃*麟化工有限责任公司的行为违反了《中华人民共和国安全生产法》第四十一条第二款的规定，依据《中华人民共和国安全生产法》第一百零二条的规定，结合《应急管理行政处罚裁量权基准》（应急〔2024〕90号）裁量细则第46项B档的规定的规定，决定对</w:t>
            </w:r>
            <w:r>
              <w:rPr>
                <w:rFonts w:hint="eastAsia" w:ascii="仿宋_GB2312" w:hAnsi="仿宋_GB2312" w:eastAsia="仿宋_GB2312" w:cs="仿宋_GB2312"/>
                <w:color w:val="auto"/>
                <w:lang w:eastAsia="zh-CN"/>
              </w:rPr>
              <w:t>新晃</w:t>
            </w:r>
            <w:r>
              <w:rPr>
                <w:rFonts w:hint="eastAsia" w:ascii="仿宋_GB2312" w:hAnsi="仿宋_GB2312" w:eastAsia="仿宋_GB2312" w:cs="仿宋_GB2312"/>
                <w:i w:val="0"/>
                <w:iCs w:val="0"/>
                <w:color w:val="000000"/>
                <w:kern w:val="0"/>
                <w:sz w:val="24"/>
                <w:szCs w:val="24"/>
                <w:u w:val="none"/>
                <w:lang w:val="en-US" w:eastAsia="zh-CN" w:bidi="ar"/>
              </w:rPr>
              <w:t>*</w:t>
            </w:r>
            <w:r>
              <w:rPr>
                <w:rFonts w:hint="eastAsia" w:ascii="仿宋_GB2312" w:hAnsi="仿宋_GB2312" w:eastAsia="仿宋_GB2312" w:cs="仿宋_GB2312"/>
                <w:color w:val="auto"/>
                <w:lang w:eastAsia="zh-CN"/>
              </w:rPr>
              <w:t>麟化工</w:t>
            </w:r>
            <w:bookmarkStart w:id="0" w:name="_GoBack"/>
            <w:bookmarkEnd w:id="0"/>
            <w:r>
              <w:rPr>
                <w:rFonts w:hint="eastAsia" w:ascii="仿宋_GB2312" w:hAnsi="仿宋_GB2312" w:eastAsia="仿宋_GB2312" w:cs="仿宋_GB2312"/>
                <w:color w:val="auto"/>
                <w:lang w:eastAsia="zh-CN"/>
              </w:rPr>
              <w:t>有限责任公司</w:t>
            </w:r>
            <w:r>
              <w:rPr>
                <w:rFonts w:hint="eastAsia" w:ascii="仿宋_GB2312" w:hAnsi="仿宋_GB2312" w:eastAsia="仿宋_GB2312" w:cs="仿宋_GB2312"/>
                <w:i w:val="0"/>
                <w:iCs w:val="0"/>
                <w:color w:val="000000"/>
                <w:kern w:val="0"/>
                <w:sz w:val="24"/>
                <w:szCs w:val="24"/>
                <w:u w:val="none"/>
                <w:lang w:val="en-US" w:eastAsia="zh-CN" w:bidi="ar"/>
              </w:rPr>
              <w:t>作出处人民币叁万贰仟元（32000元）罚款的行政处罚。</w:t>
            </w:r>
          </w:p>
        </w:tc>
      </w:tr>
      <w:tr w14:paraId="2FFD1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950" w:hRule="atLeast"/>
        </w:trPr>
        <w:tc>
          <w:tcPr>
            <w:tcW w:w="9412"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32C0591">
            <w:pPr>
              <w:keepNext w:val="0"/>
              <w:keepLines w:val="0"/>
              <w:widowControl/>
              <w:suppressLineNumbers w:val="0"/>
              <w:jc w:val="left"/>
              <w:textAlignment w:val="top"/>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行政相对人救济权告知情况：</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 xml:space="preserve">  </w:t>
            </w:r>
            <w:r>
              <w:rPr>
                <w:rFonts w:hint="eastAsia" w:ascii="仿宋_GB2312" w:hAnsi="仿宋_GB2312" w:eastAsia="仿宋_GB2312" w:cs="仿宋_GB2312"/>
                <w:i w:val="0"/>
                <w:iCs w:val="0"/>
                <w:color w:val="000000"/>
                <w:kern w:val="0"/>
                <w:sz w:val="24"/>
                <w:szCs w:val="24"/>
                <w:u w:val="none"/>
                <w:lang w:val="en-US" w:eastAsia="zh-CN" w:bidi="ar"/>
              </w:rPr>
              <w:t>在依法下达处罚决定时，已明确告知相对人：“如果不服本处罚决定，可以依法在60日内向新晃侗族自治县人民政府申请行政复议，或者在六个月内依法向怀化铁路运输法院提起行政诉讼,但本决定不停止执行，法律另有规定的除外。逾期不申请行政复议、不提起行政诉讼又不履行的，本机关将依法申请怀化铁路运输法院强制执行或者依照有关规定强制执行。</w:t>
            </w:r>
          </w:p>
        </w:tc>
      </w:tr>
    </w:tbl>
    <w:p w14:paraId="04AB0DD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BkZTViNDQ4OGMyODNmOTBhNzJiZTBmMDQwNzMzNzMifQ=="/>
  </w:docVars>
  <w:rsids>
    <w:rsidRoot w:val="7F9B3EDD"/>
    <w:rsid w:val="0A4422E6"/>
    <w:rsid w:val="110B4BF5"/>
    <w:rsid w:val="1224077C"/>
    <w:rsid w:val="12501EA9"/>
    <w:rsid w:val="19331ABA"/>
    <w:rsid w:val="19D807F3"/>
    <w:rsid w:val="1D5133A9"/>
    <w:rsid w:val="1F0806F8"/>
    <w:rsid w:val="1F660497"/>
    <w:rsid w:val="241502EA"/>
    <w:rsid w:val="246B37A9"/>
    <w:rsid w:val="26861D0C"/>
    <w:rsid w:val="2A086006"/>
    <w:rsid w:val="2D1B430E"/>
    <w:rsid w:val="304E7231"/>
    <w:rsid w:val="343F2906"/>
    <w:rsid w:val="34853536"/>
    <w:rsid w:val="3A2A0E15"/>
    <w:rsid w:val="3B2D0A37"/>
    <w:rsid w:val="3C8A4733"/>
    <w:rsid w:val="420135E6"/>
    <w:rsid w:val="42AD2B71"/>
    <w:rsid w:val="4490776F"/>
    <w:rsid w:val="44995897"/>
    <w:rsid w:val="45957368"/>
    <w:rsid w:val="4ED43961"/>
    <w:rsid w:val="500D4962"/>
    <w:rsid w:val="53975234"/>
    <w:rsid w:val="54E63EEE"/>
    <w:rsid w:val="5B69201F"/>
    <w:rsid w:val="5B9F3060"/>
    <w:rsid w:val="64B24842"/>
    <w:rsid w:val="67E533EF"/>
    <w:rsid w:val="70A4425D"/>
    <w:rsid w:val="721023BF"/>
    <w:rsid w:val="75714DBB"/>
    <w:rsid w:val="77A45676"/>
    <w:rsid w:val="7B630B7B"/>
    <w:rsid w:val="7F8861CA"/>
    <w:rsid w:val="7F9B3EDD"/>
    <w:rsid w:val="BBBF5E90"/>
    <w:rsid w:val="D77B98C1"/>
    <w:rsid w:val="FF9FF7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639</Words>
  <Characters>673</Characters>
  <Lines>0</Lines>
  <Paragraphs>0</Paragraphs>
  <TotalTime>0</TotalTime>
  <ScaleCrop>false</ScaleCrop>
  <LinksUpToDate>false</LinksUpToDate>
  <CharactersWithSpaces>680</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2021-10-12T00:21:00Z</dcterms:created>
  <dc:creator>华哥</dc:creator>
  <cp:lastModifiedBy>xinhuang</cp:lastModifiedBy>
  <dcterms:modified xsi:type="dcterms:W3CDTF">2026-02-05T08:47:00Z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996C5F75FE9F6A1890E78369151BAA48_43</vt:lpwstr>
  </property>
  <property fmtid="{D5CDD505-2E9C-101B-9397-08002B2CF9AE}" pid="4" name="KSOTemplateDocerSaveRecord">
    <vt:lpwstr>eyJoZGlkIjoiMzBkZTViNDQ4OGMyODNmOTBhNzJiZTBmMDQwNzMzNzMiLCJ1c2VySWQiOiI2NjkyMzE1In0=</vt:lpwstr>
  </property>
</Properties>
</file>