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60" w:lineRule="exact"/>
        <w:ind w:left="958" w:leftChars="304" w:hanging="320" w:hangingChars="1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组织开展整体支出绩效评价，涉及一般公共预算支出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575.21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万元。从评价情况来看，2021年部门整体支出保证了单位各项工作的正常开展，确保了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统计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任务的完成。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630" w:leftChars="0"/>
        <w:jc w:val="left"/>
        <w:rPr>
          <w:rFonts w:hint="eastAsia" w:cs="黑体" w:asciiTheme="minorEastAsia" w:hAnsiTheme="minorEastAsia" w:eastAsiaTheme="minorEastAsia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val="en-US" w:eastAsia="zh-CN"/>
        </w:rPr>
        <w:t>我单位本年无项目支出。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630" w:left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3）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部门评价项目绩效评价结果。</w:t>
      </w:r>
    </w:p>
    <w:p>
      <w:pPr>
        <w:spacing w:line="580" w:lineRule="exact"/>
        <w:ind w:firstLine="640" w:firstLineChars="200"/>
        <w:textAlignment w:val="auto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2021年部门整体支出保证了单位各项工作的正常开展，确保了各项计划和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统计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任务的完成，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初步统计，全县前三季度完成地区生产总值54.58亿元，同比增长8.8%。城镇居民收入完成20188元，同比增长8.4%，农村居民收入完成8324元，同比增长11.4%。1—10月，全县规模以上工业增加值完成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1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62380万元，同比增长11.2%；固定资产投资完成532605万元，同比增长17.5%；全社会商品零售总额完成226083万元，同比下降16.7%；地方一般公共预算收入完成</w:t>
      </w:r>
      <w:r>
        <w:rPr>
          <w:rFonts w:asciiTheme="minorEastAsia" w:hAnsiTheme="minorEastAsia" w:eastAsiaTheme="minorEastAsia"/>
          <w:color w:val="000000"/>
          <w:sz w:val="30"/>
          <w:szCs w:val="30"/>
        </w:rPr>
        <w:t>3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8675万元，同比增长20.9%。</w:t>
      </w:r>
    </w:p>
    <w:p>
      <w:pPr>
        <w:spacing w:line="580" w:lineRule="exact"/>
        <w:ind w:firstLine="600" w:firstLineChars="200"/>
        <w:textAlignment w:val="auto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全年预计实现地区生产总值78.1亿元，增速8%；预计完成规上工业增加值183453万元，增速8%；预计完成固定资产投资总额763618万元，增速10.5%；预计完成社会消费品零售总额280300万元，增速10.5%；城镇居民人均可支配收入预计完成26131元，增速8.5%，农村居民人均可支配收入预计完成11851元，增速10.5%；预计完成地方一般公共预算收入43139万元，增速5.5%。</w:t>
      </w:r>
    </w:p>
    <w:p>
      <w:pPr>
        <w:spacing w:line="580" w:lineRule="exact"/>
        <w:ind w:firstLine="600" w:firstLineChars="200"/>
        <w:textAlignment w:val="auto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按照国家统计报表制度和新要求，认真组织做好了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2021年年定期统计报表工作。进一步加强对统计月报、季报、年报指标的评估，正确分析全县经济运行态势，及时提供准确反映全县经济发展状况的经济指标数据，为县委、政府及时提供了科学决策依据，切实发挥统计“晴雨表”的作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今年各项工作虽受新冠肺炎疫情影响有所推迟，但我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仍积极组织，加班加点推进各项工作。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YzA2ZGExMzcyMDIyM2QxZDkxMDU1YzZkMDlkOWMifQ=="/>
  </w:docVars>
  <w:rsids>
    <w:rsidRoot w:val="3E3F289E"/>
    <w:rsid w:val="00A449D9"/>
    <w:rsid w:val="0BF24799"/>
    <w:rsid w:val="113530C8"/>
    <w:rsid w:val="152A3A00"/>
    <w:rsid w:val="24217AB8"/>
    <w:rsid w:val="2B28580F"/>
    <w:rsid w:val="2BB53E2C"/>
    <w:rsid w:val="2D7C4869"/>
    <w:rsid w:val="35E20956"/>
    <w:rsid w:val="39C0617C"/>
    <w:rsid w:val="3E3F289E"/>
    <w:rsid w:val="42CE5A7E"/>
    <w:rsid w:val="4C1A12AD"/>
    <w:rsid w:val="520E32D6"/>
    <w:rsid w:val="58EA618F"/>
    <w:rsid w:val="58F526E1"/>
    <w:rsid w:val="6C4038DA"/>
    <w:rsid w:val="6C9627A2"/>
    <w:rsid w:val="6ED93E30"/>
    <w:rsid w:val="770808F4"/>
    <w:rsid w:val="783F4EB3"/>
    <w:rsid w:val="7AC73B3C"/>
    <w:rsid w:val="7CA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293</Characters>
  <Lines>0</Lines>
  <Paragraphs>0</Paragraphs>
  <TotalTime>0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2022-09-02T01:33:00Z</dcterms:created>
  <dc:creator>WPS_1528160668</dc:creator>
  <cp:lastModifiedBy>Admin</cp:lastModifiedBy>
  <dcterms:modified xsi:type="dcterms:W3CDTF">2022-11-18T02:17:44Z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1545AC36F9ED43A7A30458B633E40ABB</vt:lpwstr>
  </property>
</Properties>
</file>