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jc w:val="left"/>
        <w:rPr>
          <w:sz w:val="24"/>
        </w:rPr>
      </w:pPr>
      <w:r>
        <w:rPr>
          <w:rFonts w:hint="eastAsia" w:ascii="仿宋_GB2312" w:hAnsi="仿宋_GB2312" w:eastAsia="仿宋_GB2312" w:cs="仿宋_GB2312"/>
          <w:sz w:val="24"/>
        </w:rPr>
        <w:t>附件1-1</w:t>
      </w:r>
    </w:p>
    <w:p>
      <w:pPr>
        <w:spacing w:line="500" w:lineRule="exact"/>
        <w:jc w:val="center"/>
        <w:rPr>
          <w:rFonts w:eastAsia="方正粗宋简体"/>
          <w:w w:val="85"/>
          <w:sz w:val="36"/>
          <w:szCs w:val="36"/>
        </w:rPr>
      </w:pPr>
      <w:r>
        <w:rPr>
          <w:rFonts w:eastAsia="方正粗宋简体"/>
          <w:w w:val="85"/>
          <w:sz w:val="36"/>
          <w:szCs w:val="36"/>
        </w:rPr>
        <w:t>202</w:t>
      </w:r>
      <w:r>
        <w:rPr>
          <w:rFonts w:hint="eastAsia" w:eastAsia="方正粗宋简体"/>
          <w:w w:val="85"/>
          <w:sz w:val="36"/>
          <w:szCs w:val="36"/>
        </w:rPr>
        <w:t>1</w:t>
      </w:r>
      <w:r>
        <w:rPr>
          <w:rFonts w:hAnsi="方正粗宋简体" w:eastAsia="方正粗宋简体"/>
          <w:w w:val="85"/>
          <w:sz w:val="36"/>
          <w:szCs w:val="36"/>
        </w:rPr>
        <w:t>年度新晃县</w:t>
      </w:r>
      <w:r>
        <w:rPr>
          <w:rFonts w:hint="eastAsia" w:hAnsi="方正粗宋简体" w:eastAsia="方正粗宋简体"/>
          <w:w w:val="85"/>
          <w:sz w:val="36"/>
          <w:szCs w:val="36"/>
        </w:rPr>
        <w:t>统计局</w:t>
      </w:r>
      <w:r>
        <w:rPr>
          <w:rFonts w:hAnsi="方正粗宋简体" w:eastAsia="方正粗宋简体"/>
          <w:w w:val="85"/>
          <w:sz w:val="36"/>
          <w:szCs w:val="36"/>
        </w:rPr>
        <w:t>部门（单位）整体支出绩效</w:t>
      </w:r>
      <w:r>
        <w:rPr>
          <w:rFonts w:hint="eastAsia" w:hAnsi="方正粗宋简体" w:eastAsia="方正粗宋简体"/>
          <w:w w:val="85"/>
          <w:sz w:val="36"/>
          <w:szCs w:val="36"/>
        </w:rPr>
        <w:t>自评表</w:t>
      </w:r>
    </w:p>
    <w:tbl>
      <w:tblPr>
        <w:tblStyle w:val="5"/>
        <w:tblW w:w="14417"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79"/>
        <w:gridCol w:w="1179"/>
        <w:gridCol w:w="1226"/>
        <w:gridCol w:w="701"/>
        <w:gridCol w:w="4750"/>
        <w:gridCol w:w="3123"/>
        <w:gridCol w:w="1614"/>
        <w:gridCol w:w="7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8" w:hRule="atLeast"/>
          <w:tblHeader/>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一级指标</w:t>
            </w:r>
          </w:p>
        </w:tc>
        <w:tc>
          <w:tcPr>
            <w:tcW w:w="1179"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二级指标</w:t>
            </w:r>
          </w:p>
        </w:tc>
        <w:tc>
          <w:tcPr>
            <w:tcW w:w="1226"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三级指标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分值</w:t>
            </w:r>
          </w:p>
        </w:tc>
        <w:tc>
          <w:tcPr>
            <w:tcW w:w="4750"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指标内容</w:t>
            </w:r>
          </w:p>
        </w:tc>
        <w:tc>
          <w:tcPr>
            <w:tcW w:w="3123"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指标评价标</w:t>
            </w:r>
            <w:r>
              <w:rPr>
                <w:rFonts w:hint="eastAsia" w:eastAsia="楷体_GB2312"/>
              </w:rPr>
              <w:t>准</w:t>
            </w:r>
            <w:r>
              <w:rPr>
                <w:rFonts w:eastAsia="楷体_GB2312"/>
              </w:rPr>
              <w:t>及对应分值</w:t>
            </w:r>
          </w:p>
        </w:tc>
        <w:tc>
          <w:tcPr>
            <w:tcW w:w="1614"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指标实际完成情况及依据</w:t>
            </w:r>
          </w:p>
        </w:tc>
        <w:tc>
          <w:tcPr>
            <w:tcW w:w="745"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投入</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14</w:t>
            </w:r>
            <w:r>
              <w:rPr>
                <w:rFonts w:eastAsia="楷体_GB2312"/>
                <w:sz w:val="18"/>
                <w:szCs w:val="18"/>
              </w:rPr>
              <w:t>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预算编制(共</w:t>
            </w:r>
            <w:r>
              <w:rPr>
                <w:rFonts w:hint="eastAsia" w:eastAsia="楷体_GB2312"/>
                <w:sz w:val="18"/>
                <w:szCs w:val="18"/>
              </w:rPr>
              <w:t>5</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整体绩效</w:t>
            </w:r>
          </w:p>
          <w:p>
            <w:pPr>
              <w:spacing w:line="300" w:lineRule="exact"/>
              <w:jc w:val="center"/>
              <w:rPr>
                <w:rFonts w:eastAsia="楷体_GB2312"/>
                <w:sz w:val="18"/>
                <w:szCs w:val="18"/>
              </w:rPr>
            </w:pPr>
            <w:r>
              <w:rPr>
                <w:rFonts w:eastAsia="楷体_GB2312"/>
                <w:sz w:val="18"/>
                <w:szCs w:val="18"/>
              </w:rPr>
              <w:t>目标设定</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部门（含所属二级预算单位，下同）或单位是否制定了年度预算整体绩效目标；整体绩效目标制定依据是否充分，是否与部门履职、年度工作任务相符；整体绩效目标是否清晰、细化、可衡量。</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设有整体绩效目标</w:t>
            </w:r>
            <w:r>
              <w:rPr>
                <w:rFonts w:hint="eastAsia" w:eastAsia="楷体_GB2312"/>
                <w:sz w:val="18"/>
                <w:szCs w:val="18"/>
              </w:rPr>
              <w:t>1</w:t>
            </w:r>
            <w:r>
              <w:rPr>
                <w:rFonts w:eastAsia="楷体_GB2312"/>
                <w:sz w:val="18"/>
                <w:szCs w:val="18"/>
              </w:rPr>
              <w:t>分；目标设定依据充分符合客观实际</w:t>
            </w:r>
            <w:r>
              <w:rPr>
                <w:rFonts w:hint="eastAsia" w:eastAsia="楷体_GB2312"/>
                <w:sz w:val="18"/>
                <w:szCs w:val="18"/>
              </w:rPr>
              <w:t>0.5</w:t>
            </w:r>
            <w:r>
              <w:rPr>
                <w:rFonts w:eastAsia="楷体_GB2312"/>
                <w:sz w:val="18"/>
                <w:szCs w:val="18"/>
              </w:rPr>
              <w:t>分；目标清晰、细化</w:t>
            </w:r>
            <w:r>
              <w:rPr>
                <w:rFonts w:hint="eastAsia" w:eastAsia="楷体_GB2312"/>
                <w:sz w:val="18"/>
                <w:szCs w:val="18"/>
              </w:rPr>
              <w:t>0.5</w:t>
            </w:r>
            <w:r>
              <w:rPr>
                <w:rFonts w:eastAsia="楷体_GB2312"/>
                <w:sz w:val="18"/>
                <w:szCs w:val="18"/>
              </w:rPr>
              <w:t>分；目标可衡量</w:t>
            </w:r>
            <w:r>
              <w:rPr>
                <w:rFonts w:hint="eastAsia" w:eastAsia="楷体_GB2312"/>
                <w:sz w:val="18"/>
                <w:szCs w:val="18"/>
              </w:rPr>
              <w:t>0.5</w:t>
            </w:r>
            <w:r>
              <w:rPr>
                <w:rFonts w:eastAsia="楷体_GB2312"/>
                <w:sz w:val="18"/>
                <w:szCs w:val="18"/>
              </w:rPr>
              <w:t>分。</w:t>
            </w:r>
          </w:p>
        </w:tc>
        <w:tc>
          <w:tcPr>
            <w:tcW w:w="1614" w:type="dxa"/>
            <w:tcMar>
              <w:top w:w="0" w:type="dxa"/>
              <w:left w:w="105" w:type="dxa"/>
              <w:bottom w:w="0" w:type="dxa"/>
              <w:right w:w="105" w:type="dxa"/>
            </w:tcMar>
            <w:vAlign w:val="center"/>
          </w:tcPr>
          <w:p>
            <w:pPr>
              <w:jc w:val="center"/>
              <w:rPr>
                <w:rFonts w:eastAsia="楷体_GB2312"/>
                <w:sz w:val="18"/>
                <w:szCs w:val="18"/>
              </w:rPr>
            </w:pPr>
            <w:r>
              <w:rPr>
                <w:rFonts w:eastAsia="楷体_GB2312"/>
                <w:sz w:val="18"/>
                <w:szCs w:val="18"/>
              </w:rPr>
              <w:t>设有整体绩效目标；目标设定依据充分符合客观实际；目标清晰、细化；目标可衡量</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项目绩效</w:t>
            </w:r>
          </w:p>
          <w:p>
            <w:pPr>
              <w:spacing w:line="300" w:lineRule="exact"/>
              <w:jc w:val="center"/>
              <w:rPr>
                <w:rFonts w:eastAsia="楷体_GB2312"/>
                <w:sz w:val="18"/>
                <w:szCs w:val="18"/>
              </w:rPr>
            </w:pPr>
            <w:r>
              <w:rPr>
                <w:rFonts w:eastAsia="楷体_GB2312"/>
                <w:sz w:val="18"/>
                <w:szCs w:val="18"/>
              </w:rPr>
              <w:t>目标设定</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r>
              <w:rPr>
                <w:rFonts w:eastAsia="楷体_GB2312"/>
                <w:sz w:val="18"/>
                <w:szCs w:val="18"/>
              </w:rPr>
              <w:t>5</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是否科学、合理设立了项目绩效目标；目标明确；目标细化；目标量化。</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项目均设有绩效目标</w:t>
            </w:r>
            <w:r>
              <w:rPr>
                <w:rFonts w:hint="eastAsia" w:eastAsia="楷体_GB2312"/>
                <w:sz w:val="18"/>
                <w:szCs w:val="18"/>
              </w:rPr>
              <w:t>0.5</w:t>
            </w:r>
            <w:r>
              <w:rPr>
                <w:rFonts w:eastAsia="楷体_GB2312"/>
                <w:sz w:val="18"/>
                <w:szCs w:val="18"/>
              </w:rPr>
              <w:t>分；目标科学合理</w:t>
            </w:r>
            <w:r>
              <w:rPr>
                <w:rFonts w:hint="eastAsia" w:eastAsia="楷体_GB2312"/>
                <w:sz w:val="18"/>
                <w:szCs w:val="18"/>
              </w:rPr>
              <w:t>0.5</w:t>
            </w:r>
            <w:r>
              <w:rPr>
                <w:rFonts w:eastAsia="楷体_GB2312"/>
                <w:sz w:val="18"/>
                <w:szCs w:val="18"/>
              </w:rPr>
              <w:t>分；目标明确</w:t>
            </w:r>
            <w:r>
              <w:rPr>
                <w:rFonts w:hint="eastAsia" w:eastAsia="楷体_GB2312"/>
                <w:sz w:val="18"/>
                <w:szCs w:val="18"/>
              </w:rPr>
              <w:t>0.5</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目标细化</w:t>
            </w:r>
            <w:r>
              <w:rPr>
                <w:rFonts w:hint="eastAsia" w:eastAsia="楷体_GB2312"/>
                <w:sz w:val="18"/>
                <w:szCs w:val="18"/>
              </w:rPr>
              <w:t>0.5</w:t>
            </w:r>
            <w:r>
              <w:rPr>
                <w:rFonts w:eastAsia="楷体_GB2312"/>
                <w:sz w:val="18"/>
                <w:szCs w:val="18"/>
              </w:rPr>
              <w:t>分；目标量化</w:t>
            </w:r>
            <w:r>
              <w:rPr>
                <w:rFonts w:hint="eastAsia" w:eastAsia="楷体_GB2312"/>
                <w:sz w:val="18"/>
                <w:szCs w:val="18"/>
              </w:rPr>
              <w:t>0.5</w:t>
            </w:r>
            <w:r>
              <w:rPr>
                <w:rFonts w:eastAsia="楷体_GB2312"/>
                <w:sz w:val="18"/>
                <w:szCs w:val="18"/>
              </w:rPr>
              <w:t>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科学合理，目标明确细化</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27"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预算配置(共</w:t>
            </w:r>
            <w:r>
              <w:rPr>
                <w:rFonts w:hint="eastAsia" w:eastAsia="楷体_GB2312"/>
                <w:sz w:val="18"/>
                <w:szCs w:val="18"/>
              </w:rPr>
              <w:t>9</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在职人员</w:t>
            </w:r>
          </w:p>
          <w:p>
            <w:pPr>
              <w:spacing w:line="300" w:lineRule="exact"/>
              <w:jc w:val="center"/>
              <w:rPr>
                <w:rFonts w:eastAsia="楷体_GB2312"/>
                <w:sz w:val="18"/>
                <w:szCs w:val="18"/>
              </w:rPr>
            </w:pPr>
            <w:r>
              <w:rPr>
                <w:rFonts w:eastAsia="楷体_GB2312"/>
                <w:sz w:val="18"/>
                <w:szCs w:val="18"/>
              </w:rPr>
              <w:t>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在职人员控制率=[在职人员数/编制数]×100%</w:t>
            </w:r>
          </w:p>
          <w:p>
            <w:pPr>
              <w:spacing w:line="300" w:lineRule="exact"/>
              <w:jc w:val="left"/>
              <w:rPr>
                <w:rFonts w:eastAsia="楷体_GB2312"/>
                <w:sz w:val="18"/>
                <w:szCs w:val="18"/>
              </w:rPr>
            </w:pPr>
            <w:r>
              <w:rPr>
                <w:rFonts w:eastAsia="楷体_GB2312"/>
                <w:sz w:val="18"/>
                <w:szCs w:val="18"/>
              </w:rPr>
              <w:t>在职人员数：部门实际在职人数，以财政确定的部门决算编制口径为准，结合工资发放表上的年平均人数。</w:t>
            </w:r>
          </w:p>
          <w:p>
            <w:pPr>
              <w:spacing w:line="300" w:lineRule="exact"/>
              <w:jc w:val="left"/>
              <w:rPr>
                <w:rFonts w:eastAsia="楷体_GB2312"/>
                <w:sz w:val="18"/>
                <w:szCs w:val="18"/>
              </w:rPr>
            </w:pPr>
            <w:r>
              <w:rPr>
                <w:rFonts w:eastAsia="楷体_GB2312"/>
                <w:sz w:val="18"/>
                <w:szCs w:val="18"/>
              </w:rPr>
              <w:t>编制数：机构编制部门核定批复的部门的人员编制数(含临时人员)。</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20人/23人*100%=86.96%</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0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三公经费</w:t>
            </w:r>
          </w:p>
          <w:p>
            <w:pPr>
              <w:spacing w:line="300" w:lineRule="exact"/>
              <w:jc w:val="center"/>
              <w:rPr>
                <w:rFonts w:eastAsia="楷体_GB2312"/>
                <w:sz w:val="18"/>
                <w:szCs w:val="18"/>
              </w:rPr>
            </w:pPr>
            <w:r>
              <w:rPr>
                <w:rFonts w:eastAsia="楷体_GB2312"/>
                <w:sz w:val="18"/>
                <w:szCs w:val="18"/>
              </w:rPr>
              <w:t>变动率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“三公经费”变动率=[本年度“三公经费”预算总额/上年度“三公经费”预算总额] ×100%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结果≤100%，得3分；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5.8/5.8=100%</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728"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重点项目预算保障率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重点项目预算保障率=（重点项目预算/项目总预算）×100%。</w:t>
            </w:r>
          </w:p>
          <w:p>
            <w:pPr>
              <w:spacing w:line="300" w:lineRule="exact"/>
              <w:jc w:val="left"/>
              <w:rPr>
                <w:rFonts w:eastAsia="楷体_GB2312"/>
                <w:sz w:val="18"/>
                <w:szCs w:val="18"/>
              </w:rPr>
            </w:pPr>
            <w:r>
              <w:rPr>
                <w:rFonts w:eastAsia="楷体_GB2312"/>
                <w:sz w:val="18"/>
                <w:szCs w:val="18"/>
              </w:rPr>
              <w:t>重点项目预算：部门年度预算安排的，与本部门履职和发展密切相关、具有明显社会和经济影响、党委政府关心或社会比较关注的，列入政府重点项目的预算总额。</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结果≥80%，得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80%＞结果≥60%，得2分；</w:t>
            </w:r>
          </w:p>
          <w:p>
            <w:pPr>
              <w:spacing w:line="300" w:lineRule="exact"/>
              <w:jc w:val="left"/>
              <w:rPr>
                <w:rFonts w:eastAsia="楷体_GB2312"/>
                <w:sz w:val="18"/>
                <w:szCs w:val="18"/>
              </w:rPr>
            </w:pPr>
            <w:r>
              <w:rPr>
                <w:rFonts w:eastAsia="楷体_GB2312"/>
                <w:sz w:val="18"/>
                <w:szCs w:val="18"/>
              </w:rPr>
              <w:t>结果＜60%，得0分。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无</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9"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过程</w:t>
            </w:r>
          </w:p>
          <w:p>
            <w:pPr>
              <w:spacing w:before="100" w:beforeAutospacing="1" w:after="100" w:afterAutospacing="1"/>
              <w:jc w:val="center"/>
              <w:rPr>
                <w:rFonts w:eastAsia="楷体_GB2312"/>
                <w:sz w:val="18"/>
                <w:szCs w:val="18"/>
              </w:rPr>
            </w:pPr>
            <w:r>
              <w:rPr>
                <w:rFonts w:eastAsia="楷体_GB2312"/>
                <w:sz w:val="18"/>
                <w:szCs w:val="18"/>
              </w:rPr>
              <w:t>(共</w:t>
            </w:r>
            <w:r>
              <w:rPr>
                <w:rFonts w:hint="eastAsia" w:eastAsia="楷体_GB2312"/>
                <w:sz w:val="18"/>
                <w:szCs w:val="18"/>
              </w:rPr>
              <w:t>26</w:t>
            </w:r>
            <w:r>
              <w:rPr>
                <w:rFonts w:eastAsia="楷体_GB2312"/>
                <w:sz w:val="18"/>
                <w:szCs w:val="18"/>
              </w:rPr>
              <w:t>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预算执行（1</w:t>
            </w:r>
            <w:r>
              <w:rPr>
                <w:rFonts w:hint="eastAsia" w:eastAsia="楷体_GB2312"/>
                <w:sz w:val="18"/>
                <w:szCs w:val="18"/>
              </w:rPr>
              <w:t>2</w:t>
            </w:r>
            <w:r>
              <w:rPr>
                <w:rFonts w:eastAsia="楷体_GB2312"/>
                <w:sz w:val="18"/>
                <w:szCs w:val="18"/>
              </w:rPr>
              <w:t>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项目预算执行率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项目预算执行率=[项目预算执行数/项目预算]×100%。</w:t>
            </w:r>
          </w:p>
          <w:p>
            <w:pPr>
              <w:spacing w:line="300" w:lineRule="exact"/>
              <w:jc w:val="left"/>
              <w:rPr>
                <w:rFonts w:eastAsia="楷体_GB2312"/>
                <w:sz w:val="18"/>
                <w:szCs w:val="18"/>
              </w:rPr>
            </w:pPr>
            <w:r>
              <w:rPr>
                <w:rFonts w:eastAsia="楷体_GB2312"/>
                <w:sz w:val="18"/>
                <w:szCs w:val="18"/>
              </w:rPr>
              <w:t>项目预算执行数：部门本年度实际执行的项目预算。</w:t>
            </w:r>
          </w:p>
          <w:p>
            <w:pPr>
              <w:spacing w:line="300" w:lineRule="exact"/>
              <w:jc w:val="left"/>
              <w:rPr>
                <w:rFonts w:eastAsia="楷体_GB2312"/>
                <w:sz w:val="18"/>
                <w:szCs w:val="18"/>
              </w:rPr>
            </w:pPr>
            <w:r>
              <w:rPr>
                <w:rFonts w:eastAsia="楷体_GB2312"/>
                <w:sz w:val="18"/>
                <w:szCs w:val="18"/>
              </w:rPr>
              <w:t>项目预算数：财政部门批复的本年度部门项目预算。</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95%≤结果≤100%，得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90%≤结果＜95%，得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80%≤结果＜90%，得1分；</w:t>
            </w:r>
          </w:p>
          <w:p>
            <w:pPr>
              <w:spacing w:line="300" w:lineRule="exact"/>
              <w:jc w:val="left"/>
              <w:rPr>
                <w:rFonts w:eastAsia="楷体_GB2312"/>
                <w:spacing w:val="-20"/>
                <w:sz w:val="18"/>
                <w:szCs w:val="18"/>
              </w:rPr>
            </w:pPr>
            <w:r>
              <w:rPr>
                <w:rFonts w:eastAsia="楷体_GB2312"/>
                <w:sz w:val="18"/>
                <w:szCs w:val="18"/>
              </w:rPr>
              <w:t>结果＜80%，得0分。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60/60=100%</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9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预算</w:t>
            </w:r>
          </w:p>
          <w:p>
            <w:pPr>
              <w:spacing w:line="300" w:lineRule="exact"/>
              <w:jc w:val="center"/>
              <w:rPr>
                <w:rFonts w:eastAsia="楷体_GB2312"/>
                <w:sz w:val="18"/>
                <w:szCs w:val="18"/>
              </w:rPr>
            </w:pPr>
            <w:r>
              <w:rPr>
                <w:rFonts w:eastAsia="楷体_GB2312"/>
                <w:sz w:val="18"/>
                <w:szCs w:val="18"/>
              </w:rPr>
              <w:t>调整率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预算调整率=[预算调整数/预算数]×100%</w:t>
            </w:r>
          </w:p>
          <w:p>
            <w:pPr>
              <w:spacing w:line="300" w:lineRule="exact"/>
              <w:jc w:val="left"/>
              <w:rPr>
                <w:rFonts w:eastAsia="楷体_GB2312"/>
                <w:sz w:val="18"/>
                <w:szCs w:val="18"/>
              </w:rPr>
            </w:pPr>
            <w:r>
              <w:rPr>
                <w:rFonts w:eastAsia="楷体_GB2312"/>
                <w:sz w:val="18"/>
                <w:szCs w:val="18"/>
              </w:rPr>
              <w:t>预算调整数：部门在本年度内涉及预算的追加、追减或结构调整的资金总和（因落实国家政策、发生不可抗力、上级部门或党委政府临时交办而产生的调整除外）。</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结果≤5%，得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5%＜结果≤10%，得1分；</w:t>
            </w:r>
          </w:p>
          <w:p>
            <w:pPr>
              <w:spacing w:line="300" w:lineRule="exact"/>
              <w:jc w:val="left"/>
              <w:rPr>
                <w:rFonts w:eastAsia="楷体_GB2312"/>
                <w:sz w:val="18"/>
                <w:szCs w:val="18"/>
              </w:rPr>
            </w:pPr>
            <w:r>
              <w:rPr>
                <w:rFonts w:eastAsia="楷体_GB2312"/>
                <w:sz w:val="18"/>
                <w:szCs w:val="18"/>
              </w:rPr>
              <w:t>结果＞10%，得0分。</w:t>
            </w:r>
          </w:p>
        </w:tc>
        <w:tc>
          <w:tcPr>
            <w:tcW w:w="1614" w:type="dxa"/>
            <w:tcMar>
              <w:top w:w="0" w:type="dxa"/>
              <w:left w:w="105" w:type="dxa"/>
              <w:bottom w:w="0" w:type="dxa"/>
              <w:right w:w="105" w:type="dxa"/>
            </w:tcMar>
            <w:vAlign w:val="center"/>
          </w:tcPr>
          <w:p>
            <w:pPr>
              <w:ind w:right="238" w:rightChars="119"/>
              <w:jc w:val="center"/>
              <w:rPr>
                <w:rFonts w:eastAsia="楷体_GB2312"/>
                <w:sz w:val="18"/>
                <w:szCs w:val="18"/>
              </w:rPr>
            </w:pPr>
            <w:r>
              <w:rPr>
                <w:rFonts w:hint="eastAsia" w:eastAsia="楷体_GB2312"/>
                <w:sz w:val="18"/>
                <w:szCs w:val="18"/>
              </w:rPr>
              <w:t>5.92/458.8*100%=1.29%</w:t>
            </w:r>
            <w:r>
              <w:rPr>
                <w:rFonts w:eastAsia="楷体_GB2312"/>
                <w:sz w:val="18"/>
                <w:szCs w:val="18"/>
              </w:rPr>
              <w:t>≤5%</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4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公用经费控制率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公用经费控制率=[公用经费实际支出总额/公用经费预算安排总额]×100%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3</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193.23/275.94*100%=70.02%</w:t>
            </w:r>
            <w:r>
              <w:rPr>
                <w:rFonts w:eastAsia="楷体_GB2312"/>
                <w:sz w:val="18"/>
                <w:szCs w:val="18"/>
              </w:rPr>
              <w:t>≤100%</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pacing w:val="-20"/>
                <w:sz w:val="18"/>
                <w:szCs w:val="18"/>
              </w:rPr>
            </w:pPr>
            <w:r>
              <w:rPr>
                <w:rFonts w:eastAsia="楷体_GB2312"/>
                <w:spacing w:val="-20"/>
                <w:sz w:val="18"/>
                <w:szCs w:val="18"/>
              </w:rPr>
              <w:t>“</w:t>
            </w:r>
            <w:r>
              <w:rPr>
                <w:rFonts w:eastAsia="楷体_GB2312"/>
                <w:sz w:val="18"/>
                <w:szCs w:val="18"/>
              </w:rPr>
              <w:t>三公经费”控制率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“三公经费”控制率=[“三公经费”实际支出总额/“三公经费”预算安排总额]×100%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结果≤100%，得</w:t>
            </w:r>
            <w:r>
              <w:rPr>
                <w:rFonts w:hint="eastAsia" w:eastAsia="楷体_GB2312"/>
                <w:sz w:val="18"/>
                <w:szCs w:val="18"/>
              </w:rPr>
              <w:t>2</w:t>
            </w:r>
            <w:r>
              <w:rPr>
                <w:rFonts w:eastAsia="楷体_GB2312"/>
                <w:sz w:val="18"/>
                <w:szCs w:val="18"/>
              </w:rPr>
              <w:t>分；</w:t>
            </w:r>
          </w:p>
          <w:p>
            <w:pPr>
              <w:spacing w:line="300" w:lineRule="exact"/>
              <w:jc w:val="left"/>
              <w:rPr>
                <w:rFonts w:eastAsia="楷体_GB2312"/>
                <w:sz w:val="18"/>
                <w:szCs w:val="18"/>
              </w:rPr>
            </w:pPr>
            <w:r>
              <w:rPr>
                <w:rFonts w:eastAsia="楷体_GB2312"/>
                <w:sz w:val="18"/>
                <w:szCs w:val="18"/>
              </w:rPr>
              <w:t>结果＞100%，得0分。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0.8万元/5.8万元*100%=13.8%</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3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政府采购</w:t>
            </w:r>
          </w:p>
          <w:p>
            <w:pPr>
              <w:spacing w:line="300" w:lineRule="exact"/>
              <w:jc w:val="center"/>
              <w:rPr>
                <w:rFonts w:eastAsia="楷体_GB2312"/>
                <w:sz w:val="18"/>
                <w:szCs w:val="18"/>
              </w:rPr>
            </w:pPr>
            <w:r>
              <w:rPr>
                <w:rFonts w:eastAsia="楷体_GB2312"/>
                <w:sz w:val="18"/>
                <w:szCs w:val="18"/>
              </w:rPr>
              <w:t>完成率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政府采购完成率=（政府采购完成项目数/政府采购预算项目数）×100%；</w:t>
            </w:r>
          </w:p>
          <w:p>
            <w:pPr>
              <w:spacing w:line="300" w:lineRule="exact"/>
              <w:jc w:val="left"/>
              <w:rPr>
                <w:rFonts w:eastAsia="楷体_GB2312"/>
                <w:sz w:val="18"/>
                <w:szCs w:val="18"/>
              </w:rPr>
            </w:pPr>
            <w:r>
              <w:rPr>
                <w:rFonts w:eastAsia="楷体_GB2312"/>
                <w:sz w:val="18"/>
                <w:szCs w:val="18"/>
              </w:rPr>
              <w:t>政府采购预算项目：采购机关根据事业发展计划和行政任务编制的、并经过规定程序批准的年度政府采购计划项目。</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完成率</w:t>
            </w:r>
            <w:r>
              <w:rPr>
                <w:rFonts w:hint="eastAsia" w:ascii="宋体" w:hAnsi="宋体" w:cs="宋体"/>
                <w:sz w:val="18"/>
                <w:szCs w:val="18"/>
              </w:rPr>
              <w:t>≧</w:t>
            </w:r>
            <w:r>
              <w:rPr>
                <w:rFonts w:hint="eastAsia" w:eastAsia="楷体_GB2312"/>
                <w:sz w:val="18"/>
                <w:szCs w:val="18"/>
              </w:rPr>
              <w:t>8</w:t>
            </w:r>
            <w:r>
              <w:rPr>
                <w:rFonts w:eastAsia="楷体_GB2312"/>
                <w:sz w:val="18"/>
                <w:szCs w:val="18"/>
              </w:rPr>
              <w:t>0%，得</w:t>
            </w:r>
            <w:r>
              <w:rPr>
                <w:rFonts w:hint="eastAsia" w:eastAsia="楷体_GB2312"/>
                <w:sz w:val="18"/>
                <w:szCs w:val="18"/>
              </w:rPr>
              <w:t>2</w:t>
            </w:r>
            <w:r>
              <w:rPr>
                <w:rFonts w:eastAsia="楷体_GB2312"/>
                <w:sz w:val="18"/>
                <w:szCs w:val="18"/>
              </w:rPr>
              <w:t>分</w:t>
            </w:r>
            <w:r>
              <w:rPr>
                <w:rFonts w:hint="eastAsia" w:eastAsia="楷体_GB2312"/>
                <w:sz w:val="18"/>
                <w:szCs w:val="18"/>
              </w:rPr>
              <w:t>；</w:t>
            </w:r>
          </w:p>
          <w:p>
            <w:pPr>
              <w:spacing w:line="300" w:lineRule="exact"/>
              <w:jc w:val="left"/>
              <w:rPr>
                <w:rFonts w:eastAsia="楷体_GB2312"/>
                <w:sz w:val="18"/>
                <w:szCs w:val="18"/>
              </w:rPr>
            </w:pPr>
            <w:r>
              <w:rPr>
                <w:rFonts w:hint="eastAsia" w:eastAsia="楷体_GB2312"/>
                <w:sz w:val="18"/>
                <w:szCs w:val="18"/>
              </w:rPr>
              <w:t>80%</w:t>
            </w:r>
            <w:r>
              <w:rPr>
                <w:rFonts w:eastAsia="楷体_GB2312"/>
                <w:sz w:val="18"/>
                <w:szCs w:val="18"/>
              </w:rPr>
              <w:t>&gt;完成率</w:t>
            </w:r>
            <w:r>
              <w:rPr>
                <w:rFonts w:hint="eastAsia" w:eastAsia="楷体_GB2312"/>
                <w:sz w:val="18"/>
                <w:szCs w:val="18"/>
              </w:rPr>
              <w:t>≧60%，得1分；</w:t>
            </w:r>
          </w:p>
          <w:p>
            <w:pPr>
              <w:spacing w:line="300" w:lineRule="exact"/>
              <w:jc w:val="left"/>
              <w:rPr>
                <w:rFonts w:eastAsia="楷体_GB2312"/>
                <w:sz w:val="18"/>
                <w:szCs w:val="18"/>
              </w:rPr>
            </w:pPr>
            <w:r>
              <w:rPr>
                <w:rFonts w:eastAsia="楷体_GB2312"/>
                <w:sz w:val="18"/>
                <w:szCs w:val="18"/>
              </w:rPr>
              <w:t>完成率＜</w:t>
            </w:r>
            <w:r>
              <w:rPr>
                <w:rFonts w:hint="eastAsia" w:eastAsia="楷体_GB2312"/>
                <w:sz w:val="18"/>
                <w:szCs w:val="18"/>
              </w:rPr>
              <w:t>6</w:t>
            </w:r>
            <w:r>
              <w:rPr>
                <w:rFonts w:eastAsia="楷体_GB2312"/>
                <w:sz w:val="18"/>
                <w:szCs w:val="18"/>
              </w:rPr>
              <w:t>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51.92/51.92*100%=100%</w:t>
            </w:r>
            <w:r>
              <w:rPr>
                <w:rFonts w:hint="eastAsia" w:ascii="宋体" w:hAnsi="宋体" w:cs="宋体"/>
                <w:sz w:val="18"/>
                <w:szCs w:val="18"/>
              </w:rPr>
              <w:t>≧</w:t>
            </w:r>
            <w:r>
              <w:rPr>
                <w:rFonts w:hint="eastAsia" w:eastAsia="楷体_GB2312"/>
                <w:sz w:val="18"/>
                <w:szCs w:val="18"/>
              </w:rPr>
              <w:t>8</w:t>
            </w:r>
            <w:r>
              <w:rPr>
                <w:rFonts w:eastAsia="楷体_GB2312"/>
                <w:sz w:val="18"/>
                <w:szCs w:val="18"/>
              </w:rPr>
              <w:t>0%</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74"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预算</w:t>
            </w:r>
          </w:p>
          <w:p>
            <w:pPr>
              <w:spacing w:before="100" w:beforeAutospacing="1" w:after="100" w:afterAutospacing="1"/>
              <w:jc w:val="center"/>
              <w:rPr>
                <w:rFonts w:eastAsia="楷体_GB2312"/>
                <w:sz w:val="18"/>
                <w:szCs w:val="18"/>
              </w:rPr>
            </w:pPr>
            <w:r>
              <w:rPr>
                <w:rFonts w:eastAsia="楷体_GB2312"/>
                <w:sz w:val="18"/>
                <w:szCs w:val="18"/>
              </w:rPr>
              <w:t>管理（</w:t>
            </w:r>
            <w:r>
              <w:rPr>
                <w:rFonts w:hint="eastAsia" w:eastAsia="楷体_GB2312"/>
                <w:sz w:val="18"/>
                <w:szCs w:val="18"/>
              </w:rPr>
              <w:t>9</w:t>
            </w:r>
            <w:r>
              <w:rPr>
                <w:rFonts w:eastAsia="楷体_GB2312"/>
                <w:sz w:val="18"/>
                <w:szCs w:val="18"/>
              </w:rPr>
              <w:t>分）</w:t>
            </w:r>
          </w:p>
        </w:tc>
        <w:tc>
          <w:tcPr>
            <w:tcW w:w="1226" w:type="dxa"/>
            <w:tcMar>
              <w:top w:w="0" w:type="dxa"/>
              <w:left w:w="105" w:type="dxa"/>
              <w:bottom w:w="0" w:type="dxa"/>
              <w:right w:w="105" w:type="dxa"/>
            </w:tcMar>
            <w:vAlign w:val="center"/>
          </w:tcPr>
          <w:p>
            <w:pPr>
              <w:spacing w:line="280" w:lineRule="exact"/>
              <w:jc w:val="center"/>
              <w:rPr>
                <w:rFonts w:eastAsia="楷体_GB2312"/>
                <w:sz w:val="18"/>
                <w:szCs w:val="18"/>
              </w:rPr>
            </w:pPr>
            <w:r>
              <w:rPr>
                <w:rFonts w:eastAsia="楷体_GB2312"/>
                <w:sz w:val="18"/>
                <w:szCs w:val="18"/>
              </w:rPr>
              <w:t>资金管理</w:t>
            </w:r>
          </w:p>
          <w:p>
            <w:pPr>
              <w:spacing w:line="280" w:lineRule="exact"/>
              <w:jc w:val="center"/>
              <w:rPr>
                <w:rFonts w:eastAsia="楷体_GB2312"/>
                <w:sz w:val="18"/>
                <w:szCs w:val="18"/>
              </w:rPr>
            </w:pPr>
            <w:r>
              <w:rPr>
                <w:rFonts w:eastAsia="楷体_GB2312"/>
                <w:sz w:val="18"/>
                <w:szCs w:val="18"/>
              </w:rPr>
              <w:t>制度健全性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制定预算资金管理办法、内部财务管理制度、内控制度、会计核算制度等是否完整，是否执行到位。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每发现一项问题，扣1分，扣完为止。</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建立健全各项内部控制制度</w:t>
            </w:r>
          </w:p>
        </w:tc>
        <w:tc>
          <w:tcPr>
            <w:tcW w:w="745" w:type="dxa"/>
            <w:vMerge w:val="restart"/>
            <w:tcMar>
              <w:top w:w="0" w:type="dxa"/>
              <w:left w:w="105" w:type="dxa"/>
              <w:bottom w:w="0" w:type="dxa"/>
              <w:right w:w="105" w:type="dxa"/>
            </w:tcMar>
            <w:vAlign w:val="center"/>
          </w:tcPr>
          <w:p>
            <w:pPr>
              <w:jc w:val="center"/>
              <w:rPr>
                <w:rFonts w:eastAsia="楷体_GB2312"/>
              </w:rPr>
            </w:pPr>
            <w:r>
              <w:rPr>
                <w:rFonts w:hint="eastAsia" w:eastAsia="楷体_GB231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27"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jc w:val="center"/>
              <w:rPr>
                <w:rFonts w:eastAsia="楷体_GB2312"/>
                <w:sz w:val="18"/>
                <w:szCs w:val="18"/>
              </w:rPr>
            </w:pPr>
            <w:r>
              <w:rPr>
                <w:rFonts w:eastAsia="楷体_GB2312"/>
                <w:sz w:val="18"/>
                <w:szCs w:val="18"/>
              </w:rPr>
              <w:t>合规性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3</w:t>
            </w:r>
          </w:p>
        </w:tc>
        <w:tc>
          <w:tcPr>
            <w:tcW w:w="4750" w:type="dxa"/>
            <w:tcMar>
              <w:top w:w="0" w:type="dxa"/>
              <w:left w:w="105" w:type="dxa"/>
              <w:bottom w:w="0" w:type="dxa"/>
              <w:right w:w="105" w:type="dxa"/>
            </w:tcMar>
            <w:vAlign w:val="center"/>
          </w:tcPr>
          <w:p>
            <w:pPr>
              <w:spacing w:line="300" w:lineRule="exact"/>
              <w:jc w:val="left"/>
              <w:rPr>
                <w:rFonts w:eastAsia="楷体_GB2312"/>
                <w:spacing w:val="-20"/>
                <w:sz w:val="18"/>
                <w:szCs w:val="18"/>
              </w:rPr>
            </w:pPr>
            <w:r>
              <w:rPr>
                <w:rFonts w:eastAsia="楷体_GB2312"/>
                <w:sz w:val="18"/>
                <w:szCs w:val="18"/>
              </w:rPr>
              <w:t>部门预算资金使用是否符合相关的预算财务管理制度的规定。如①是否符合国家财经法规和财务管理制度规定，以及有关专项资金管理办法的规定；②资金的拨付是否有完整的审批程序和手续；③项目的重大开支是否经过评估论证；④是否存在截留、挤占、挪用、虚列支出等情况。</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合规率100%得</w:t>
            </w:r>
            <w:r>
              <w:rPr>
                <w:rFonts w:hint="eastAsia" w:eastAsia="楷体_GB2312"/>
                <w:sz w:val="18"/>
                <w:szCs w:val="18"/>
              </w:rPr>
              <w:t>3</w:t>
            </w:r>
            <w:r>
              <w:rPr>
                <w:rFonts w:eastAsia="楷体_GB2312"/>
                <w:sz w:val="18"/>
                <w:szCs w:val="18"/>
              </w:rPr>
              <w:t>分；合规率每下降1%，扣0.5分，扣完为止。</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有制度有流程图有风矩阵，无虚假开支。</w:t>
            </w:r>
          </w:p>
        </w:tc>
        <w:tc>
          <w:tcPr>
            <w:tcW w:w="745" w:type="dxa"/>
            <w:vMerge w:val="continue"/>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5"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资金使用</w:t>
            </w:r>
          </w:p>
          <w:p>
            <w:pPr>
              <w:spacing w:line="300" w:lineRule="exact"/>
              <w:jc w:val="center"/>
              <w:rPr>
                <w:rFonts w:eastAsia="楷体_GB2312"/>
                <w:sz w:val="18"/>
                <w:szCs w:val="18"/>
              </w:rPr>
            </w:pPr>
            <w:r>
              <w:rPr>
                <w:rFonts w:eastAsia="楷体_GB2312"/>
                <w:sz w:val="18"/>
                <w:szCs w:val="18"/>
              </w:rPr>
              <w:t>合理性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部门预算资金使用是否与批准的预算及其预算内容相符合。</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相符率100%得2分；相符率每下降1%，扣0.5分，扣完为止。</w:t>
            </w:r>
          </w:p>
        </w:tc>
        <w:tc>
          <w:tcPr>
            <w:tcW w:w="1614" w:type="dxa"/>
            <w:tcMar>
              <w:top w:w="0" w:type="dxa"/>
              <w:left w:w="105" w:type="dxa"/>
              <w:bottom w:w="0" w:type="dxa"/>
              <w:right w:w="105" w:type="dxa"/>
            </w:tcMar>
            <w:vAlign w:val="center"/>
          </w:tcPr>
          <w:p>
            <w:pPr>
              <w:ind w:firstLine="180" w:firstLineChars="100"/>
              <w:rPr>
                <w:rFonts w:eastAsia="楷体_GB2312"/>
                <w:sz w:val="18"/>
                <w:szCs w:val="18"/>
              </w:rPr>
            </w:pPr>
            <w:r>
              <w:rPr>
                <w:rFonts w:hint="eastAsia" w:eastAsia="楷体_GB2312"/>
                <w:sz w:val="18"/>
                <w:szCs w:val="18"/>
              </w:rPr>
              <w:t>相符合</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9"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整改</w:t>
            </w:r>
          </w:p>
          <w:p>
            <w:pPr>
              <w:spacing w:line="300" w:lineRule="exact"/>
              <w:jc w:val="center"/>
              <w:rPr>
                <w:rFonts w:eastAsia="楷体_GB2312"/>
                <w:sz w:val="18"/>
                <w:szCs w:val="18"/>
              </w:rPr>
            </w:pPr>
            <w:r>
              <w:rPr>
                <w:rFonts w:eastAsia="楷体_GB2312"/>
                <w:sz w:val="18"/>
                <w:szCs w:val="18"/>
              </w:rPr>
              <w:t>落实</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是否对近三年内审计、财政等部门各项检查中、绩效评价发现违法违规问题已经进行有效整改。</w:t>
            </w:r>
          </w:p>
        </w:tc>
        <w:tc>
          <w:tcPr>
            <w:tcW w:w="3123" w:type="dxa"/>
            <w:tcMar>
              <w:top w:w="0" w:type="dxa"/>
              <w:left w:w="105" w:type="dxa"/>
              <w:bottom w:w="0" w:type="dxa"/>
              <w:right w:w="105" w:type="dxa"/>
            </w:tcMar>
            <w:vAlign w:val="center"/>
          </w:tcPr>
          <w:p>
            <w:pPr>
              <w:spacing w:line="300" w:lineRule="exact"/>
              <w:jc w:val="left"/>
              <w:rPr>
                <w:rFonts w:eastAsia="楷体_GB2312"/>
                <w:spacing w:val="-20"/>
                <w:sz w:val="18"/>
                <w:szCs w:val="18"/>
              </w:rPr>
            </w:pPr>
            <w:r>
              <w:rPr>
                <w:rFonts w:eastAsia="楷体_GB2312"/>
                <w:sz w:val="18"/>
                <w:szCs w:val="18"/>
              </w:rPr>
              <w:t>没发现违法违规问题或发现违法违纪行为并积极制定措施全部整改的，得</w:t>
            </w:r>
            <w:r>
              <w:rPr>
                <w:rFonts w:hint="eastAsia" w:eastAsia="楷体_GB2312"/>
                <w:sz w:val="18"/>
                <w:szCs w:val="18"/>
              </w:rPr>
              <w:t>2</w:t>
            </w:r>
            <w:r>
              <w:rPr>
                <w:rFonts w:eastAsia="楷体_GB2312"/>
                <w:sz w:val="18"/>
                <w:szCs w:val="18"/>
              </w:rPr>
              <w:t>分；部分整改的，视整改情况得</w:t>
            </w:r>
            <w:r>
              <w:rPr>
                <w:rFonts w:hint="eastAsia" w:eastAsia="楷体_GB2312"/>
                <w:sz w:val="18"/>
                <w:szCs w:val="18"/>
              </w:rPr>
              <w:t>0.5至1</w:t>
            </w:r>
            <w:r>
              <w:rPr>
                <w:rFonts w:eastAsia="楷体_GB2312"/>
                <w:sz w:val="18"/>
                <w:szCs w:val="18"/>
              </w:rPr>
              <w:t>分；未整改的，得0分。</w:t>
            </w:r>
          </w:p>
        </w:tc>
        <w:tc>
          <w:tcPr>
            <w:tcW w:w="1614" w:type="dxa"/>
            <w:tcMar>
              <w:top w:w="0" w:type="dxa"/>
              <w:left w:w="105" w:type="dxa"/>
              <w:bottom w:w="0" w:type="dxa"/>
              <w:right w:w="105" w:type="dxa"/>
            </w:tcMar>
            <w:vAlign w:val="center"/>
          </w:tcPr>
          <w:p>
            <w:pPr>
              <w:rPr>
                <w:rFonts w:eastAsia="楷体_GB2312"/>
                <w:sz w:val="18"/>
                <w:szCs w:val="18"/>
              </w:rPr>
            </w:pPr>
            <w:r>
              <w:rPr>
                <w:rFonts w:hint="eastAsia" w:eastAsia="楷体_GB2312"/>
                <w:sz w:val="18"/>
                <w:szCs w:val="18"/>
              </w:rPr>
              <w:t>无违规违纪行为</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32"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资产管理（5分）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资产管理制度健全性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1</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部门为加强资产管理、规范资产管理行为而制定的管理制度是否健全完整，是否合法合规，是否执行到位。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每发现一项问题，扣0.5分，扣完为止。</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制度健全，合规，以按规定执行</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6"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资产管理</w:t>
            </w:r>
          </w:p>
          <w:p>
            <w:pPr>
              <w:spacing w:line="300" w:lineRule="exact"/>
              <w:jc w:val="center"/>
              <w:rPr>
                <w:rFonts w:eastAsia="楷体_GB2312"/>
                <w:sz w:val="18"/>
                <w:szCs w:val="18"/>
              </w:rPr>
            </w:pPr>
            <w:r>
              <w:rPr>
                <w:rFonts w:eastAsia="楷体_GB2312"/>
                <w:sz w:val="18"/>
                <w:szCs w:val="18"/>
              </w:rPr>
              <w:t>安全性</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部门的资产是否保存完整、使用合规、配置合理、处置规范、收入及时足额上缴。</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每发现一项问题，扣0.5分，扣完为止。</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符合规定</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固定资产</w:t>
            </w:r>
          </w:p>
          <w:p>
            <w:pPr>
              <w:spacing w:line="300" w:lineRule="exact"/>
              <w:jc w:val="center"/>
              <w:rPr>
                <w:rFonts w:eastAsia="楷体_GB2312"/>
                <w:sz w:val="18"/>
                <w:szCs w:val="18"/>
              </w:rPr>
            </w:pPr>
            <w:r>
              <w:rPr>
                <w:rFonts w:eastAsia="楷体_GB2312"/>
                <w:sz w:val="18"/>
                <w:szCs w:val="18"/>
              </w:rPr>
              <w:t>利用率</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2</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固定资产利用率=（实际在用固定资产总额/所有固定资产总额）×100%</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99%≤结果≤100%，得2分；</w:t>
            </w:r>
          </w:p>
          <w:p>
            <w:pPr>
              <w:spacing w:line="300" w:lineRule="exact"/>
              <w:jc w:val="left"/>
              <w:rPr>
                <w:rFonts w:eastAsia="楷体_GB2312"/>
                <w:sz w:val="18"/>
                <w:szCs w:val="18"/>
              </w:rPr>
            </w:pPr>
            <w:r>
              <w:rPr>
                <w:rFonts w:eastAsia="楷体_GB2312"/>
                <w:sz w:val="18"/>
                <w:szCs w:val="18"/>
              </w:rPr>
              <w:t>90%≤结果＜99%，得1分；</w:t>
            </w:r>
          </w:p>
          <w:p>
            <w:pPr>
              <w:spacing w:line="300" w:lineRule="exact"/>
              <w:jc w:val="left"/>
              <w:rPr>
                <w:rFonts w:eastAsia="楷体_GB2312"/>
                <w:spacing w:val="-20"/>
                <w:sz w:val="18"/>
                <w:szCs w:val="18"/>
              </w:rPr>
            </w:pPr>
            <w:r>
              <w:rPr>
                <w:rFonts w:eastAsia="楷体_GB2312"/>
                <w:sz w:val="18"/>
                <w:szCs w:val="18"/>
              </w:rPr>
              <w:t>结果＜90%，得0分。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194.51/194.51*100%=100%</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094" w:hRule="atLeast"/>
          <w:tblCellSpacing w:w="0" w:type="dxa"/>
          <w:jc w:val="center"/>
        </w:trPr>
        <w:tc>
          <w:tcPr>
            <w:tcW w:w="10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产出与效果(共</w:t>
            </w:r>
            <w:r>
              <w:rPr>
                <w:rFonts w:hint="eastAsia" w:eastAsia="楷体_GB2312"/>
                <w:sz w:val="18"/>
                <w:szCs w:val="18"/>
              </w:rPr>
              <w:t>6</w:t>
            </w:r>
            <w:r>
              <w:rPr>
                <w:rFonts w:eastAsia="楷体_GB2312"/>
                <w:sz w:val="18"/>
                <w:szCs w:val="18"/>
              </w:rPr>
              <w:t>0分)</w:t>
            </w: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p>
          <w:p>
            <w:pPr>
              <w:spacing w:before="100" w:beforeAutospacing="1" w:after="100" w:afterAutospacing="1"/>
              <w:jc w:val="center"/>
              <w:rPr>
                <w:rFonts w:eastAsia="楷体_GB2312"/>
                <w:sz w:val="18"/>
                <w:szCs w:val="18"/>
              </w:rPr>
            </w:pPr>
            <w:r>
              <w:rPr>
                <w:rFonts w:eastAsia="楷体_GB2312"/>
                <w:sz w:val="18"/>
                <w:szCs w:val="18"/>
              </w:rPr>
              <w:t>产出指标（30分）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数量</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对照整体绩效目标评价。未设置整体绩效目标，或整体绩效目标设置不完善的，根据部门年度履行职责主要工作和重点工作计划任务数与实际完成任务数的比率评价得分。</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对照绩效目标，按实际产出数量率计算得分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9"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质量</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对照整体绩效目标评价。未设置整体绩效目标，或整体绩效目标设置不完善的，根据部门年度履行职责主要工作和重点工作，标识具体明确的产出质量。</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对照绩效目标，按实际产出质量计算得分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54"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时效</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对照整体绩效目标评价。未设置整体绩效目标，或整体绩效目标设置不完善的，根据部门年度履行职责主要工作和重点工作，标识具体明确的产出时效。</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对照绩效目标，按实际产出时效计算得分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restart"/>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eastAsia="楷体_GB2312"/>
                <w:sz w:val="18"/>
                <w:szCs w:val="18"/>
              </w:rPr>
              <w:t>效益指标（</w:t>
            </w:r>
            <w:r>
              <w:rPr>
                <w:rFonts w:hint="eastAsia" w:eastAsia="楷体_GB2312"/>
                <w:sz w:val="18"/>
                <w:szCs w:val="18"/>
              </w:rPr>
              <w:t>3</w:t>
            </w:r>
            <w:r>
              <w:rPr>
                <w:rFonts w:eastAsia="楷体_GB2312"/>
                <w:sz w:val="18"/>
                <w:szCs w:val="18"/>
              </w:rPr>
              <w:t>0分）</w:t>
            </w:r>
          </w:p>
        </w:tc>
        <w:tc>
          <w:tcPr>
            <w:tcW w:w="1226" w:type="dxa"/>
            <w:tcMar>
              <w:top w:w="0" w:type="dxa"/>
              <w:left w:w="105" w:type="dxa"/>
              <w:bottom w:w="0" w:type="dxa"/>
              <w:right w:w="105" w:type="dxa"/>
            </w:tcMar>
            <w:vAlign w:val="center"/>
          </w:tcPr>
          <w:p>
            <w:pPr>
              <w:spacing w:line="300" w:lineRule="exact"/>
              <w:jc w:val="center"/>
              <w:rPr>
                <w:rFonts w:eastAsia="楷体_GB2312"/>
                <w:sz w:val="18"/>
                <w:szCs w:val="18"/>
              </w:rPr>
            </w:pPr>
            <w:r>
              <w:rPr>
                <w:rFonts w:eastAsia="楷体_GB2312"/>
                <w:sz w:val="18"/>
                <w:szCs w:val="18"/>
              </w:rPr>
              <w:t>经济</w:t>
            </w:r>
          </w:p>
          <w:p>
            <w:pPr>
              <w:spacing w:line="300" w:lineRule="exact"/>
              <w:jc w:val="center"/>
              <w:rPr>
                <w:rFonts w:eastAsia="楷体_GB2312"/>
                <w:sz w:val="18"/>
                <w:szCs w:val="18"/>
              </w:rPr>
            </w:pPr>
            <w:r>
              <w:rPr>
                <w:rFonts w:eastAsia="楷体_GB2312"/>
                <w:sz w:val="18"/>
                <w:szCs w:val="18"/>
              </w:rPr>
              <w:t>效益</w:t>
            </w:r>
          </w:p>
        </w:tc>
        <w:tc>
          <w:tcPr>
            <w:tcW w:w="701" w:type="dxa"/>
            <w:vMerge w:val="restart"/>
            <w:tcBorders>
              <w:top w:val="single" w:color="auto" w:sz="4" w:space="0"/>
            </w:tcBorders>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20</w:t>
            </w:r>
          </w:p>
        </w:tc>
        <w:tc>
          <w:tcPr>
            <w:tcW w:w="4750" w:type="dxa"/>
            <w:tcBorders>
              <w:top w:val="single" w:color="auto" w:sz="4" w:space="0"/>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对照整体绩效目标评价。未设置整体绩效目标，或整体绩效目标设置不完善的，根据部门年度履行职责主要工作和重点工作，标识所产生的直接或间接的经济效益</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对照绩效目标，按经济效益实现程度计算得分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Borders>
              <w:right w:val="single" w:color="auto" w:sz="4" w:space="0"/>
            </w:tcBorders>
            <w:vAlign w:val="center"/>
          </w:tcPr>
          <w:p>
            <w:pPr>
              <w:spacing w:line="300" w:lineRule="exact"/>
              <w:jc w:val="center"/>
              <w:rPr>
                <w:rFonts w:eastAsia="楷体_GB2312"/>
                <w:sz w:val="18"/>
                <w:szCs w:val="18"/>
              </w:rPr>
            </w:pPr>
            <w:r>
              <w:rPr>
                <w:rFonts w:eastAsia="楷体_GB2312"/>
                <w:sz w:val="18"/>
                <w:szCs w:val="18"/>
              </w:rPr>
              <w:t>社会</w:t>
            </w:r>
          </w:p>
          <w:p>
            <w:pPr>
              <w:spacing w:line="300" w:lineRule="exact"/>
              <w:jc w:val="center"/>
              <w:rPr>
                <w:rFonts w:eastAsia="楷体_GB2312"/>
                <w:sz w:val="18"/>
                <w:szCs w:val="18"/>
              </w:rPr>
            </w:pPr>
            <w:r>
              <w:rPr>
                <w:rFonts w:eastAsia="楷体_GB2312"/>
                <w:sz w:val="18"/>
                <w:szCs w:val="18"/>
              </w:rPr>
              <w:t>效益</w:t>
            </w:r>
          </w:p>
        </w:tc>
        <w:tc>
          <w:tcPr>
            <w:tcW w:w="701" w:type="dxa"/>
            <w:vMerge w:val="continue"/>
            <w:vAlign w:val="center"/>
          </w:tcPr>
          <w:p>
            <w:pPr>
              <w:jc w:val="center"/>
              <w:rPr>
                <w:rFonts w:eastAsia="楷体_GB2312"/>
                <w:sz w:val="18"/>
                <w:szCs w:val="18"/>
              </w:rPr>
            </w:pPr>
          </w:p>
        </w:tc>
        <w:tc>
          <w:tcPr>
            <w:tcW w:w="4750" w:type="dxa"/>
            <w:tcBorders>
              <w:top w:val="single" w:color="auto" w:sz="4" w:space="0"/>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对照整体绩效目标评价。未设置整体绩效目标，或整体绩效目标设置不完善的，根据部门年度履行职责主要工作和重点工作，标识所产生的社会效益</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对照绩效目标，按社会效益实现程度计算得分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230"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vAlign w:val="center"/>
          </w:tcPr>
          <w:p>
            <w:pPr>
              <w:spacing w:line="300" w:lineRule="exact"/>
              <w:jc w:val="center"/>
              <w:rPr>
                <w:rFonts w:eastAsia="楷体_GB2312"/>
                <w:sz w:val="18"/>
                <w:szCs w:val="18"/>
              </w:rPr>
            </w:pPr>
            <w:r>
              <w:rPr>
                <w:rFonts w:eastAsia="楷体_GB2312"/>
                <w:sz w:val="18"/>
                <w:szCs w:val="18"/>
              </w:rPr>
              <w:t>环境</w:t>
            </w:r>
          </w:p>
          <w:p>
            <w:pPr>
              <w:spacing w:line="300" w:lineRule="exact"/>
              <w:jc w:val="center"/>
              <w:rPr>
                <w:rFonts w:eastAsia="楷体_GB2312"/>
                <w:sz w:val="18"/>
                <w:szCs w:val="18"/>
              </w:rPr>
            </w:pPr>
            <w:r>
              <w:rPr>
                <w:rFonts w:eastAsia="楷体_GB2312"/>
                <w:sz w:val="18"/>
                <w:szCs w:val="18"/>
              </w:rPr>
              <w:t>效益</w:t>
            </w:r>
          </w:p>
        </w:tc>
        <w:tc>
          <w:tcPr>
            <w:tcW w:w="701" w:type="dxa"/>
            <w:vMerge w:val="continue"/>
            <w:vAlign w:val="center"/>
          </w:tcPr>
          <w:p>
            <w:pPr>
              <w:jc w:val="center"/>
              <w:rPr>
                <w:rFonts w:eastAsia="楷体_GB2312"/>
                <w:sz w:val="18"/>
                <w:szCs w:val="18"/>
              </w:rPr>
            </w:pPr>
          </w:p>
        </w:tc>
        <w:tc>
          <w:tcPr>
            <w:tcW w:w="4750" w:type="dxa"/>
            <w:tcBorders>
              <w:right w:val="nil"/>
            </w:tcBorders>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w:t>
            </w:r>
          </w:p>
          <w:p>
            <w:pPr>
              <w:spacing w:line="300" w:lineRule="exact"/>
              <w:jc w:val="left"/>
              <w:rPr>
                <w:rFonts w:eastAsia="楷体_GB2312"/>
                <w:sz w:val="18"/>
                <w:szCs w:val="18"/>
              </w:rPr>
            </w:pPr>
            <w:r>
              <w:rPr>
                <w:rFonts w:eastAsia="楷体_GB2312"/>
                <w:sz w:val="18"/>
                <w:szCs w:val="18"/>
              </w:rPr>
              <w:t>置整体绩效目标，或整体绩效目标设置不完善的，根据部门年度履行职责主要工作和重点工作，标识对环境所产生的积极或消极影响</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对照绩效目标，按对环境所产生的实际影响程度计算得分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按目标完成</w:t>
            </w:r>
          </w:p>
        </w:tc>
        <w:tc>
          <w:tcPr>
            <w:tcW w:w="745" w:type="dxa"/>
            <w:tcMar>
              <w:top w:w="0" w:type="dxa"/>
              <w:left w:w="105" w:type="dxa"/>
              <w:bottom w:w="0" w:type="dxa"/>
              <w:right w:w="105" w:type="dxa"/>
            </w:tcMar>
            <w:vAlign w:val="center"/>
          </w:tcPr>
          <w:p>
            <w:pPr>
              <w:jc w:val="center"/>
              <w:rPr>
                <w:rFonts w:eastAsia="楷体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3"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vAlign w:val="center"/>
          </w:tcPr>
          <w:p>
            <w:pPr>
              <w:spacing w:line="300" w:lineRule="exact"/>
              <w:jc w:val="center"/>
              <w:rPr>
                <w:rFonts w:eastAsia="楷体_GB2312"/>
                <w:sz w:val="18"/>
                <w:szCs w:val="18"/>
              </w:rPr>
            </w:pPr>
            <w:r>
              <w:rPr>
                <w:rFonts w:eastAsia="楷体_GB2312"/>
                <w:sz w:val="18"/>
                <w:szCs w:val="18"/>
              </w:rPr>
              <w:t>可持续性</w:t>
            </w:r>
          </w:p>
        </w:tc>
        <w:tc>
          <w:tcPr>
            <w:tcW w:w="701" w:type="dxa"/>
            <w:vMerge w:val="continue"/>
            <w:vAlign w:val="center"/>
          </w:tcPr>
          <w:p>
            <w:pPr>
              <w:jc w:val="center"/>
              <w:rPr>
                <w:rFonts w:eastAsia="楷体_GB2312"/>
                <w:sz w:val="18"/>
                <w:szCs w:val="18"/>
              </w:rPr>
            </w:pP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对照整体绩效目标评价。未设置整体绩效目标，或整体绩效目标设置不完善的，根据部门年度履行职责主要工作和重点工作，标识可持续性</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对照绩效目标，按实际情况计算得分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可持续性</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51" w:hRule="atLeast"/>
          <w:tblCellSpacing w:w="0" w:type="dxa"/>
          <w:jc w:val="center"/>
        </w:trPr>
        <w:tc>
          <w:tcPr>
            <w:tcW w:w="1079" w:type="dxa"/>
            <w:vMerge w:val="continue"/>
            <w:vAlign w:val="center"/>
          </w:tcPr>
          <w:p>
            <w:pPr>
              <w:jc w:val="center"/>
              <w:rPr>
                <w:rFonts w:eastAsia="楷体_GB2312"/>
                <w:sz w:val="18"/>
                <w:szCs w:val="18"/>
              </w:rPr>
            </w:pPr>
          </w:p>
        </w:tc>
        <w:tc>
          <w:tcPr>
            <w:tcW w:w="1179" w:type="dxa"/>
            <w:vMerge w:val="continue"/>
            <w:vAlign w:val="center"/>
          </w:tcPr>
          <w:p>
            <w:pPr>
              <w:jc w:val="center"/>
              <w:rPr>
                <w:rFonts w:eastAsia="楷体_GB2312"/>
                <w:sz w:val="18"/>
                <w:szCs w:val="18"/>
              </w:rPr>
            </w:pPr>
          </w:p>
        </w:tc>
        <w:tc>
          <w:tcPr>
            <w:tcW w:w="1226" w:type="dxa"/>
            <w:tcMar>
              <w:top w:w="0" w:type="dxa"/>
              <w:left w:w="105" w:type="dxa"/>
              <w:bottom w:w="0" w:type="dxa"/>
              <w:right w:w="105" w:type="dxa"/>
            </w:tcMar>
            <w:vAlign w:val="center"/>
          </w:tcPr>
          <w:p>
            <w:pPr>
              <w:spacing w:line="260" w:lineRule="exact"/>
              <w:jc w:val="center"/>
              <w:rPr>
                <w:rFonts w:eastAsia="楷体_GB2312"/>
                <w:sz w:val="18"/>
                <w:szCs w:val="18"/>
              </w:rPr>
            </w:pPr>
            <w:r>
              <w:rPr>
                <w:rFonts w:eastAsia="楷体_GB2312"/>
                <w:sz w:val="18"/>
                <w:szCs w:val="18"/>
              </w:rPr>
              <w:t>社会公众与服务对象满意度</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z w:val="18"/>
                <w:szCs w:val="18"/>
              </w:rPr>
            </w:pPr>
            <w:r>
              <w:rPr>
                <w:rFonts w:hint="eastAsia" w:eastAsia="楷体_GB2312"/>
                <w:sz w:val="18"/>
                <w:szCs w:val="18"/>
              </w:rPr>
              <w:t>10</w:t>
            </w:r>
          </w:p>
        </w:tc>
        <w:tc>
          <w:tcPr>
            <w:tcW w:w="4750" w:type="dxa"/>
            <w:tcMar>
              <w:top w:w="0" w:type="dxa"/>
              <w:left w:w="105" w:type="dxa"/>
              <w:bottom w:w="0" w:type="dxa"/>
              <w:right w:w="105" w:type="dxa"/>
            </w:tcMar>
            <w:vAlign w:val="center"/>
          </w:tcPr>
          <w:p>
            <w:pPr>
              <w:spacing w:line="300" w:lineRule="exact"/>
              <w:jc w:val="left"/>
              <w:rPr>
                <w:rFonts w:eastAsia="楷体_GB2312"/>
                <w:sz w:val="18"/>
                <w:szCs w:val="18"/>
              </w:rPr>
            </w:pPr>
            <w:r>
              <w:rPr>
                <w:rFonts w:eastAsia="楷体_GB2312"/>
                <w:sz w:val="18"/>
                <w:szCs w:val="18"/>
              </w:rPr>
              <w:t>社会公众、服务对象对部门主要工作实施的满意程度</w:t>
            </w:r>
          </w:p>
        </w:tc>
        <w:tc>
          <w:tcPr>
            <w:tcW w:w="3123" w:type="dxa"/>
            <w:tcMar>
              <w:top w:w="0" w:type="dxa"/>
              <w:left w:w="105" w:type="dxa"/>
              <w:bottom w:w="0" w:type="dxa"/>
              <w:right w:w="105" w:type="dxa"/>
            </w:tcMar>
            <w:vAlign w:val="center"/>
          </w:tcPr>
          <w:p>
            <w:pPr>
              <w:spacing w:line="300" w:lineRule="exact"/>
              <w:jc w:val="left"/>
              <w:rPr>
                <w:rFonts w:eastAsia="楷体_GB2312"/>
                <w:sz w:val="18"/>
                <w:szCs w:val="18"/>
              </w:rPr>
            </w:pPr>
            <w:r>
              <w:rPr>
                <w:rFonts w:hint="eastAsia" w:eastAsia="楷体_GB2312"/>
                <w:sz w:val="18"/>
                <w:szCs w:val="18"/>
              </w:rPr>
              <w:t>90%≤满意度≤100%记10分，</w:t>
            </w:r>
          </w:p>
          <w:p>
            <w:pPr>
              <w:spacing w:line="300" w:lineRule="exact"/>
              <w:jc w:val="left"/>
              <w:rPr>
                <w:rFonts w:eastAsia="楷体_GB2312"/>
                <w:sz w:val="18"/>
                <w:szCs w:val="18"/>
              </w:rPr>
            </w:pPr>
            <w:r>
              <w:rPr>
                <w:rFonts w:hint="eastAsia" w:eastAsia="楷体_GB2312"/>
                <w:sz w:val="18"/>
                <w:szCs w:val="18"/>
              </w:rPr>
              <w:t>80%≤满意度&lt;90%记8分，</w:t>
            </w:r>
          </w:p>
          <w:p>
            <w:pPr>
              <w:spacing w:line="300" w:lineRule="exact"/>
              <w:jc w:val="left"/>
              <w:rPr>
                <w:rFonts w:eastAsia="楷体_GB2312"/>
                <w:sz w:val="18"/>
                <w:szCs w:val="18"/>
              </w:rPr>
            </w:pPr>
            <w:r>
              <w:rPr>
                <w:rFonts w:hint="eastAsia" w:eastAsia="楷体_GB2312"/>
                <w:sz w:val="18"/>
                <w:szCs w:val="18"/>
              </w:rPr>
              <w:t>70%≤满意度&lt;80%  记6分，</w:t>
            </w:r>
          </w:p>
          <w:p>
            <w:pPr>
              <w:spacing w:line="300" w:lineRule="exact"/>
              <w:jc w:val="left"/>
              <w:rPr>
                <w:rFonts w:eastAsia="楷体_GB2312"/>
                <w:sz w:val="18"/>
                <w:szCs w:val="18"/>
              </w:rPr>
            </w:pPr>
            <w:r>
              <w:rPr>
                <w:rFonts w:hint="eastAsia" w:eastAsia="楷体_GB2312"/>
                <w:sz w:val="18"/>
                <w:szCs w:val="18"/>
              </w:rPr>
              <w:t>60%≤满意度&lt;70%记4分，</w:t>
            </w:r>
          </w:p>
          <w:p>
            <w:pPr>
              <w:spacing w:line="300" w:lineRule="exact"/>
              <w:jc w:val="left"/>
              <w:rPr>
                <w:rFonts w:eastAsia="楷体_GB2312"/>
                <w:sz w:val="18"/>
                <w:szCs w:val="18"/>
              </w:rPr>
            </w:pPr>
            <w:r>
              <w:rPr>
                <w:rFonts w:hint="eastAsia" w:eastAsia="楷体_GB2312"/>
                <w:sz w:val="18"/>
                <w:szCs w:val="18"/>
              </w:rPr>
              <w:t>满意度&lt;60%记0分。</w:t>
            </w:r>
          </w:p>
        </w:tc>
        <w:tc>
          <w:tcPr>
            <w:tcW w:w="1614" w:type="dxa"/>
            <w:tcMar>
              <w:top w:w="0" w:type="dxa"/>
              <w:left w:w="105" w:type="dxa"/>
              <w:bottom w:w="0" w:type="dxa"/>
              <w:right w:w="105" w:type="dxa"/>
            </w:tcMar>
            <w:vAlign w:val="center"/>
          </w:tcPr>
          <w:p>
            <w:pPr>
              <w:jc w:val="center"/>
              <w:rPr>
                <w:rFonts w:eastAsia="楷体_GB2312"/>
                <w:sz w:val="18"/>
                <w:szCs w:val="18"/>
              </w:rPr>
            </w:pPr>
            <w:r>
              <w:rPr>
                <w:rFonts w:hint="eastAsia" w:eastAsia="楷体_GB2312"/>
                <w:sz w:val="18"/>
                <w:szCs w:val="18"/>
              </w:rPr>
              <w:t>100%满意</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86" w:hRule="atLeast"/>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eastAsia="楷体_GB2312"/>
                <w:sz w:val="22"/>
                <w:szCs w:val="22"/>
              </w:rPr>
            </w:pPr>
            <w:r>
              <w:rPr>
                <w:rFonts w:eastAsia="楷体_GB2312"/>
                <w:sz w:val="22"/>
                <w:szCs w:val="22"/>
              </w:rPr>
              <w:t>合计</w:t>
            </w:r>
          </w:p>
        </w:tc>
        <w:tc>
          <w:tcPr>
            <w:tcW w:w="1179" w:type="dxa"/>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1226" w:type="dxa"/>
            <w:tcMar>
              <w:top w:w="0" w:type="dxa"/>
              <w:left w:w="105" w:type="dxa"/>
              <w:bottom w:w="0" w:type="dxa"/>
              <w:right w:w="105" w:type="dxa"/>
            </w:tcMar>
            <w:vAlign w:val="center"/>
          </w:tcPr>
          <w:p>
            <w:pPr>
              <w:spacing w:before="100" w:beforeAutospacing="1" w:after="100" w:afterAutospacing="1"/>
              <w:rPr>
                <w:rFonts w:eastAsia="楷体_GB2312"/>
                <w:sz w:val="22"/>
                <w:szCs w:val="22"/>
              </w:rPr>
            </w:pPr>
            <w:r>
              <w:rPr>
                <w:rFonts w:eastAsia="楷体_GB2312"/>
                <w:sz w:val="22"/>
                <w:szCs w:val="22"/>
              </w:rPr>
              <w:t>——</w:t>
            </w:r>
          </w:p>
        </w:tc>
        <w:tc>
          <w:tcPr>
            <w:tcW w:w="701" w:type="dxa"/>
            <w:tcMar>
              <w:top w:w="0" w:type="dxa"/>
              <w:left w:w="105" w:type="dxa"/>
              <w:bottom w:w="0" w:type="dxa"/>
              <w:right w:w="105" w:type="dxa"/>
            </w:tcMar>
            <w:vAlign w:val="center"/>
          </w:tcPr>
          <w:p>
            <w:pPr>
              <w:spacing w:before="100" w:beforeAutospacing="1" w:after="100" w:afterAutospacing="1"/>
              <w:jc w:val="center"/>
              <w:rPr>
                <w:rFonts w:eastAsia="楷体_GB2312"/>
                <w:spacing w:val="-20"/>
                <w:sz w:val="22"/>
                <w:szCs w:val="22"/>
              </w:rPr>
            </w:pPr>
            <w:r>
              <w:rPr>
                <w:rFonts w:eastAsia="楷体_GB2312"/>
                <w:spacing w:val="-20"/>
                <w:sz w:val="22"/>
                <w:szCs w:val="22"/>
              </w:rPr>
              <w:t>100</w:t>
            </w:r>
          </w:p>
        </w:tc>
        <w:tc>
          <w:tcPr>
            <w:tcW w:w="4750" w:type="dxa"/>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3123" w:type="dxa"/>
            <w:tcMar>
              <w:top w:w="0" w:type="dxa"/>
              <w:left w:w="105" w:type="dxa"/>
              <w:bottom w:w="0" w:type="dxa"/>
              <w:right w:w="105" w:type="dxa"/>
            </w:tcMar>
            <w:vAlign w:val="center"/>
          </w:tcPr>
          <w:p>
            <w:pPr>
              <w:spacing w:line="300" w:lineRule="exact"/>
              <w:jc w:val="center"/>
              <w:rPr>
                <w:rFonts w:eastAsia="楷体_GB2312"/>
              </w:rPr>
            </w:pPr>
            <w:r>
              <w:rPr>
                <w:rFonts w:eastAsia="楷体_GB2312"/>
              </w:rPr>
              <w:t>——</w:t>
            </w:r>
          </w:p>
        </w:tc>
        <w:tc>
          <w:tcPr>
            <w:tcW w:w="1614" w:type="dxa"/>
            <w:tcMar>
              <w:top w:w="0" w:type="dxa"/>
              <w:left w:w="105" w:type="dxa"/>
              <w:bottom w:w="0" w:type="dxa"/>
              <w:right w:w="105" w:type="dxa"/>
            </w:tcMar>
            <w:vAlign w:val="center"/>
          </w:tcPr>
          <w:p>
            <w:pPr>
              <w:spacing w:before="100" w:beforeAutospacing="1" w:after="100" w:afterAutospacing="1"/>
              <w:jc w:val="center"/>
              <w:rPr>
                <w:rFonts w:eastAsia="楷体_GB2312"/>
              </w:rPr>
            </w:pPr>
            <w:r>
              <w:rPr>
                <w:rFonts w:eastAsia="楷体_GB2312"/>
              </w:rPr>
              <w:t>——</w:t>
            </w:r>
          </w:p>
        </w:tc>
        <w:tc>
          <w:tcPr>
            <w:tcW w:w="745" w:type="dxa"/>
            <w:tcMar>
              <w:top w:w="0" w:type="dxa"/>
              <w:left w:w="105" w:type="dxa"/>
              <w:bottom w:w="0" w:type="dxa"/>
              <w:right w:w="105" w:type="dxa"/>
            </w:tcMar>
            <w:vAlign w:val="center"/>
          </w:tcPr>
          <w:p>
            <w:pPr>
              <w:jc w:val="center"/>
              <w:rPr>
                <w:rFonts w:eastAsia="楷体_GB2312"/>
              </w:rPr>
            </w:pPr>
            <w:r>
              <w:rPr>
                <w:rFonts w:hint="eastAsia" w:eastAsia="楷体_GB2312"/>
              </w:rPr>
              <w:t>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30" w:hRule="atLeast"/>
          <w:tblCellSpacing w:w="0" w:type="dxa"/>
          <w:jc w:val="center"/>
        </w:trPr>
        <w:tc>
          <w:tcPr>
            <w:tcW w:w="1079" w:type="dxa"/>
            <w:tcMar>
              <w:top w:w="0" w:type="dxa"/>
              <w:left w:w="105" w:type="dxa"/>
              <w:bottom w:w="0" w:type="dxa"/>
              <w:right w:w="105" w:type="dxa"/>
            </w:tcMar>
            <w:vAlign w:val="center"/>
          </w:tcPr>
          <w:p>
            <w:pPr>
              <w:spacing w:before="100" w:beforeAutospacing="1" w:after="100" w:afterAutospacing="1"/>
              <w:jc w:val="center"/>
              <w:rPr>
                <w:rFonts w:ascii="楷体_GB2312" w:hAnsi="楷体_GB2312" w:eastAsia="楷体_GB2312" w:cs="楷体_GB2312"/>
                <w:sz w:val="21"/>
                <w:szCs w:val="16"/>
              </w:rPr>
            </w:pPr>
            <w:r>
              <w:rPr>
                <w:rFonts w:hint="eastAsia" w:ascii="楷体_GB2312" w:hAnsi="楷体_GB2312" w:eastAsia="楷体_GB2312" w:cs="楷体_GB2312"/>
                <w:sz w:val="21"/>
                <w:szCs w:val="16"/>
              </w:rPr>
              <w:t>评价</w:t>
            </w:r>
          </w:p>
          <w:p>
            <w:pPr>
              <w:spacing w:before="100" w:beforeAutospacing="1" w:after="100" w:afterAutospacing="1"/>
              <w:jc w:val="center"/>
              <w:rPr>
                <w:rFonts w:ascii="楷体_GB2312" w:hAnsi="楷体_GB2312" w:eastAsia="楷体_GB2312" w:cs="楷体_GB2312"/>
                <w:sz w:val="21"/>
                <w:szCs w:val="16"/>
              </w:rPr>
            </w:pPr>
            <w:r>
              <w:rPr>
                <w:rFonts w:hint="eastAsia" w:ascii="楷体_GB2312" w:hAnsi="楷体_GB2312" w:eastAsia="楷体_GB2312" w:cs="楷体_GB2312"/>
                <w:sz w:val="21"/>
                <w:szCs w:val="16"/>
              </w:rPr>
              <w:t>等级</w:t>
            </w:r>
          </w:p>
        </w:tc>
        <w:tc>
          <w:tcPr>
            <w:tcW w:w="13338" w:type="dxa"/>
            <w:gridSpan w:val="7"/>
            <w:tcMar>
              <w:top w:w="0" w:type="dxa"/>
              <w:left w:w="105" w:type="dxa"/>
              <w:bottom w:w="0" w:type="dxa"/>
              <w:right w:w="105" w:type="dxa"/>
            </w:tcMar>
            <w:vAlign w:val="center"/>
          </w:tcPr>
          <w:p>
            <w:pPr>
              <w:spacing w:line="400" w:lineRule="exact"/>
              <w:ind w:firstLine="210" w:firstLineChars="100"/>
              <w:rPr>
                <w:rFonts w:ascii="楷体_GB2312" w:hAnsi="楷体_GB2312" w:eastAsia="楷体_GB2312" w:cs="楷体_GB2312"/>
                <w:sz w:val="21"/>
                <w:szCs w:val="16"/>
              </w:rPr>
            </w:pPr>
            <w:r>
              <w:rPr>
                <w:rFonts w:hint="eastAsia" w:ascii="楷体_GB2312" w:hAnsi="楷体_GB2312" w:eastAsia="楷体_GB2312" w:cs="楷体_GB2312"/>
                <w:sz w:val="21"/>
                <w:szCs w:val="16"/>
              </w:rPr>
              <w:t xml:space="preserve">□优秀  90分≤得分≤100分；   □良好  </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分≤得分＜90分；   □较差  60分≤得分＜</w:t>
            </w:r>
            <w:r>
              <w:rPr>
                <w:rFonts w:ascii="楷体_GB2312" w:hAnsi="楷体_GB2312" w:eastAsia="楷体_GB2312" w:cs="楷体_GB2312"/>
                <w:sz w:val="21"/>
                <w:szCs w:val="16"/>
              </w:rPr>
              <w:t>80</w:t>
            </w:r>
            <w:r>
              <w:rPr>
                <w:rFonts w:hint="eastAsia" w:ascii="楷体_GB2312" w:hAnsi="楷体_GB2312" w:eastAsia="楷体_GB2312" w:cs="楷体_GB2312"/>
                <w:sz w:val="21"/>
                <w:szCs w:val="16"/>
              </w:rPr>
              <w:t>分；   □差  得分＜60分</w:t>
            </w:r>
          </w:p>
        </w:tc>
      </w:tr>
    </w:tbl>
    <w:p>
      <w:pPr>
        <w:spacing w:line="320" w:lineRule="exact"/>
        <w:ind w:firstLine="6490" w:firstLineChars="2950"/>
        <w:jc w:val="center"/>
        <w:rPr>
          <w:rFonts w:ascii="华文中宋" w:hAnsi="华文中宋" w:eastAsia="华文中宋"/>
          <w:sz w:val="22"/>
          <w:szCs w:val="24"/>
        </w:rPr>
      </w:pPr>
    </w:p>
    <w:p>
      <w:pPr>
        <w:spacing w:line="320" w:lineRule="exact"/>
        <w:ind w:firstLine="6490" w:firstLineChars="2950"/>
        <w:jc w:val="center"/>
        <w:rPr>
          <w:rFonts w:ascii="楷体" w:hAnsi="楷体" w:eastAsia="楷体" w:cs="楷体"/>
          <w:sz w:val="22"/>
          <w:szCs w:val="24"/>
        </w:rPr>
      </w:pPr>
      <w:r>
        <w:rPr>
          <w:rFonts w:hint="eastAsia" w:ascii="楷体" w:hAnsi="楷体" w:eastAsia="楷体" w:cs="楷体"/>
          <w:sz w:val="22"/>
          <w:szCs w:val="24"/>
        </w:rPr>
        <w:t>单位负责人（签字）：</w:t>
      </w:r>
    </w:p>
    <w:p>
      <w:pPr>
        <w:spacing w:line="320" w:lineRule="exact"/>
        <w:ind w:firstLine="6270" w:firstLineChars="2850"/>
        <w:jc w:val="center"/>
        <w:rPr>
          <w:rFonts w:ascii="楷体" w:hAnsi="楷体" w:eastAsia="楷体" w:cs="楷体"/>
          <w:sz w:val="22"/>
          <w:szCs w:val="24"/>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r>
        <w:rPr>
          <w:rFonts w:hint="eastAsia" w:ascii="楷体" w:hAnsi="楷体" w:eastAsia="楷体" w:cs="楷体"/>
          <w:sz w:val="22"/>
          <w:szCs w:val="24"/>
        </w:rPr>
        <w:t>填表日期：2022  年 5  月  25 日</w:t>
      </w:r>
    </w:p>
    <w:p>
      <w:pPr>
        <w:spacing w:line="320" w:lineRule="exact"/>
        <w:ind w:firstLine="6270" w:firstLineChars="2850"/>
        <w:jc w:val="center"/>
        <w:rPr>
          <w:rFonts w:ascii="楷体" w:hAnsi="楷体" w:eastAsia="楷体" w:cs="楷体"/>
          <w:sz w:val="22"/>
          <w:szCs w:val="24"/>
        </w:rPr>
      </w:pPr>
    </w:p>
    <w:p>
      <w:pPr>
        <w:spacing w:before="100" w:beforeAutospacing="1" w:after="100" w:afterAutospacing="1"/>
        <w:jc w:val="left"/>
        <w:rPr>
          <w:rFonts w:cs="仿宋_GB2312" w:asciiTheme="minorEastAsia" w:hAnsiTheme="minorEastAsia" w:eastAsiaTheme="minorEastAsia"/>
          <w:sz w:val="30"/>
          <w:szCs w:val="30"/>
        </w:rPr>
      </w:pPr>
      <w:r>
        <w:rPr>
          <w:rFonts w:hint="eastAsia" w:cs="仿宋_GB2312" w:asciiTheme="minorEastAsia" w:hAnsiTheme="minorEastAsia" w:eastAsiaTheme="minorEastAsia"/>
          <w:sz w:val="30"/>
          <w:szCs w:val="30"/>
        </w:rPr>
        <w:t>附件1-2</w:t>
      </w:r>
    </w:p>
    <w:p>
      <w:pPr>
        <w:pStyle w:val="4"/>
        <w:widowControl w:val="0"/>
        <w:spacing w:before="0" w:beforeAutospacing="0" w:after="0" w:afterAutospacing="0" w:line="800" w:lineRule="exact"/>
        <w:jc w:val="center"/>
        <w:rPr>
          <w:rStyle w:val="8"/>
          <w:rFonts w:cs="Times New Roman" w:asciiTheme="minorEastAsia" w:hAnsiTheme="minorEastAsia" w:eastAsiaTheme="minorEastAsia"/>
          <w:b w:val="0"/>
          <w:bCs w:val="0"/>
          <w:spacing w:val="-23"/>
          <w:sz w:val="30"/>
          <w:szCs w:val="30"/>
        </w:rPr>
      </w:pPr>
      <w:r>
        <w:rPr>
          <w:rStyle w:val="8"/>
          <w:rFonts w:hint="eastAsia" w:cs="Times New Roman" w:asciiTheme="minorEastAsia" w:hAnsiTheme="minorEastAsia" w:eastAsiaTheme="minorEastAsia"/>
          <w:b w:val="0"/>
          <w:bCs w:val="0"/>
          <w:spacing w:val="-23"/>
          <w:sz w:val="30"/>
          <w:szCs w:val="30"/>
        </w:rPr>
        <w:t xml:space="preserve"> </w:t>
      </w:r>
      <w:r>
        <w:rPr>
          <w:rStyle w:val="8"/>
          <w:rFonts w:cs="Times New Roman" w:asciiTheme="minorEastAsia" w:hAnsiTheme="minorEastAsia" w:eastAsiaTheme="minorEastAsia"/>
          <w:b w:val="0"/>
          <w:bCs w:val="0"/>
          <w:spacing w:val="-23"/>
          <w:sz w:val="30"/>
          <w:szCs w:val="30"/>
        </w:rPr>
        <w:t>202</w:t>
      </w:r>
      <w:r>
        <w:rPr>
          <w:rStyle w:val="8"/>
          <w:rFonts w:hint="eastAsia" w:cs="Times New Roman" w:asciiTheme="minorEastAsia" w:hAnsiTheme="minorEastAsia" w:eastAsiaTheme="minorEastAsia"/>
          <w:b w:val="0"/>
          <w:bCs w:val="0"/>
          <w:spacing w:val="-23"/>
          <w:sz w:val="30"/>
          <w:szCs w:val="30"/>
        </w:rPr>
        <w:t>1</w:t>
      </w:r>
      <w:r>
        <w:rPr>
          <w:rStyle w:val="8"/>
          <w:rFonts w:cs="Times New Roman" w:asciiTheme="minorEastAsia" w:hAnsiTheme="minorEastAsia" w:eastAsiaTheme="minorEastAsia"/>
          <w:b w:val="0"/>
          <w:bCs w:val="0"/>
          <w:spacing w:val="-23"/>
          <w:sz w:val="30"/>
          <w:szCs w:val="30"/>
        </w:rPr>
        <w:t>年度</w:t>
      </w:r>
      <w:r>
        <w:rPr>
          <w:rStyle w:val="8"/>
          <w:rFonts w:hint="eastAsia" w:cs="Times New Roman" w:asciiTheme="minorEastAsia" w:hAnsiTheme="minorEastAsia" w:eastAsiaTheme="minorEastAsia"/>
          <w:b w:val="0"/>
          <w:bCs w:val="0"/>
          <w:spacing w:val="-23"/>
          <w:sz w:val="30"/>
          <w:szCs w:val="30"/>
        </w:rPr>
        <w:t>新晃县统计局</w:t>
      </w:r>
      <w:r>
        <w:rPr>
          <w:rStyle w:val="8"/>
          <w:rFonts w:cs="Times New Roman" w:asciiTheme="minorEastAsia" w:hAnsiTheme="minorEastAsia" w:eastAsiaTheme="minorEastAsia"/>
          <w:b w:val="0"/>
          <w:bCs w:val="0"/>
          <w:spacing w:val="-23"/>
          <w:sz w:val="30"/>
          <w:szCs w:val="30"/>
        </w:rPr>
        <w:t>部门整体支出绩效自评报告</w:t>
      </w:r>
    </w:p>
    <w:p>
      <w:pPr>
        <w:pStyle w:val="4"/>
        <w:widowControl w:val="0"/>
        <w:spacing w:before="0" w:beforeAutospacing="0" w:after="0" w:afterAutospacing="0" w:line="800" w:lineRule="exact"/>
        <w:jc w:val="center"/>
        <w:rPr>
          <w:rFonts w:cs="Times New Roman" w:asciiTheme="minorEastAsia" w:hAnsiTheme="minorEastAsia" w:eastAsiaTheme="minorEastAsia"/>
          <w:sz w:val="30"/>
          <w:szCs w:val="30"/>
        </w:rPr>
      </w:pPr>
    </w:p>
    <w:p>
      <w:pPr>
        <w:spacing w:before="240" w:line="560" w:lineRule="exact"/>
        <w:ind w:left="0"/>
        <w:jc w:val="left"/>
        <w:rPr>
          <w:rFonts w:asciiTheme="minorEastAsia" w:hAnsiTheme="minorEastAsia" w:eastAsiaTheme="minorEastAsia"/>
          <w:sz w:val="30"/>
          <w:szCs w:val="30"/>
        </w:rPr>
      </w:pPr>
      <w:r>
        <w:rPr>
          <w:rFonts w:asciiTheme="minorEastAsia" w:hAnsiTheme="minorEastAsia" w:eastAsiaTheme="minorEastAsia"/>
          <w:sz w:val="30"/>
          <w:szCs w:val="30"/>
        </w:rPr>
        <w:t xml:space="preserve"> 一、部门（单位）基本概况</w:t>
      </w:r>
    </w:p>
    <w:p>
      <w:pPr>
        <w:pStyle w:val="11"/>
        <w:ind w:left="0" w:firstLine="600"/>
        <w:rPr>
          <w:rFonts w:cs="楷体_GB2312" w:asciiTheme="minorEastAsia" w:hAnsiTheme="minorEastAsia" w:eastAsiaTheme="minorEastAsia"/>
          <w:bCs/>
          <w:sz w:val="30"/>
          <w:szCs w:val="30"/>
        </w:rPr>
      </w:pPr>
      <w:r>
        <w:rPr>
          <w:rFonts w:hint="eastAsia" w:cs="楷体_GB2312" w:asciiTheme="minorEastAsia" w:hAnsiTheme="minorEastAsia" w:eastAsiaTheme="minorEastAsia"/>
          <w:bCs/>
          <w:sz w:val="30"/>
          <w:szCs w:val="30"/>
        </w:rPr>
        <w:t>1、主要职能</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（一）贯彻执行国家统计工作方针、政策和统计法律、法规，完成国家、省、市规定的统计调查任务，检查监督统计法规的实施情况，查处各类统计违法。</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（二）指导和协调全县的统计业务工作，会同有关部门拟订重大县情县力普查计划与方案，组织实施全县人口、经济、农业等重大县情县力普查及有关专项调查。</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三）收集、汇总、整理和提供有关调查的统计数据。统一核定、管理、公布全县经济、社会、科技的基本统计资料，定期发布全县国民经济和社会发展情况统计公报以及有关普查和专项调查公报；发布社会经济统计信息。</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四）为县委、县人民政府制订政策、编制国民经济和社会发展规划提供统计资料，并对全县国民经济、科技进步和社会发展等情况进行统计分析、统计预测、统计检查和监督，向县委、县人民政府及其有关部门提供统计信息和咨询建议。</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（五）建立健全和管理全县统计信息自动化系统和统计数据库体系；指导各基层单位加强统计基础建设。</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（六）组织和实施全县民调工作。承办县委、县人民政府交办的其他事项。</w:t>
      </w:r>
    </w:p>
    <w:p>
      <w:pPr>
        <w:pStyle w:val="11"/>
        <w:ind w:left="0" w:firstLine="600"/>
        <w:rPr>
          <w:rFonts w:cs="楷体_GB2312" w:asciiTheme="minorEastAsia" w:hAnsiTheme="minorEastAsia" w:eastAsiaTheme="minorEastAsia"/>
          <w:bCs/>
          <w:sz w:val="30"/>
          <w:szCs w:val="30"/>
        </w:rPr>
      </w:pPr>
      <w:r>
        <w:rPr>
          <w:rFonts w:hint="eastAsia" w:cs="楷体_GB2312" w:asciiTheme="minorEastAsia" w:hAnsiTheme="minorEastAsia" w:eastAsiaTheme="minorEastAsia"/>
          <w:bCs/>
          <w:sz w:val="30"/>
          <w:szCs w:val="30"/>
        </w:rPr>
        <w:t>2、机构设置、人员情况</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县统计局设有办公室、经济股、行政服务审批股、能源统计股四个内设机构，下辖城乡经济调查队、电子计算站、民意调查中心三个事业单位。</w:t>
      </w:r>
    </w:p>
    <w:p>
      <w:pPr>
        <w:spacing w:line="600" w:lineRule="exact"/>
        <w:ind w:left="0" w:firstLine="600" w:firstLineChars="200"/>
        <w:textAlignment w:val="auto"/>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全局现有干部职工20人，退休人员14人。</w:t>
      </w: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二、部门整体支出绩效状况</w:t>
      </w:r>
    </w:p>
    <w:p>
      <w:pPr>
        <w:pStyle w:val="12"/>
        <w:ind w:firstLine="600" w:firstLineChars="200"/>
        <w:rPr>
          <w:rFonts w:hint="eastAsia" w:asciiTheme="minorEastAsia" w:hAnsiTheme="minorEastAsia" w:eastAsiaTheme="minorEastAsia"/>
          <w:sz w:val="30"/>
          <w:szCs w:val="30"/>
        </w:rPr>
      </w:pPr>
      <w:r>
        <w:rPr>
          <w:rFonts w:hint="eastAsia" w:asciiTheme="minorEastAsia" w:hAnsiTheme="minorEastAsia" w:eastAsiaTheme="minorEastAsia"/>
          <w:sz w:val="30"/>
          <w:szCs w:val="30"/>
        </w:rPr>
        <w:t>2021</w:t>
      </w:r>
      <w:r>
        <w:rPr>
          <w:rFonts w:asciiTheme="minorEastAsia" w:hAnsiTheme="minorEastAsia" w:eastAsiaTheme="minorEastAsia"/>
          <w:sz w:val="30"/>
          <w:szCs w:val="30"/>
        </w:rPr>
        <w:t>年度财政收支</w:t>
      </w:r>
      <w:r>
        <w:rPr>
          <w:rFonts w:hint="eastAsia" w:asciiTheme="minorEastAsia" w:hAnsiTheme="minorEastAsia" w:eastAsiaTheme="minorEastAsia"/>
          <w:sz w:val="30"/>
          <w:szCs w:val="30"/>
        </w:rPr>
        <w:t>情况总体情况说明：</w:t>
      </w:r>
    </w:p>
    <w:p>
      <w:pPr>
        <w:numPr>
          <w:ilvl w:val="0"/>
          <w:numId w:val="0"/>
        </w:numPr>
        <w:spacing w:line="560" w:lineRule="exact"/>
        <w:ind w:leftChars="200"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年度财政拨款收入总计</w:t>
      </w:r>
      <w:r>
        <w:rPr>
          <w:rFonts w:hint="eastAsia" w:ascii="仿宋" w:hAnsi="仿宋" w:eastAsia="仿宋" w:cs="仿宋"/>
          <w:sz w:val="32"/>
          <w:szCs w:val="32"/>
          <w:lang w:val="en-US" w:eastAsia="zh-CN"/>
        </w:rPr>
        <w:t>657.92</w:t>
      </w:r>
      <w:r>
        <w:rPr>
          <w:rFonts w:hint="eastAsia" w:ascii="仿宋" w:hAnsi="仿宋" w:eastAsia="仿宋" w:cs="仿宋"/>
          <w:sz w:val="32"/>
          <w:szCs w:val="32"/>
        </w:rPr>
        <w:t>万元，其中：本年收入合计</w:t>
      </w:r>
      <w:r>
        <w:rPr>
          <w:rFonts w:hint="eastAsia" w:ascii="仿宋" w:hAnsi="仿宋" w:eastAsia="仿宋" w:cs="仿宋"/>
          <w:sz w:val="32"/>
          <w:szCs w:val="32"/>
          <w:lang w:val="en-US" w:eastAsia="zh-CN"/>
        </w:rPr>
        <w:t>402.88</w:t>
      </w:r>
      <w:r>
        <w:rPr>
          <w:rFonts w:hint="eastAsia" w:ascii="仿宋" w:hAnsi="仿宋" w:eastAsia="仿宋" w:cs="仿宋"/>
          <w:sz w:val="32"/>
          <w:szCs w:val="32"/>
        </w:rPr>
        <w:t>万元，年初结转和结余</w:t>
      </w:r>
      <w:r>
        <w:rPr>
          <w:rFonts w:hint="eastAsia" w:ascii="仿宋" w:hAnsi="仿宋" w:eastAsia="仿宋" w:cs="仿宋"/>
          <w:sz w:val="32"/>
          <w:szCs w:val="32"/>
          <w:lang w:val="en-US" w:eastAsia="zh-CN"/>
        </w:rPr>
        <w:t>255.04</w:t>
      </w:r>
      <w:r>
        <w:rPr>
          <w:rFonts w:hint="eastAsia" w:ascii="仿宋" w:hAnsi="仿宋" w:eastAsia="仿宋" w:cs="仿宋"/>
          <w:sz w:val="32"/>
          <w:szCs w:val="32"/>
        </w:rPr>
        <w:t>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年财政拨款收入总计</w:t>
      </w:r>
      <w:r>
        <w:rPr>
          <w:rFonts w:hint="eastAsia" w:ascii="仿宋" w:hAnsi="仿宋" w:eastAsia="仿宋" w:cs="仿宋"/>
          <w:sz w:val="32"/>
          <w:szCs w:val="32"/>
          <w:lang w:val="en-US" w:eastAsia="zh-CN"/>
        </w:rPr>
        <w:t>995.38</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年收入比20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337.46</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人口普查经费和脱贫攻坚普查经费。</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年度财政拨款支出总计</w:t>
      </w:r>
      <w:r>
        <w:rPr>
          <w:rFonts w:hint="eastAsia" w:ascii="仿宋" w:hAnsi="仿宋" w:eastAsia="仿宋" w:cs="仿宋"/>
          <w:sz w:val="32"/>
          <w:szCs w:val="32"/>
          <w:lang w:val="en-US" w:eastAsia="zh-CN"/>
        </w:rPr>
        <w:t>657.92</w:t>
      </w:r>
      <w:r>
        <w:rPr>
          <w:rFonts w:hint="eastAsia" w:ascii="仿宋" w:hAnsi="仿宋" w:eastAsia="仿宋" w:cs="仿宋"/>
          <w:sz w:val="32"/>
          <w:szCs w:val="32"/>
        </w:rPr>
        <w:t>元，其中：本年支出为</w:t>
      </w:r>
      <w:r>
        <w:rPr>
          <w:rFonts w:hint="eastAsia" w:ascii="仿宋" w:hAnsi="仿宋" w:eastAsia="仿宋" w:cs="仿宋"/>
          <w:sz w:val="32"/>
          <w:szCs w:val="32"/>
          <w:lang w:val="en-US" w:eastAsia="zh-CN"/>
        </w:rPr>
        <w:t>575.21</w:t>
      </w:r>
      <w:r>
        <w:rPr>
          <w:rFonts w:hint="eastAsia" w:ascii="仿宋" w:hAnsi="仿宋" w:eastAsia="仿宋" w:cs="仿宋"/>
          <w:sz w:val="32"/>
          <w:szCs w:val="32"/>
        </w:rPr>
        <w:t>万元，年末结转和结余为</w:t>
      </w:r>
      <w:r>
        <w:rPr>
          <w:rFonts w:hint="eastAsia" w:ascii="仿宋" w:hAnsi="仿宋" w:eastAsia="仿宋" w:cs="仿宋"/>
          <w:sz w:val="32"/>
          <w:szCs w:val="32"/>
          <w:lang w:val="en-US" w:eastAsia="zh-CN"/>
        </w:rPr>
        <w:t>82.71</w:t>
      </w:r>
      <w:r>
        <w:rPr>
          <w:rFonts w:hint="eastAsia" w:ascii="仿宋" w:hAnsi="仿宋" w:eastAsia="仿宋" w:cs="仿宋"/>
          <w:sz w:val="32"/>
          <w:szCs w:val="32"/>
        </w:rPr>
        <w:t>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年财政拨款支出总计</w:t>
      </w:r>
      <w:r>
        <w:rPr>
          <w:rFonts w:hint="eastAsia" w:ascii="仿宋" w:hAnsi="仿宋" w:eastAsia="仿宋" w:cs="仿宋"/>
          <w:sz w:val="32"/>
          <w:szCs w:val="32"/>
          <w:lang w:val="en-US" w:eastAsia="zh-CN"/>
        </w:rPr>
        <w:t>995.38</w:t>
      </w:r>
      <w:r>
        <w:rPr>
          <w:rFonts w:hint="eastAsia" w:ascii="仿宋" w:hAnsi="仿宋" w:eastAsia="仿宋" w:cs="仿宋"/>
          <w:sz w:val="32"/>
          <w:szCs w:val="32"/>
        </w:rPr>
        <w:t>万元，202</w:t>
      </w:r>
      <w:r>
        <w:rPr>
          <w:rFonts w:hint="eastAsia" w:ascii="仿宋" w:hAnsi="仿宋" w:eastAsia="仿宋" w:cs="仿宋"/>
          <w:sz w:val="32"/>
          <w:szCs w:val="32"/>
          <w:lang w:val="en-US" w:eastAsia="zh-CN"/>
        </w:rPr>
        <w:t>1</w:t>
      </w:r>
      <w:r>
        <w:rPr>
          <w:rFonts w:hint="eastAsia" w:ascii="仿宋" w:hAnsi="仿宋" w:eastAsia="仿宋" w:cs="仿宋"/>
          <w:sz w:val="32"/>
          <w:szCs w:val="32"/>
        </w:rPr>
        <w:t>年支出比20</w:t>
      </w:r>
      <w:r>
        <w:rPr>
          <w:rFonts w:hint="eastAsia" w:ascii="仿宋" w:hAnsi="仿宋" w:eastAsia="仿宋" w:cs="仿宋"/>
          <w:sz w:val="32"/>
          <w:szCs w:val="32"/>
          <w:lang w:val="en-US" w:eastAsia="zh-CN"/>
        </w:rPr>
        <w:t>20</w:t>
      </w:r>
      <w:r>
        <w:rPr>
          <w:rFonts w:hint="eastAsia" w:ascii="仿宋" w:hAnsi="仿宋" w:eastAsia="仿宋" w:cs="仿宋"/>
          <w:sz w:val="32"/>
          <w:szCs w:val="32"/>
        </w:rPr>
        <w:t>年增加了</w:t>
      </w:r>
      <w:r>
        <w:rPr>
          <w:rFonts w:hint="eastAsia" w:ascii="仿宋" w:hAnsi="仿宋" w:eastAsia="仿宋" w:cs="仿宋"/>
          <w:sz w:val="32"/>
          <w:szCs w:val="32"/>
          <w:lang w:val="en-US" w:eastAsia="zh-CN"/>
        </w:rPr>
        <w:t>337.46</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的主要原因是本单位是</w:t>
      </w:r>
      <w:r>
        <w:rPr>
          <w:rFonts w:hint="eastAsia" w:ascii="仿宋" w:hAnsi="仿宋" w:eastAsia="仿宋" w:cs="仿宋"/>
          <w:sz w:val="32"/>
          <w:szCs w:val="32"/>
          <w:lang w:val="en-US" w:eastAsia="zh-CN"/>
        </w:rPr>
        <w:t>2021年人口普查经费和脱贫攻坚普查经费。</w:t>
      </w:r>
    </w:p>
    <w:p>
      <w:pPr>
        <w:pStyle w:val="1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年我单位一般公共预算财政拨款支出</w:t>
      </w:r>
      <w:r>
        <w:rPr>
          <w:rFonts w:hint="eastAsia" w:ascii="仿宋" w:hAnsi="仿宋" w:eastAsia="仿宋" w:cs="仿宋"/>
          <w:sz w:val="32"/>
          <w:szCs w:val="32"/>
          <w:lang w:val="en-US" w:eastAsia="zh-CN"/>
        </w:rPr>
        <w:t>575.21</w:t>
      </w:r>
      <w:r>
        <w:rPr>
          <w:rFonts w:hint="eastAsia" w:ascii="仿宋" w:hAnsi="仿宋" w:eastAsia="仿宋" w:cs="仿宋"/>
          <w:sz w:val="32"/>
          <w:szCs w:val="32"/>
        </w:rPr>
        <w:t>万元，与</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740.34</w:t>
      </w:r>
      <w:r>
        <w:rPr>
          <w:rFonts w:hint="eastAsia" w:ascii="仿宋" w:hAnsi="仿宋" w:eastAsia="仿宋" w:cs="仿宋"/>
          <w:sz w:val="32"/>
          <w:szCs w:val="32"/>
        </w:rPr>
        <w:t>万元相比</w:t>
      </w:r>
      <w:r>
        <w:rPr>
          <w:rFonts w:hint="eastAsia" w:ascii="仿宋" w:hAnsi="仿宋" w:eastAsia="仿宋" w:cs="仿宋"/>
          <w:sz w:val="32"/>
          <w:szCs w:val="32"/>
          <w:lang w:val="en-US" w:eastAsia="zh-CN"/>
        </w:rPr>
        <w:t>减少165.13</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的主要原因是</w:t>
      </w:r>
      <w:r>
        <w:rPr>
          <w:rFonts w:hint="eastAsia" w:ascii="仿宋" w:hAnsi="仿宋" w:eastAsia="仿宋" w:cs="仿宋"/>
          <w:sz w:val="32"/>
          <w:szCs w:val="32"/>
          <w:lang w:val="en-US" w:eastAsia="zh-CN"/>
        </w:rPr>
        <w:t>脱贫攻坚普查经费。</w:t>
      </w:r>
    </w:p>
    <w:p>
      <w:pPr>
        <w:pStyle w:val="12"/>
        <w:ind w:firstLine="640" w:firstLineChars="200"/>
        <w:rPr>
          <w:rFonts w:hint="eastAsia" w:ascii="仿宋" w:hAnsi="仿宋" w:eastAsia="仿宋" w:cs="仿宋"/>
          <w:sz w:val="32"/>
          <w:szCs w:val="32"/>
          <w:lang w:val="en-US" w:eastAsia="zh-CN"/>
        </w:rPr>
      </w:pPr>
    </w:p>
    <w:p>
      <w:pPr>
        <w:numPr>
          <w:ilvl w:val="0"/>
          <w:numId w:val="0"/>
        </w:numPr>
        <w:spacing w:line="560" w:lineRule="exact"/>
        <w:ind w:leftChars="200" w:firstLine="320" w:firstLineChars="100"/>
        <w:jc w:val="left"/>
        <w:rPr>
          <w:rFonts w:hint="eastAsia" w:ascii="仿宋" w:hAnsi="仿宋" w:eastAsia="仿宋" w:cs="仿宋"/>
          <w:sz w:val="32"/>
          <w:szCs w:val="32"/>
          <w:lang w:val="en-US" w:eastAsia="zh-CN"/>
        </w:rPr>
      </w:pPr>
    </w:p>
    <w:p>
      <w:pPr>
        <w:ind w:firstLine="600" w:firstLineChars="200"/>
        <w:rPr>
          <w:rFonts w:cs="黑体" w:asciiTheme="minorEastAsia" w:hAnsiTheme="minorEastAsia" w:eastAsiaTheme="minorEastAsia"/>
          <w:color w:val="000000"/>
          <w:sz w:val="30"/>
          <w:szCs w:val="30"/>
        </w:rPr>
      </w:pPr>
      <w:r>
        <w:rPr>
          <w:rFonts w:hint="eastAsia" w:cs="黑体" w:asciiTheme="minorEastAsia" w:hAnsiTheme="minorEastAsia" w:eastAsiaTheme="minorEastAsia"/>
          <w:color w:val="000000"/>
          <w:sz w:val="30"/>
          <w:szCs w:val="30"/>
        </w:rPr>
        <w:t>国有资产占用情况</w:t>
      </w:r>
      <w:r>
        <w:rPr>
          <w:rFonts w:hint="eastAsia" w:asciiTheme="minorEastAsia" w:hAnsiTheme="minorEastAsia" w:eastAsiaTheme="minorEastAsia"/>
          <w:sz w:val="30"/>
          <w:szCs w:val="30"/>
        </w:rPr>
        <w:t>：</w:t>
      </w:r>
      <w:r>
        <w:rPr>
          <w:rFonts w:hint="eastAsia" w:cs="黑体" w:asciiTheme="minorEastAsia" w:hAnsiTheme="minorEastAsia" w:eastAsiaTheme="minorEastAsia"/>
          <w:color w:val="000000"/>
          <w:sz w:val="30"/>
          <w:szCs w:val="30"/>
        </w:rPr>
        <w:t>截至2021年12月31日，本单位共有车辆0辆，其中，领导干部用车0辆、机要通信用车0辆、应急保障用车0辆、执法执勤用车0辆、特种专业技术用车0辆、其他用车0辆；单位价值50万元以上通用设备0台（套）；单位价值100万元以上专用设备0台（套）。</w:t>
      </w:r>
    </w:p>
    <w:p>
      <w:pPr>
        <w:ind w:firstLine="600" w:firstLineChars="200"/>
        <w:rPr>
          <w:rFonts w:cs="仿宋_GB2312" w:asciiTheme="minorEastAsia" w:hAnsiTheme="minorEastAsia" w:eastAsiaTheme="minorEastAsia"/>
          <w:sz w:val="30"/>
          <w:szCs w:val="30"/>
        </w:rPr>
      </w:pPr>
      <w:r>
        <w:rPr>
          <w:rFonts w:hint="eastAsia" w:asciiTheme="minorEastAsia" w:hAnsiTheme="minorEastAsia" w:eastAsiaTheme="minorEastAsia"/>
          <w:sz w:val="30"/>
          <w:szCs w:val="30"/>
        </w:rPr>
        <w:t>我单位严格按照《预算法》和相关财经纪律要求，厉行节约，杜绝不合理开支，降低行政成本，努力让财政资金发挥最大效益，较好地完成了全年预算。</w:t>
      </w:r>
      <w:r>
        <w:rPr>
          <w:rFonts w:hint="eastAsia" w:cs="仿宋_GB2312" w:asciiTheme="minorEastAsia" w:hAnsiTheme="minorEastAsia" w:eastAsiaTheme="minorEastAsia"/>
          <w:sz w:val="30"/>
          <w:szCs w:val="30"/>
        </w:rPr>
        <w:t>我单位2021年的公务用车运行维护费到12月止支出0万元，公务接待费到12月止支出0.8万元。</w:t>
      </w:r>
    </w:p>
    <w:p>
      <w:pPr>
        <w:ind w:firstLine="600" w:firstLineChars="200"/>
        <w:rPr>
          <w:rFonts w:asciiTheme="minorEastAsia" w:hAnsiTheme="minorEastAsia" w:eastAsiaTheme="minorEastAsia"/>
          <w:sz w:val="30"/>
          <w:szCs w:val="30"/>
        </w:rPr>
      </w:pPr>
      <w:r>
        <w:rPr>
          <w:rFonts w:hint="eastAsia" w:asciiTheme="minorEastAsia" w:hAnsiTheme="minorEastAsia" w:eastAsiaTheme="minorEastAsia"/>
          <w:sz w:val="30"/>
          <w:szCs w:val="30"/>
        </w:rPr>
        <w:t>根据《部门整体支出绩效评价指标》评分表，自评得分86分，主要绩效如下：</w:t>
      </w:r>
    </w:p>
    <w:p>
      <w:pPr>
        <w:spacing w:line="580" w:lineRule="exact"/>
        <w:ind w:left="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一、党的建设不断加强</w:t>
      </w:r>
    </w:p>
    <w:p>
      <w:pPr>
        <w:spacing w:line="580" w:lineRule="exact"/>
        <w:ind w:firstLine="600" w:firstLineChars="200"/>
        <w:textAlignment w:val="auto"/>
        <w:rPr>
          <w:rFonts w:cs="宋体" w:asciiTheme="minorEastAsia" w:hAnsiTheme="minorEastAsia" w:eastAsiaTheme="minorEastAsia"/>
          <w:sz w:val="30"/>
          <w:szCs w:val="30"/>
        </w:rPr>
      </w:pPr>
      <w:r>
        <w:rPr>
          <w:rFonts w:hint="eastAsia" w:asciiTheme="minorEastAsia" w:hAnsiTheme="minorEastAsia" w:eastAsiaTheme="minorEastAsia"/>
          <w:color w:val="000000"/>
          <w:sz w:val="30"/>
          <w:szCs w:val="30"/>
        </w:rPr>
        <w:t>局党组始终坚持以习近平新时代中国特色社会主义思想为指导，增强“四个意识”、坚定“四个自信”、做到“两个维护”，不折不扣的执行党的政治纪律，在政治原则、政治立场、改治观点和执行党的路线方针政策上，坚决与党中央保持高度一致.认真贯彻执行县委县政府各项工作部署，坚决做到令行禁止，确保政令畅通。严守党的组织纪律，坚持“三重一大”民主议事制度，坚决服从组织决定，党组成员讲政治、顾大局，大事讲原则、小事讲风格，党组织的凝聚力和战斗力不断提升，党的建设不断加强。</w:t>
      </w:r>
    </w:p>
    <w:p>
      <w:pPr>
        <w:spacing w:line="580" w:lineRule="exact"/>
        <w:ind w:left="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二、主要经济指标情况</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初步统计，全县前三季度完成地区生产总值54.58亿元，同比增长8.8%。城镇居民收入完成20188元，同比增长8.4%，农村居民收入完成8324元，同比增长11.4%。1—10月，全县规模以上工业增加值完成</w:t>
      </w: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62380万元，同比增长11.2%；固定资产投资完成532605万元，同比增长17.5%；全社会商品零售总额完成226083万元，同比下降16.7%；地方一般公共预算收入完成</w:t>
      </w: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8675万元，同比增长20.9%。</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全年预计实现地区生产总值78.1亿元，增速8%；预计完成规上工业增加值183453万元，增速8%；预计完成固定资产投资总额763618万元，增速10.5%；预计完成社会消费品零售总额280300万元，增速10.5%；城镇居民人均可支配收入预计完成26131元，增速8.5%，农村居民人均可支配收入预计完成11851元，增速10.5%；预计完成地方一般公共预算收入43139万元，增速5.5%。</w:t>
      </w:r>
    </w:p>
    <w:p>
      <w:pPr>
        <w:spacing w:line="580" w:lineRule="exact"/>
        <w:ind w:left="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三、认真做好年定报工作</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按照国家统计报表制度和新要求，认真组织做好了2020年统计年报和2021年年定期统计报表工作。进一步加强对统计月报、季报、年报指标的评估，正确分析全县经济运行态势，及时提供准确反映全县经济发展状况的经济指标数据，为县委、</w:t>
      </w:r>
      <w:r>
        <w:rPr>
          <w:rFonts w:hint="eastAsia" w:asciiTheme="minorEastAsia" w:hAnsiTheme="minorEastAsia" w:eastAsiaTheme="minorEastAsia"/>
          <w:color w:val="000000"/>
          <w:sz w:val="30"/>
          <w:szCs w:val="30"/>
          <w:lang w:eastAsia="zh-CN"/>
        </w:rPr>
        <w:t>县</w:t>
      </w:r>
      <w:r>
        <w:rPr>
          <w:rFonts w:hint="eastAsia" w:asciiTheme="minorEastAsia" w:hAnsiTheme="minorEastAsia" w:eastAsiaTheme="minorEastAsia"/>
          <w:color w:val="000000"/>
          <w:sz w:val="30"/>
          <w:szCs w:val="30"/>
        </w:rPr>
        <w:t>政府及时提供了科学决策依据，切实发挥统计“晴雨表”的作用。</w:t>
      </w:r>
    </w:p>
    <w:p>
      <w:pPr>
        <w:spacing w:line="580" w:lineRule="exact"/>
        <w:ind w:left="0"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四、统计监测全面加强</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充分发挥部门统计职能，科学分析县域经济监测评价方案，为县域经济晋位升级发挥好统计部门的参谋与助手作用，确保县域经济监测考核在全市保持较好的位次。</w:t>
      </w:r>
    </w:p>
    <w:p>
      <w:pPr>
        <w:spacing w:line="580" w:lineRule="exact"/>
        <w:ind w:left="0"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五、破解企业入库瓶颈，助推我县高质量发展</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按照“四上”企业培育计划，重点抓好“四上”企业尤其是主导产业企业培育及入库，加强对乡镇、企业的业务指导，成熟一家入库一家，截</w:t>
      </w:r>
      <w:r>
        <w:rPr>
          <w:rFonts w:hint="eastAsia" w:asciiTheme="minorEastAsia" w:hAnsiTheme="minorEastAsia" w:eastAsiaTheme="minorEastAsia"/>
          <w:color w:val="000000"/>
          <w:sz w:val="30"/>
          <w:szCs w:val="30"/>
          <w:lang w:eastAsia="zh-CN"/>
        </w:rPr>
        <w:t>至</w:t>
      </w:r>
      <w:r>
        <w:rPr>
          <w:rFonts w:hint="eastAsia" w:asciiTheme="minorEastAsia" w:hAnsiTheme="minorEastAsia" w:eastAsiaTheme="minorEastAsia"/>
          <w:color w:val="000000"/>
          <w:sz w:val="30"/>
          <w:szCs w:val="30"/>
        </w:rPr>
        <w:t>目前，年内成功入库3家，正在申报入库9家。通过入库不断增加我县经济总量，提升我县县域经济综合实力，助推我县经济高质量发展。</w:t>
      </w:r>
    </w:p>
    <w:p>
      <w:pPr>
        <w:spacing w:line="580" w:lineRule="exact"/>
        <w:ind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六、顺利完成第七次全国人口普查工作</w:t>
      </w:r>
    </w:p>
    <w:p>
      <w:pPr>
        <w:widowControl/>
        <w:spacing w:line="580" w:lineRule="exact"/>
        <w:ind w:firstLine="600" w:firstLineChars="200"/>
        <w:textAlignment w:val="auto"/>
        <w:rPr>
          <w:rFonts w:cs="宋体" w:asciiTheme="minorEastAsia" w:hAnsiTheme="minorEastAsia" w:eastAsiaTheme="minorEastAsia"/>
          <w:sz w:val="30"/>
          <w:szCs w:val="30"/>
        </w:rPr>
      </w:pPr>
      <w:r>
        <w:rPr>
          <w:rFonts w:hint="eastAsia" w:asciiTheme="minorEastAsia" w:hAnsiTheme="minorEastAsia" w:eastAsiaTheme="minorEastAsia"/>
          <w:color w:val="000000"/>
          <w:sz w:val="30"/>
          <w:szCs w:val="30"/>
        </w:rPr>
        <w:t xml:space="preserve">加大对人口普查数据核查力度，通过数据系统审核和人工审核相结合的方式，对数据逻辑性、完整性进行全面审核，完成了普查数据的重名审核、跨表审核等工作，确保数据质量精确精准。积极筹备资料的开发应用，进行资料的评估、分析，撰写相关分析资料，资料发布，做好数据库和文件资料的整理、存档、保管工作。  </w:t>
      </w:r>
    </w:p>
    <w:p>
      <w:pPr>
        <w:spacing w:line="580" w:lineRule="exact"/>
        <w:ind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七、新冠疫情防控工作扎实开展</w:t>
      </w:r>
    </w:p>
    <w:p>
      <w:pPr>
        <w:widowControl/>
        <w:spacing w:line="580" w:lineRule="exact"/>
        <w:ind w:firstLine="600" w:firstLineChars="200"/>
        <w:textAlignment w:val="auto"/>
        <w:rPr>
          <w:rFonts w:cs="宋体" w:asciiTheme="minorEastAsia" w:hAnsiTheme="minorEastAsia" w:eastAsiaTheme="minorEastAsia"/>
          <w:sz w:val="30"/>
          <w:szCs w:val="30"/>
        </w:rPr>
      </w:pPr>
      <w:r>
        <w:rPr>
          <w:rFonts w:hint="eastAsia" w:asciiTheme="minorEastAsia" w:hAnsiTheme="minorEastAsia" w:eastAsiaTheme="minorEastAsia"/>
          <w:color w:val="000000"/>
          <w:sz w:val="30"/>
          <w:szCs w:val="30"/>
        </w:rPr>
        <w:t>按照县疫情指挥部要求，及时成立了疫情防控领导小组，全力谋划和部署疫情防控工作.组织全体干部职工迅速投入到疫情防控工作中去，先后投入近万元，为责任区购置喷募器、消毒液、酒精和口罩等消毒和防护物品，对小区出口进行封堵，逐户在看居民户口本，详细询问人员流动情况，做到第一时间掌握居民信息，确保不落一户，不落一人。在全体参与防控人员的共同努力和家属院住户的支持配合下，分包小区疫情防控工作井然有序，确保了经济社会稳定向好</w:t>
      </w:r>
      <w:r>
        <w:rPr>
          <w:rFonts w:hint="eastAsia" w:cs="宋体" w:asciiTheme="minorEastAsia" w:hAnsiTheme="minorEastAsia" w:eastAsiaTheme="minorEastAsia"/>
          <w:sz w:val="30"/>
          <w:szCs w:val="30"/>
        </w:rPr>
        <w:t>。</w:t>
      </w:r>
    </w:p>
    <w:p>
      <w:pPr>
        <w:spacing w:line="580" w:lineRule="exact"/>
        <w:ind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八、乡村振兴工作成效显著</w:t>
      </w:r>
    </w:p>
    <w:p>
      <w:pPr>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局党组高度重视乡村振兴工作，将乡村振兴作为首要中心工作来抓、成立了以党组书记为组长，分管乡村振兴工作的副局长为副组长的领导小组，为结对村配齐配强第一书记和帮扶队员，在疫情防控的关键时刻派多名干部职工分别到结对村开展疫情防控工作。今年以来，根据结对村具体情况，结合我局实际，加强结对走访调研慰问，局领导多次带队深入联系户家中了解困难，宣传乡村振兴政策。</w:t>
      </w:r>
      <w:r>
        <w:rPr>
          <w:rFonts w:asciiTheme="minorEastAsia" w:hAnsiTheme="minorEastAsia" w:eastAsiaTheme="minorEastAsia"/>
          <w:color w:val="000000"/>
          <w:sz w:val="30"/>
          <w:szCs w:val="30"/>
        </w:rPr>
        <w:t>截止目前，统计局</w:t>
      </w:r>
      <w:r>
        <w:rPr>
          <w:rFonts w:hint="eastAsia" w:asciiTheme="minorEastAsia" w:hAnsiTheme="minorEastAsia" w:eastAsiaTheme="minorEastAsia"/>
          <w:color w:val="000000"/>
          <w:sz w:val="30"/>
          <w:szCs w:val="30"/>
        </w:rPr>
        <w:t>全体干部职工每人进村入户走访至少6次，电话访问12次以上，及时了解掌握结对村的动态信息和村民的个人信息，做到精准定位帮扶。</w:t>
      </w:r>
    </w:p>
    <w:p>
      <w:pPr>
        <w:spacing w:line="580" w:lineRule="exact"/>
        <w:ind w:right="640" w:firstLine="602" w:firstLineChars="200"/>
        <w:textAlignment w:val="auto"/>
        <w:rPr>
          <w:rFonts w:asciiTheme="minorEastAsia" w:hAnsiTheme="minorEastAsia" w:eastAsiaTheme="minorEastAsia"/>
          <w:b/>
          <w:color w:val="000000"/>
          <w:sz w:val="30"/>
          <w:szCs w:val="30"/>
        </w:rPr>
      </w:pPr>
      <w:r>
        <w:rPr>
          <w:rFonts w:hint="eastAsia" w:asciiTheme="minorEastAsia" w:hAnsiTheme="minorEastAsia" w:eastAsiaTheme="minorEastAsia"/>
          <w:b/>
          <w:color w:val="000000"/>
          <w:sz w:val="30"/>
          <w:szCs w:val="30"/>
        </w:rPr>
        <w:t>九、加大统计法律宣传力度</w:t>
      </w:r>
    </w:p>
    <w:p>
      <w:pPr>
        <w:widowControl/>
        <w:spacing w:line="580" w:lineRule="exact"/>
        <w:ind w:firstLine="600" w:firstLineChars="200"/>
        <w:textAlignment w:val="auto"/>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统计法制建设不断加强。不断加大统计法律法规学习宣传教育，分专业分批次对乡镇统计人员，联网直报企业和县直有关部门统计人员进行了集中培训；将统计法律纳入县委党校科级干部培训班培训内容，有效提高了领导干部依法统计意识。坚持开展统计执法检查工作，加大对统计违法违纪行为的查处力度，确保源头数据质量，统计法制建设日益发展，统计外部环境日益改善。</w:t>
      </w: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三、存在的问题及原因</w:t>
      </w:r>
    </w:p>
    <w:p>
      <w:pPr>
        <w:spacing w:line="70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当前影响财政资金使用绩效的问题</w:t>
      </w:r>
      <w:r>
        <w:rPr>
          <w:rFonts w:hint="eastAsia" w:asciiTheme="minorEastAsia" w:hAnsiTheme="minorEastAsia" w:eastAsiaTheme="minorEastAsia"/>
          <w:sz w:val="30"/>
          <w:szCs w:val="30"/>
        </w:rPr>
        <w:t>及原因：</w:t>
      </w:r>
    </w:p>
    <w:p>
      <w:pPr>
        <w:spacing w:line="7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1、</w:t>
      </w:r>
      <w:r>
        <w:rPr>
          <w:rFonts w:hint="eastAsia" w:asciiTheme="minorEastAsia" w:hAnsiTheme="minorEastAsia" w:eastAsiaTheme="minorEastAsia"/>
          <w:color w:val="121212"/>
          <w:sz w:val="30"/>
          <w:szCs w:val="30"/>
          <w:shd w:val="clear" w:color="auto" w:fill="FFFFFF"/>
        </w:rPr>
        <w:t>绩效理念尚未完全形成，思想认识不一致</w:t>
      </w:r>
    </w:p>
    <w:p>
      <w:pPr>
        <w:spacing w:line="700" w:lineRule="exact"/>
        <w:ind w:firstLine="600" w:firstLineChars="200"/>
        <w:jc w:val="left"/>
        <w:rPr>
          <w:rFonts w:asciiTheme="minorEastAsia" w:hAnsiTheme="minorEastAsia" w:eastAsiaTheme="minorEastAsia"/>
          <w:color w:val="121212"/>
          <w:sz w:val="30"/>
          <w:szCs w:val="30"/>
          <w:shd w:val="clear" w:color="auto" w:fill="FFFFFF"/>
        </w:rPr>
      </w:pPr>
      <w:r>
        <w:rPr>
          <w:rFonts w:hint="eastAsia" w:asciiTheme="minorEastAsia" w:hAnsiTheme="minorEastAsia" w:eastAsiaTheme="minorEastAsia"/>
          <w:color w:val="121212"/>
          <w:sz w:val="30"/>
          <w:szCs w:val="30"/>
          <w:shd w:val="clear" w:color="auto" w:fill="FFFFFF"/>
        </w:rPr>
        <w:t>财政资金本身错综复杂的利益关系，增加了对绩效评价工作认识的错综复杂性。财政部门、项目管理单位及项目执行单位的理解和把握就有较大的差距，从不同方面削弱了绩效评价工作的地位和作用。绩效评价主要以了解项目进展情况、财政资金使用情况进行监督检查为主，或多或少地涉及了评价绩效的内容，还没有成为真正意义上的财政资金绩效评价。全社会对绩效评价的认识还有一个过程，传统的、固有的观念给绩效评价工作带来相当大的阻力。</w:t>
      </w:r>
    </w:p>
    <w:p>
      <w:pPr>
        <w:spacing w:line="700" w:lineRule="exact"/>
        <w:ind w:firstLine="600" w:firstLineChars="200"/>
        <w:jc w:val="left"/>
        <w:rPr>
          <w:rFonts w:asciiTheme="minorEastAsia" w:hAnsiTheme="minorEastAsia" w:eastAsiaTheme="minorEastAsia"/>
          <w:color w:val="121212"/>
          <w:sz w:val="30"/>
          <w:szCs w:val="30"/>
          <w:shd w:val="clear" w:color="auto" w:fill="FFFFFF"/>
        </w:rPr>
      </w:pPr>
      <w:r>
        <w:rPr>
          <w:rFonts w:hint="eastAsia" w:asciiTheme="minorEastAsia" w:hAnsiTheme="minorEastAsia" w:eastAsiaTheme="minorEastAsia"/>
          <w:color w:val="121212"/>
          <w:sz w:val="30"/>
          <w:szCs w:val="30"/>
          <w:shd w:val="clear" w:color="auto" w:fill="FFFFFF"/>
        </w:rPr>
        <w:t>2、绩效评价工作缺乏法律性约束和制度保障</w:t>
      </w:r>
    </w:p>
    <w:p>
      <w:pPr>
        <w:spacing w:line="70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color w:val="121212"/>
          <w:sz w:val="30"/>
          <w:szCs w:val="30"/>
          <w:shd w:val="clear" w:color="auto" w:fill="FFFFFF"/>
        </w:rPr>
        <w:t>财政资金绩效评价工作要取得实效，必须得到立法支持，而且要制度化、经常化。而我国公共投资部门虽然也提出要完善项目投资决策程序，对国家重点投资项目要从立项决策、竣工验收直到财政资金绩效评价，实行全过程管理，但迄今尚未出台全国统一的有关财政资金绩效评价工作的法律法规，使我国财政资金绩效评价工作缺乏法律约束和制度保障。</w:t>
      </w: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四、提高财政资金绩效的措施与建议</w:t>
      </w: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针对存在的问题及有关情况，提出下一步提高</w:t>
      </w:r>
      <w:r>
        <w:rPr>
          <w:rFonts w:hint="eastAsia" w:asciiTheme="minorEastAsia" w:hAnsiTheme="minorEastAsia" w:eastAsiaTheme="minorEastAsia"/>
          <w:sz w:val="30"/>
          <w:szCs w:val="30"/>
        </w:rPr>
        <w:t>本单位</w:t>
      </w:r>
      <w:r>
        <w:rPr>
          <w:rFonts w:asciiTheme="minorEastAsia" w:hAnsiTheme="minorEastAsia" w:eastAsiaTheme="minorEastAsia"/>
          <w:sz w:val="30"/>
          <w:szCs w:val="30"/>
        </w:rPr>
        <w:t>财政资金使用绩效的措施与建议</w:t>
      </w:r>
      <w:r>
        <w:rPr>
          <w:rFonts w:hint="eastAsia" w:asciiTheme="minorEastAsia" w:hAnsiTheme="minorEastAsia" w:eastAsiaTheme="minorEastAsia"/>
          <w:sz w:val="30"/>
          <w:szCs w:val="30"/>
        </w:rPr>
        <w:t>：建立健全的财政支出绩效评价体系。进行财政支出绩效评价，最终目的是为了提高财政支出效益，因此财政支出绩效评价体系还必须包括绩效评价信息反馈制度、激励机制和奖惩制度等内容。一方面通过绩效评价信息反馈制度及时了解各项目的实施情况和实施效果；另一方面通过建立激励机制和奖惩制度，改变现行预算制度只重视资金分配、不重视资金使用的状况。首先，把对项目预期目标的绩效评价结果作为预算编制和批复的重要依据，从源头上控制没有绩效和低绩效的项目；其次，实现财政预算管理上的两个转变，即预算拨款由传统的按预算拨款转为按绩效拨款，从过去对预算的重过程管理转变为重结果管理；第三，将本年度绩效评价的结果作为下年度预算安排的重要依据。</w:t>
      </w: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五、附件（佐证依据）</w:t>
      </w:r>
    </w:p>
    <w:p>
      <w:pPr>
        <w:spacing w:line="560" w:lineRule="exact"/>
        <w:ind w:firstLine="600" w:firstLineChars="200"/>
        <w:jc w:val="left"/>
        <w:rPr>
          <w:rFonts w:asciiTheme="minorEastAsia" w:hAnsiTheme="minorEastAsia" w:eastAsiaTheme="minorEastAsia"/>
          <w:sz w:val="30"/>
          <w:szCs w:val="30"/>
        </w:rPr>
      </w:pPr>
      <w:r>
        <w:rPr>
          <w:rFonts w:hint="eastAsia" w:asciiTheme="minorEastAsia" w:hAnsiTheme="minorEastAsia" w:eastAsiaTheme="minorEastAsia"/>
          <w:sz w:val="30"/>
          <w:szCs w:val="30"/>
        </w:rPr>
        <w:t>此项附件无。</w:t>
      </w:r>
    </w:p>
    <w:p>
      <w:pPr>
        <w:spacing w:line="560" w:lineRule="exact"/>
        <w:ind w:firstLine="600" w:firstLineChars="200"/>
        <w:jc w:val="left"/>
        <w:rPr>
          <w:rFonts w:asciiTheme="minorEastAsia" w:hAnsiTheme="minorEastAsia" w:eastAsiaTheme="minorEastAsia"/>
          <w:sz w:val="30"/>
          <w:szCs w:val="30"/>
        </w:rPr>
      </w:pPr>
    </w:p>
    <w:p>
      <w:pPr>
        <w:spacing w:line="560" w:lineRule="exact"/>
        <w:ind w:firstLine="600" w:firstLineChars="200"/>
        <w:jc w:val="left"/>
        <w:rPr>
          <w:rFonts w:asciiTheme="minorEastAsia" w:hAnsiTheme="minorEastAsia" w:eastAsiaTheme="minorEastAsia"/>
          <w:sz w:val="30"/>
          <w:szCs w:val="30"/>
        </w:rPr>
      </w:pPr>
    </w:p>
    <w:p>
      <w:pPr>
        <w:spacing w:line="560" w:lineRule="exact"/>
        <w:ind w:firstLine="600" w:firstLineChars="200"/>
        <w:jc w:val="left"/>
        <w:rPr>
          <w:rFonts w:asciiTheme="minorEastAsia" w:hAnsiTheme="minorEastAsia" w:eastAsiaTheme="minorEastAsia"/>
          <w:sz w:val="30"/>
          <w:szCs w:val="30"/>
        </w:rPr>
      </w:pPr>
    </w:p>
    <w:p>
      <w:pPr>
        <w:spacing w:line="560" w:lineRule="exact"/>
        <w:ind w:firstLine="600" w:firstLineChars="200"/>
        <w:jc w:val="left"/>
        <w:rPr>
          <w:rFonts w:asciiTheme="minorEastAsia" w:hAnsiTheme="minorEastAsia" w:eastAsiaTheme="minorEastAsia"/>
          <w:sz w:val="30"/>
          <w:szCs w:val="30"/>
        </w:rPr>
      </w:pPr>
    </w:p>
    <w:p>
      <w:pPr>
        <w:spacing w:line="560" w:lineRule="exact"/>
        <w:ind w:firstLine="600" w:firstLineChars="200"/>
        <w:jc w:val="left"/>
        <w:rPr>
          <w:rFonts w:asciiTheme="minorEastAsia" w:hAnsiTheme="minorEastAsia" w:eastAsiaTheme="minorEastAsia"/>
          <w:sz w:val="30"/>
          <w:szCs w:val="30"/>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部门（签章）</w:t>
      </w:r>
    </w:p>
    <w:p>
      <w:pPr>
        <w:spacing w:before="100" w:beforeAutospacing="1" w:after="100" w:afterAutospacing="1" w:line="240" w:lineRule="exact"/>
        <w:jc w:val="left"/>
        <w:rPr>
          <w:rFonts w:ascii="仿宋_GB2312" w:hAnsi="仿宋_GB2312" w:eastAsia="仿宋_GB2312" w:cs="仿宋_GB2312"/>
          <w:sz w:val="24"/>
        </w:rPr>
      </w:pP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年 月 日</w:t>
      </w:r>
      <w:r>
        <w:rPr>
          <w:sz w:val="24"/>
        </w:rPr>
        <w:br w:type="page"/>
      </w:r>
      <w:r>
        <w:rPr>
          <w:rFonts w:hint="eastAsia" w:ascii="仿宋_GB2312" w:hAnsi="仿宋_GB2312" w:eastAsia="仿宋_GB2312" w:cs="仿宋_GB2312"/>
          <w:sz w:val="24"/>
        </w:rPr>
        <w:t>附件2-1</w:t>
      </w:r>
    </w:p>
    <w:p>
      <w:pPr>
        <w:spacing w:line="480" w:lineRule="exact"/>
        <w:jc w:val="center"/>
        <w:rPr>
          <w:rFonts w:eastAsia="方正粗宋简体"/>
          <w:w w:val="85"/>
          <w:sz w:val="44"/>
          <w:szCs w:val="44"/>
        </w:rPr>
      </w:pPr>
      <w:r>
        <w:rPr>
          <w:rFonts w:eastAsia="方正粗宋简体"/>
          <w:w w:val="85"/>
          <w:sz w:val="44"/>
          <w:szCs w:val="44"/>
        </w:rPr>
        <w:t>202</w:t>
      </w:r>
      <w:r>
        <w:rPr>
          <w:rFonts w:hint="eastAsia" w:eastAsia="方正粗宋简体"/>
          <w:w w:val="85"/>
          <w:sz w:val="44"/>
          <w:szCs w:val="44"/>
        </w:rPr>
        <w:t>1</w:t>
      </w:r>
      <w:r>
        <w:rPr>
          <w:rFonts w:hAnsi="方正粗宋简体" w:eastAsia="方正粗宋简体"/>
          <w:w w:val="85"/>
          <w:sz w:val="44"/>
          <w:szCs w:val="44"/>
        </w:rPr>
        <w:t>年度新晃县项目</w:t>
      </w:r>
      <w:r>
        <w:rPr>
          <w:rFonts w:hint="eastAsia" w:hAnsi="方正粗宋简体" w:eastAsia="方正粗宋简体"/>
          <w:w w:val="85"/>
          <w:sz w:val="44"/>
          <w:szCs w:val="44"/>
        </w:rPr>
        <w:t>支出</w:t>
      </w:r>
      <w:r>
        <w:rPr>
          <w:rFonts w:hAnsi="方正粗宋简体" w:eastAsia="方正粗宋简体"/>
          <w:w w:val="85"/>
          <w:sz w:val="44"/>
          <w:szCs w:val="44"/>
        </w:rPr>
        <w:t>绩效</w:t>
      </w:r>
      <w:r>
        <w:rPr>
          <w:rFonts w:hint="eastAsia" w:hAnsi="方正粗宋简体" w:eastAsia="方正粗宋简体"/>
          <w:w w:val="85"/>
          <w:sz w:val="44"/>
          <w:szCs w:val="44"/>
        </w:rPr>
        <w:t>自评</w:t>
      </w:r>
      <w:r>
        <w:rPr>
          <w:rFonts w:hAnsi="方正粗宋简体" w:eastAsia="方正粗宋简体"/>
          <w:w w:val="85"/>
          <w:sz w:val="44"/>
          <w:szCs w:val="44"/>
        </w:rPr>
        <w:t>表</w:t>
      </w:r>
    </w:p>
    <w:p>
      <w:pPr>
        <w:spacing w:beforeLines="50" w:line="240" w:lineRule="exact"/>
        <w:ind w:firstLine="482"/>
        <w:jc w:val="center"/>
        <w:rPr>
          <w:rFonts w:eastAsia="仿宋_GB2312"/>
          <w:szCs w:val="21"/>
        </w:rPr>
      </w:pPr>
      <w:r>
        <w:rPr>
          <w:sz w:val="24"/>
        </w:rPr>
        <w:t xml:space="preserve">                                                  </w:t>
      </w:r>
      <w:r>
        <w:rPr>
          <w:rFonts w:eastAsia="仿宋_GB2312"/>
          <w:szCs w:val="21"/>
        </w:rPr>
        <w:t>金额单位：万元</w:t>
      </w:r>
    </w:p>
    <w:tbl>
      <w:tblPr>
        <w:tblStyle w:val="5"/>
        <w:tblpPr w:leftFromText="180" w:rightFromText="180" w:vertAnchor="text" w:horzAnchor="page" w:tblpX="1195" w:tblpY="107"/>
        <w:tblOverlap w:val="never"/>
        <w:tblW w:w="988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1143"/>
        <w:gridCol w:w="1800"/>
        <w:gridCol w:w="1628"/>
        <w:gridCol w:w="1097"/>
        <w:gridCol w:w="1206"/>
        <w:gridCol w:w="83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项目单位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名称</w:t>
            </w:r>
          </w:p>
        </w:tc>
        <w:tc>
          <w:tcPr>
            <w:tcW w:w="2943" w:type="dxa"/>
            <w:gridSpan w:val="2"/>
            <w:tcMar>
              <w:top w:w="0" w:type="dxa"/>
              <w:left w:w="105" w:type="dxa"/>
              <w:bottom w:w="0" w:type="dxa"/>
              <w:right w:w="105" w:type="dxa"/>
            </w:tcMar>
            <w:vAlign w:val="center"/>
          </w:tcPr>
          <w:p>
            <w:pPr>
              <w:spacing w:line="320" w:lineRule="exact"/>
              <w:ind w:left="0" w:firstLine="400" w:firstLineChars="200"/>
              <w:rPr>
                <w:rFonts w:ascii="仿宋_GB2312" w:hAnsi="仿宋_GB2312" w:eastAsia="仿宋_GB2312" w:cs="仿宋_GB2312"/>
                <w:szCs w:val="21"/>
              </w:rPr>
            </w:pPr>
            <w:r>
              <w:rPr>
                <w:rFonts w:hint="eastAsia" w:ascii="仿宋_GB2312" w:hAnsi="仿宋_GB2312" w:eastAsia="仿宋_GB2312" w:cs="仿宋_GB2312"/>
                <w:szCs w:val="21"/>
              </w:rPr>
              <w:t>（盖章）</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4005"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城乡住户收支与生活状况调查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责任部门</w:t>
            </w:r>
          </w:p>
        </w:tc>
        <w:tc>
          <w:tcPr>
            <w:tcW w:w="2943" w:type="dxa"/>
            <w:gridSpan w:val="2"/>
            <w:tcMar>
              <w:top w:w="0" w:type="dxa"/>
              <w:left w:w="105" w:type="dxa"/>
              <w:bottom w:w="0" w:type="dxa"/>
              <w:right w:w="105" w:type="dxa"/>
            </w:tcMar>
            <w:vAlign w:val="center"/>
          </w:tcPr>
          <w:p>
            <w:pPr>
              <w:spacing w:line="320" w:lineRule="exact"/>
              <w:ind w:left="0"/>
              <w:rPr>
                <w:rFonts w:ascii="仿宋_GB2312" w:hAnsi="仿宋_GB2312" w:eastAsia="仿宋_GB2312" w:cs="仿宋_GB2312"/>
                <w:szCs w:val="21"/>
              </w:rPr>
            </w:pPr>
            <w:r>
              <w:rPr>
                <w:rFonts w:hint="eastAsia" w:ascii="仿宋_GB2312" w:hAnsi="仿宋_GB2312" w:eastAsia="仿宋_GB2312" w:cs="仿宋_GB2312"/>
                <w:szCs w:val="21"/>
              </w:rPr>
              <w:t>新晃县统计局</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项目负责人</w:t>
            </w:r>
          </w:p>
        </w:tc>
        <w:tc>
          <w:tcPr>
            <w:tcW w:w="1097"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杨蓉</w:t>
            </w:r>
          </w:p>
        </w:tc>
        <w:tc>
          <w:tcPr>
            <w:tcW w:w="1206"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15874595789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trPr>
        <w:tc>
          <w:tcPr>
            <w:tcW w:w="1312" w:type="dxa"/>
            <w:vMerge w:val="restart"/>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项目资金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基本情况</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上年结转</w:t>
            </w: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年初预算安排数</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预算调整数</w:t>
            </w: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全年执行数</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tblCellSpacing w:w="0" w:type="dxa"/>
        </w:trPr>
        <w:tc>
          <w:tcPr>
            <w:tcW w:w="1312" w:type="dxa"/>
            <w:vMerge w:val="continue"/>
            <w:vAlign w:val="center"/>
          </w:tcPr>
          <w:p>
            <w:pPr>
              <w:spacing w:line="320" w:lineRule="exact"/>
              <w:jc w:val="center"/>
              <w:rPr>
                <w:rFonts w:ascii="仿宋_GB2312" w:hAnsi="仿宋_GB2312" w:eastAsia="仿宋_GB2312" w:cs="仿宋_GB2312"/>
                <w:szCs w:val="21"/>
              </w:rPr>
            </w:pP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180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60</w:t>
            </w:r>
          </w:p>
        </w:tc>
        <w:tc>
          <w:tcPr>
            <w:tcW w:w="1628"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2303"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12.94</w:t>
            </w:r>
          </w:p>
        </w:tc>
        <w:tc>
          <w:tcPr>
            <w:tcW w:w="1702" w:type="dxa"/>
            <w:gridSpan w:val="2"/>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评价内容</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分值</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评价简述</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单位自评得分</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财政复</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项目预算及预期绩效目标编制水平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例如：本项目预算（即投入目标）编制科学、规范、合理，预期绩效目标申报完整，产出、效果类关键性指标清晰、明确、量化，投入与项目产出、效果目标匹配。</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例如：该项目预算执行率为*%。根据实际情况评分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项目组织管理水平</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例如：本项目建立了**等项目管理制度，并严格按相关制度执行。</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资金支出</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合理合规</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例如：本年项目支出符合国家相关法律法规、财务管理制度等规定，且均在预算范围内，无与本项目预算不相符或无关的资金支出。</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项目产出</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对照项目产出目标，按产出数量、产出质量、产出时效以及成本控制等方面进行自我评价。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项目效益（效果）</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对照项目效益目标，可从经济效益、社会效益、环境效益和可持续影响及服务对象满意度等5个具体绩效指标进行评价。</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服务对象满意度计分：90%≤满意度≤100%记10分，80%≤满意度&lt;90%记8分，70%≤满意度&lt;80%   记6分，</w:t>
            </w:r>
          </w:p>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60%≤满意度&lt;70%记4分，满意度&lt;60%记0分。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小计</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86</w:t>
            </w: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blCellSpacing w:w="0" w:type="dxa"/>
        </w:trPr>
        <w:tc>
          <w:tcPr>
            <w:tcW w:w="1312"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负向指标</w:t>
            </w:r>
          </w:p>
        </w:tc>
        <w:tc>
          <w:tcPr>
            <w:tcW w:w="1143" w:type="dxa"/>
            <w:tcMar>
              <w:top w:w="0" w:type="dxa"/>
              <w:left w:w="105" w:type="dxa"/>
              <w:bottom w:w="0" w:type="dxa"/>
              <w:right w:w="105" w:type="dxa"/>
            </w:tcMar>
            <w:vAlign w:val="center"/>
          </w:tcPr>
          <w:p>
            <w:pPr>
              <w:spacing w:line="300" w:lineRule="exact"/>
              <w:jc w:val="center"/>
              <w:rPr>
                <w:rFonts w:ascii="仿宋_GB2312" w:hAnsi="仿宋_GB2312" w:eastAsia="仿宋_GB2312" w:cs="仿宋_GB2312"/>
                <w:szCs w:val="21"/>
              </w:rPr>
            </w:pPr>
          </w:p>
        </w:tc>
        <w:tc>
          <w:tcPr>
            <w:tcW w:w="5731" w:type="dxa"/>
            <w:gridSpan w:val="4"/>
            <w:tcMar>
              <w:top w:w="0" w:type="dxa"/>
              <w:left w:w="105" w:type="dxa"/>
              <w:bottom w:w="0" w:type="dxa"/>
              <w:right w:w="105" w:type="dxa"/>
            </w:tcMar>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主要评价自评得分与复评得分差异率。差异率≤10%，不扣分；10%&lt;差异率≤15%，扣2分；15%&lt;差异率≤20%，扣4分；差异率&gt;20%，扣6分。</w:t>
            </w: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5731" w:type="dxa"/>
            <w:gridSpan w:val="4"/>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3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870"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blCellSpacing w:w="0" w:type="dxa"/>
        </w:trPr>
        <w:tc>
          <w:tcPr>
            <w:tcW w:w="1312"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评价结果</w:t>
            </w:r>
          </w:p>
        </w:tc>
        <w:tc>
          <w:tcPr>
            <w:tcW w:w="1143" w:type="dxa"/>
            <w:tcMar>
              <w:top w:w="0" w:type="dxa"/>
              <w:left w:w="105" w:type="dxa"/>
              <w:bottom w:w="0" w:type="dxa"/>
              <w:right w:w="105" w:type="dxa"/>
            </w:tcMar>
            <w:vAlign w:val="center"/>
          </w:tcPr>
          <w:p>
            <w:pPr>
              <w:spacing w:line="320" w:lineRule="exact"/>
              <w:jc w:val="center"/>
              <w:rPr>
                <w:rFonts w:ascii="仿宋_GB2312" w:hAnsi="仿宋_GB2312" w:eastAsia="仿宋_GB2312" w:cs="仿宋_GB2312"/>
                <w:szCs w:val="21"/>
              </w:rPr>
            </w:pPr>
          </w:p>
        </w:tc>
        <w:tc>
          <w:tcPr>
            <w:tcW w:w="7433" w:type="dxa"/>
            <w:gridSpan w:val="6"/>
            <w:tcMar>
              <w:top w:w="0" w:type="dxa"/>
              <w:left w:w="105" w:type="dxa"/>
              <w:bottom w:w="0" w:type="dxa"/>
              <w:right w:w="105" w:type="dxa"/>
            </w:tcMar>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 优秀  90分≤得分≤100分；    □ 良好  </w:t>
            </w:r>
            <w:r>
              <w:rPr>
                <w:rFonts w:ascii="仿宋_GB2312" w:hAnsi="仿宋_GB2312" w:eastAsia="仿宋_GB2312" w:cs="仿宋_GB2312"/>
                <w:szCs w:val="21"/>
              </w:rPr>
              <w:t>80</w:t>
            </w:r>
            <w:r>
              <w:rPr>
                <w:rFonts w:hint="eastAsia" w:ascii="仿宋_GB2312" w:hAnsi="仿宋_GB2312" w:eastAsia="仿宋_GB2312" w:cs="仿宋_GB2312"/>
                <w:szCs w:val="21"/>
              </w:rPr>
              <w:t>分≤得分＜90分；</w:t>
            </w:r>
          </w:p>
          <w:p>
            <w:pPr>
              <w:spacing w:line="320" w:lineRule="exact"/>
              <w:rPr>
                <w:rFonts w:ascii="仿宋_GB2312" w:hAnsi="仿宋_GB2312" w:eastAsia="仿宋_GB2312" w:cs="仿宋_GB2312"/>
                <w:szCs w:val="21"/>
              </w:rPr>
            </w:pPr>
            <w:r>
              <w:rPr>
                <w:rFonts w:hint="eastAsia" w:ascii="仿宋_GB2312" w:hAnsi="仿宋_GB2312" w:eastAsia="仿宋_GB2312" w:cs="仿宋_GB2312"/>
                <w:szCs w:val="21"/>
              </w:rPr>
              <w:t>□ 较差   60分≤得分＜</w:t>
            </w:r>
            <w:r>
              <w:rPr>
                <w:rFonts w:ascii="仿宋_GB2312" w:hAnsi="仿宋_GB2312" w:eastAsia="仿宋_GB2312" w:cs="仿宋_GB2312"/>
                <w:szCs w:val="21"/>
              </w:rPr>
              <w:t>80</w:t>
            </w:r>
            <w:r>
              <w:rPr>
                <w:rFonts w:hint="eastAsia" w:ascii="仿宋_GB2312" w:hAnsi="仿宋_GB2312" w:eastAsia="仿宋_GB2312" w:cs="仿宋_GB2312"/>
                <w:szCs w:val="21"/>
              </w:rPr>
              <w:t>分；    □ 差    得分＜60分</w:t>
            </w:r>
          </w:p>
        </w:tc>
      </w:tr>
    </w:tbl>
    <w:p>
      <w:pPr>
        <w:spacing w:line="320" w:lineRule="exact"/>
        <w:ind w:left="0"/>
        <w:jc w:val="left"/>
        <w:rPr>
          <w:rFonts w:ascii="华文中宋" w:hAnsi="华文中宋" w:eastAsia="华文中宋"/>
          <w:sz w:val="8"/>
          <w:szCs w:val="10"/>
        </w:rPr>
      </w:pPr>
    </w:p>
    <w:p>
      <w:pPr>
        <w:spacing w:line="320" w:lineRule="exact"/>
        <w:ind w:left="0"/>
        <w:jc w:val="left"/>
        <w:rPr>
          <w:rFonts w:ascii="华文中宋" w:hAnsi="华文中宋" w:eastAsia="华文中宋"/>
          <w:szCs w:val="21"/>
        </w:rPr>
      </w:pPr>
      <w:r>
        <w:rPr>
          <w:rFonts w:ascii="华文中宋" w:hAnsi="华文中宋" w:eastAsia="华文中宋"/>
          <w:szCs w:val="21"/>
        </w:rPr>
        <w:t xml:space="preserve">单位负责人（签字）：  </w:t>
      </w:r>
      <w:r>
        <w:rPr>
          <w:rFonts w:hint="eastAsia" w:ascii="华文中宋" w:hAnsi="华文中宋" w:eastAsia="华文中宋"/>
          <w:szCs w:val="21"/>
        </w:rPr>
        <w:t xml:space="preserve">   </w:t>
      </w:r>
      <w:r>
        <w:rPr>
          <w:rFonts w:ascii="华文中宋" w:hAnsi="华文中宋" w:eastAsia="华文中宋"/>
          <w:szCs w:val="21"/>
        </w:rPr>
        <w:t xml:space="preserve">       项目负责人（签字）： </w:t>
      </w:r>
      <w:r>
        <w:rPr>
          <w:rFonts w:hint="eastAsia" w:ascii="华文中宋" w:hAnsi="华文中宋" w:eastAsia="华文中宋"/>
          <w:szCs w:val="21"/>
        </w:rPr>
        <w:t xml:space="preserve">     </w:t>
      </w:r>
      <w:r>
        <w:rPr>
          <w:rFonts w:ascii="华文中宋" w:hAnsi="华文中宋" w:eastAsia="华文中宋"/>
          <w:szCs w:val="21"/>
        </w:rPr>
        <w:t>填表日期：</w:t>
      </w:r>
      <w:r>
        <w:rPr>
          <w:rFonts w:hint="eastAsia" w:ascii="华文中宋" w:hAnsi="华文中宋" w:eastAsia="华文中宋"/>
          <w:szCs w:val="21"/>
        </w:rPr>
        <w:t xml:space="preserve">2022 </w:t>
      </w:r>
      <w:r>
        <w:rPr>
          <w:rFonts w:ascii="华文中宋" w:hAnsi="华文中宋" w:eastAsia="华文中宋"/>
          <w:szCs w:val="21"/>
        </w:rPr>
        <w:t>年</w:t>
      </w:r>
      <w:r>
        <w:rPr>
          <w:rFonts w:hint="eastAsia" w:ascii="华文中宋" w:hAnsi="华文中宋" w:eastAsia="华文中宋"/>
          <w:szCs w:val="21"/>
        </w:rPr>
        <w:t>5</w:t>
      </w:r>
      <w:r>
        <w:rPr>
          <w:rFonts w:ascii="华文中宋" w:hAnsi="华文中宋" w:eastAsia="华文中宋"/>
          <w:szCs w:val="21"/>
        </w:rPr>
        <w:t xml:space="preserve"> 月</w:t>
      </w:r>
      <w:r>
        <w:rPr>
          <w:rFonts w:hint="eastAsia" w:ascii="华文中宋" w:hAnsi="华文中宋" w:eastAsia="华文中宋"/>
          <w:szCs w:val="21"/>
        </w:rPr>
        <w:t>24</w:t>
      </w:r>
      <w:r>
        <w:rPr>
          <w:rFonts w:ascii="华文中宋" w:hAnsi="华文中宋" w:eastAsia="华文中宋"/>
          <w:szCs w:val="21"/>
        </w:rPr>
        <w:t>日</w:t>
      </w:r>
    </w:p>
    <w:p>
      <w:pPr>
        <w:spacing w:before="240" w:line="340" w:lineRule="exact"/>
        <w:jc w:val="left"/>
        <w:rPr>
          <w:rFonts w:asciiTheme="minorEastAsia" w:hAnsiTheme="minorEastAsia" w:eastAsiaTheme="minorEastAsia"/>
          <w:sz w:val="28"/>
          <w:szCs w:val="28"/>
        </w:rPr>
      </w:pPr>
      <w:r>
        <w:rPr>
          <w:rFonts w:hAnsi="方正粗宋简体" w:eastAsia="方正粗宋简体"/>
          <w:sz w:val="44"/>
          <w:szCs w:val="44"/>
        </w:rPr>
        <w:br w:type="page"/>
      </w:r>
      <w:r>
        <w:rPr>
          <w:rFonts w:hint="eastAsia" w:cs="仿宋_GB2312" w:asciiTheme="minorEastAsia" w:hAnsiTheme="minorEastAsia" w:eastAsiaTheme="minorEastAsia"/>
          <w:sz w:val="28"/>
          <w:szCs w:val="28"/>
        </w:rPr>
        <w:t>附件2-3 </w:t>
      </w:r>
    </w:p>
    <w:p>
      <w:pPr>
        <w:spacing w:line="600" w:lineRule="exact"/>
        <w:jc w:val="center"/>
        <w:rPr>
          <w:rFonts w:asciiTheme="minorEastAsia" w:hAnsiTheme="minorEastAsia" w:eastAsiaTheme="minorEastAsia"/>
          <w:w w:val="85"/>
          <w:sz w:val="44"/>
          <w:szCs w:val="44"/>
        </w:rPr>
      </w:pPr>
      <w:r>
        <w:rPr>
          <w:rFonts w:asciiTheme="minorEastAsia" w:hAnsiTheme="minorEastAsia" w:eastAsiaTheme="minorEastAsia"/>
          <w:w w:val="85"/>
          <w:sz w:val="44"/>
          <w:szCs w:val="44"/>
        </w:rPr>
        <w:t> 202</w:t>
      </w:r>
      <w:r>
        <w:rPr>
          <w:rFonts w:hint="eastAsia" w:asciiTheme="minorEastAsia" w:hAnsiTheme="minorEastAsia" w:eastAsiaTheme="minorEastAsia"/>
          <w:w w:val="85"/>
          <w:sz w:val="44"/>
          <w:szCs w:val="44"/>
        </w:rPr>
        <w:t>1</w:t>
      </w:r>
      <w:r>
        <w:rPr>
          <w:rFonts w:asciiTheme="minorEastAsia" w:hAnsiTheme="minorEastAsia" w:eastAsiaTheme="minorEastAsia"/>
          <w:w w:val="85"/>
          <w:sz w:val="44"/>
          <w:szCs w:val="44"/>
        </w:rPr>
        <w:t>年度新晃县</w:t>
      </w:r>
      <w:r>
        <w:rPr>
          <w:rFonts w:hint="eastAsia" w:asciiTheme="minorEastAsia" w:hAnsiTheme="minorEastAsia" w:eastAsiaTheme="minorEastAsia"/>
          <w:w w:val="85"/>
          <w:sz w:val="44"/>
          <w:szCs w:val="44"/>
        </w:rPr>
        <w:t>项目</w:t>
      </w:r>
      <w:r>
        <w:rPr>
          <w:rFonts w:asciiTheme="minorEastAsia" w:hAnsiTheme="minorEastAsia" w:eastAsiaTheme="minorEastAsia"/>
          <w:w w:val="85"/>
          <w:sz w:val="44"/>
          <w:szCs w:val="44"/>
        </w:rPr>
        <w:t>支出</w:t>
      </w:r>
      <w:r>
        <w:rPr>
          <w:rFonts w:hint="eastAsia" w:asciiTheme="minorEastAsia" w:hAnsiTheme="minorEastAsia" w:eastAsiaTheme="minorEastAsia"/>
          <w:w w:val="85"/>
          <w:sz w:val="44"/>
          <w:szCs w:val="44"/>
        </w:rPr>
        <w:t>绩效</w:t>
      </w:r>
      <w:r>
        <w:rPr>
          <w:rFonts w:asciiTheme="minorEastAsia" w:hAnsiTheme="minorEastAsia" w:eastAsiaTheme="minorEastAsia"/>
          <w:w w:val="85"/>
          <w:sz w:val="44"/>
          <w:szCs w:val="44"/>
        </w:rPr>
        <w:t>自评报告</w:t>
      </w: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一、基本情况</w:t>
      </w:r>
    </w:p>
    <w:p>
      <w:pPr>
        <w:widowControl/>
        <w:spacing w:line="580" w:lineRule="exact"/>
        <w:ind w:firstLine="560" w:firstLineChars="200"/>
        <w:jc w:val="left"/>
        <w:rPr>
          <w:rFonts w:cs="仿宋" w:asciiTheme="minorEastAsia" w:hAnsiTheme="minorEastAsia" w:eastAsiaTheme="minorEastAsia"/>
          <w:sz w:val="28"/>
          <w:szCs w:val="28"/>
        </w:rPr>
      </w:pPr>
      <w:r>
        <w:rPr>
          <w:rFonts w:hint="eastAsia" w:asciiTheme="minorEastAsia" w:hAnsiTheme="minorEastAsia" w:eastAsiaTheme="minorEastAsia"/>
          <w:sz w:val="28"/>
          <w:szCs w:val="28"/>
        </w:rPr>
        <w:t>（一）项目概况。</w:t>
      </w:r>
      <w:r>
        <w:rPr>
          <w:rFonts w:hint="eastAsia" w:cs="仿宋" w:asciiTheme="minorEastAsia" w:hAnsiTheme="minorEastAsia" w:eastAsiaTheme="minorEastAsia"/>
          <w:sz w:val="28"/>
          <w:szCs w:val="28"/>
        </w:rPr>
        <w:t>2021年县级项目主要包含：城乡住户收支与生活状况调查项目。立项依据是根据城乡住户收支与生活状况调查工作是根据国家调查队及湘调字〔2017〕18号文件要求，2017年第六期政府常务会纪要进行立项实施。</w:t>
      </w:r>
    </w:p>
    <w:p>
      <w:pPr>
        <w:spacing w:line="580" w:lineRule="exact"/>
        <w:ind w:left="0" w:firstLine="560" w:firstLineChars="200"/>
        <w:textAlignment w:val="auto"/>
        <w:rPr>
          <w:rFonts w:cs="仿宋" w:asciiTheme="minorEastAsia" w:hAnsiTheme="minorEastAsia" w:eastAsiaTheme="minorEastAsia"/>
          <w:sz w:val="28"/>
          <w:szCs w:val="28"/>
        </w:rPr>
      </w:pPr>
      <w:r>
        <w:rPr>
          <w:rFonts w:hint="eastAsia" w:asciiTheme="minorEastAsia" w:hAnsiTheme="minorEastAsia" w:eastAsiaTheme="minorEastAsia"/>
          <w:sz w:val="28"/>
          <w:szCs w:val="28"/>
        </w:rPr>
        <w:t>（二）项目绩效目标。</w:t>
      </w:r>
      <w:r>
        <w:rPr>
          <w:rFonts w:hint="eastAsia" w:cs="仿宋" w:asciiTheme="minorEastAsia" w:hAnsiTheme="minorEastAsia" w:eastAsiaTheme="minorEastAsia"/>
          <w:sz w:val="28"/>
          <w:szCs w:val="28"/>
        </w:rPr>
        <w:t>完成城乡住户收支与生活状况调查工作，全面、准确、及时了解我县城乡居民收入、消费及其他生活状况，客观监测居民收入分配格局和不同收入层次居民和生活质量，更好</w:t>
      </w:r>
      <w:r>
        <w:rPr>
          <w:rFonts w:hint="eastAsia" w:cs="仿宋" w:asciiTheme="minorEastAsia" w:hAnsiTheme="minorEastAsia" w:eastAsiaTheme="minorEastAsia"/>
          <w:sz w:val="28"/>
          <w:szCs w:val="28"/>
          <w:lang w:eastAsia="zh-CN"/>
        </w:rPr>
        <w:t>地</w:t>
      </w:r>
      <w:bookmarkStart w:id="0" w:name="_GoBack"/>
      <w:bookmarkEnd w:id="0"/>
      <w:r>
        <w:rPr>
          <w:rFonts w:hint="eastAsia" w:cs="仿宋" w:asciiTheme="minorEastAsia" w:hAnsiTheme="minorEastAsia" w:eastAsiaTheme="minorEastAsia"/>
          <w:sz w:val="28"/>
          <w:szCs w:val="28"/>
        </w:rPr>
        <w:t>为县委</w:t>
      </w:r>
      <w:r>
        <w:rPr>
          <w:rFonts w:hint="eastAsia" w:cs="仿宋" w:asciiTheme="minorEastAsia" w:hAnsiTheme="minorEastAsia" w:eastAsiaTheme="minorEastAsia"/>
          <w:sz w:val="28"/>
          <w:szCs w:val="28"/>
          <w:lang w:eastAsia="zh-CN"/>
        </w:rPr>
        <w:t>县</w:t>
      </w:r>
      <w:r>
        <w:rPr>
          <w:rFonts w:hint="eastAsia" w:cs="仿宋" w:asciiTheme="minorEastAsia" w:hAnsiTheme="minorEastAsia" w:eastAsiaTheme="minorEastAsia"/>
          <w:sz w:val="28"/>
          <w:szCs w:val="28"/>
        </w:rPr>
        <w:t>政府研究制定民生政策提供数据依据，为国民经济核管和居民消费价格指数权重制定提供基础数据。2021年城乡住户收支与生活状况调查工作内容主要有全县城乡12个点，120个记帐户及辅助调查员的培训与回访、电子记帐工作的录入汇总、城乡记帐户所需电子设备的维护。</w:t>
      </w:r>
    </w:p>
    <w:p>
      <w:pPr>
        <w:spacing w:line="560" w:lineRule="exact"/>
        <w:ind w:firstLine="562" w:firstLineChars="200"/>
        <w:jc w:val="left"/>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二、绩效评价工作开展情况</w:t>
      </w:r>
    </w:p>
    <w:p>
      <w:pPr>
        <w:spacing w:line="56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（一）绩效评价目的、对象和范围。</w:t>
      </w:r>
    </w:p>
    <w:p>
      <w:pPr>
        <w:spacing w:line="560" w:lineRule="exact"/>
        <w:ind w:firstLine="560" w:firstLineChars="200"/>
        <w:jc w:val="left"/>
        <w:rPr>
          <w:rFonts w:cs="仿宋_GB2312" w:asciiTheme="minorEastAsia" w:hAnsiTheme="minorEastAsia" w:eastAsiaTheme="minorEastAsia"/>
          <w:sz w:val="28"/>
          <w:szCs w:val="28"/>
        </w:rPr>
      </w:pPr>
      <w:r>
        <w:rPr>
          <w:rFonts w:hint="eastAsia" w:asciiTheme="minorEastAsia" w:hAnsiTheme="minorEastAsia" w:eastAsiaTheme="minorEastAsia"/>
          <w:sz w:val="28"/>
          <w:szCs w:val="28"/>
        </w:rPr>
        <w:t>保障城乡居民电子记账能够及时有效进行。2021年</w:t>
      </w:r>
      <w:r>
        <w:rPr>
          <w:rFonts w:hint="eastAsia" w:cs="仿宋_GB2312" w:asciiTheme="minorEastAsia" w:hAnsiTheme="minorEastAsia" w:eastAsiaTheme="minorEastAsia"/>
          <w:sz w:val="28"/>
          <w:szCs w:val="28"/>
        </w:rPr>
        <w:t>城乡住户收支与生活状况调查费用支出12.94万元，城乡住户收支与生活状况调查项目共支出12.94万元，城乡住户收支与生活状况调查项目预算经费60万元，完成预算的21.57%。</w:t>
      </w: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三、综合评价情况及评价结论（附相关评分表）</w:t>
      </w:r>
    </w:p>
    <w:p>
      <w:pPr>
        <w:spacing w:line="560" w:lineRule="exact"/>
        <w:ind w:firstLine="560" w:firstLineChars="200"/>
        <w:jc w:val="left"/>
        <w:rPr>
          <w:rFonts w:asciiTheme="minorEastAsia" w:hAnsiTheme="minorEastAsia" w:eastAsiaTheme="minorEastAsia"/>
          <w:b/>
          <w:bCs/>
          <w:sz w:val="28"/>
          <w:szCs w:val="28"/>
        </w:rPr>
      </w:pPr>
      <w:r>
        <w:rPr>
          <w:rFonts w:hint="eastAsia" w:cs="仿宋_GB2312" w:asciiTheme="minorEastAsia" w:hAnsiTheme="minorEastAsia" w:eastAsiaTheme="minorEastAsia"/>
          <w:sz w:val="28"/>
          <w:szCs w:val="28"/>
        </w:rPr>
        <w:t>城乡住户收支与生活状况调查项目自评得分86分（评分表附后）。</w:t>
      </w: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四、绩效评价指标分析</w:t>
      </w:r>
    </w:p>
    <w:tbl>
      <w:tblPr>
        <w:tblStyle w:val="5"/>
        <w:tblW w:w="9941" w:type="dxa"/>
        <w:tblInd w:w="392" w:type="dxa"/>
        <w:tblLayout w:type="autofit"/>
        <w:tblCellMar>
          <w:top w:w="0" w:type="dxa"/>
          <w:left w:w="108" w:type="dxa"/>
          <w:bottom w:w="0" w:type="dxa"/>
          <w:right w:w="108" w:type="dxa"/>
        </w:tblCellMar>
      </w:tblPr>
      <w:tblGrid>
        <w:gridCol w:w="992"/>
        <w:gridCol w:w="851"/>
        <w:gridCol w:w="1701"/>
        <w:gridCol w:w="2126"/>
        <w:gridCol w:w="1701"/>
        <w:gridCol w:w="2570"/>
      </w:tblGrid>
      <w:tr>
        <w:trPr>
          <w:trHeight w:val="399" w:hRule="atLeast"/>
        </w:trPr>
        <w:tc>
          <w:tcPr>
            <w:tcW w:w="99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本年度</w:t>
            </w:r>
            <w:r>
              <w:rPr>
                <w:rFonts w:hint="eastAsia" w:cs="宋体" w:asciiTheme="minorEastAsia" w:hAnsiTheme="minorEastAsia" w:eastAsiaTheme="minorEastAsia"/>
                <w:color w:val="000000"/>
                <w:sz w:val="21"/>
                <w:szCs w:val="21"/>
              </w:rPr>
              <w:br w:type="textWrapping"/>
            </w:r>
            <w:r>
              <w:rPr>
                <w:rFonts w:hint="eastAsia" w:cs="宋体" w:asciiTheme="minorEastAsia" w:hAnsiTheme="minorEastAsia" w:eastAsiaTheme="minorEastAsia"/>
                <w:color w:val="000000"/>
                <w:sz w:val="21"/>
                <w:szCs w:val="21"/>
              </w:rPr>
              <w:t>绩效指标</w:t>
            </w:r>
          </w:p>
        </w:tc>
        <w:tc>
          <w:tcPr>
            <w:tcW w:w="85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一级指标</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二级指标</w:t>
            </w:r>
          </w:p>
        </w:tc>
        <w:tc>
          <w:tcPr>
            <w:tcW w:w="212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三级指标</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指标值及单位</w:t>
            </w:r>
          </w:p>
        </w:tc>
        <w:tc>
          <w:tcPr>
            <w:tcW w:w="257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绩效标准</w:t>
            </w:r>
          </w:p>
        </w:tc>
      </w:tr>
      <w:tr>
        <w:tblPrEx>
          <w:tblCellMar>
            <w:top w:w="0" w:type="dxa"/>
            <w:left w:w="108" w:type="dxa"/>
            <w:bottom w:w="0" w:type="dxa"/>
            <w:right w:w="108" w:type="dxa"/>
          </w:tblCellMar>
        </w:tblPrEx>
        <w:trPr>
          <w:trHeight w:val="54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restart"/>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产出指标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数量指标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电子记账经费</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≦0.4万元</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54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质量指标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电子记账正常运转率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≧95%</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54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vMerge w:val="restart"/>
            <w:tcBorders>
              <w:top w:val="nil"/>
              <w:left w:val="nil"/>
              <w:bottom w:val="single" w:color="000000"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时效指标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资金拨付及时率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54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vMerge w:val="continue"/>
            <w:tcBorders>
              <w:top w:val="nil"/>
              <w:left w:val="nil"/>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各项工作完成及时率</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54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auto"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成本指标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电子记账经费</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≦0.4万元</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66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restart"/>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效益指标</w:t>
            </w:r>
          </w:p>
        </w:tc>
        <w:tc>
          <w:tcPr>
            <w:tcW w:w="1701"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经济效益指标</w:t>
            </w:r>
          </w:p>
        </w:tc>
        <w:tc>
          <w:tcPr>
            <w:tcW w:w="2126"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不适用</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不适用</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rPr>
          <w:trHeight w:val="621"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社会效益指标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保障城乡统计工作正常运转</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保障到位</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66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生态效益指标</w:t>
            </w:r>
          </w:p>
        </w:tc>
        <w:tc>
          <w:tcPr>
            <w:tcW w:w="2126"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不适用</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不适用</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trPr>
          <w:trHeight w:val="819"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000000"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可持续影响指标</w:t>
            </w:r>
          </w:p>
        </w:tc>
        <w:tc>
          <w:tcPr>
            <w:tcW w:w="2126"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保障城乡统计工作正常运转</w:t>
            </w:r>
          </w:p>
        </w:tc>
        <w:tc>
          <w:tcPr>
            <w:tcW w:w="1701" w:type="dxa"/>
            <w:tcBorders>
              <w:top w:val="nil"/>
              <w:left w:val="nil"/>
              <w:bottom w:val="single" w:color="auto" w:sz="8" w:space="0"/>
              <w:right w:val="single" w:color="000000"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长期</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r>
        <w:trPr>
          <w:trHeight w:val="960" w:hRule="atLeast"/>
        </w:trPr>
        <w:tc>
          <w:tcPr>
            <w:tcW w:w="992"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851" w:type="dxa"/>
            <w:vMerge w:val="continue"/>
            <w:tcBorders>
              <w:top w:val="nil"/>
              <w:left w:val="nil"/>
              <w:bottom w:val="single" w:color="000000" w:sz="8" w:space="0"/>
              <w:right w:val="single" w:color="000000" w:sz="8" w:space="0"/>
            </w:tcBorders>
            <w:vAlign w:val="center"/>
          </w:tcPr>
          <w:p>
            <w:pPr>
              <w:widowControl/>
              <w:spacing w:line="240" w:lineRule="auto"/>
              <w:ind w:left="0"/>
              <w:jc w:val="left"/>
              <w:textAlignment w:val="auto"/>
              <w:rPr>
                <w:rFonts w:cs="宋体" w:asciiTheme="minorEastAsia" w:hAnsiTheme="minorEastAsia" w:eastAsiaTheme="minorEastAsia"/>
                <w:color w:val="000000"/>
                <w:sz w:val="21"/>
                <w:szCs w:val="21"/>
              </w:rPr>
            </w:pP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社会公众或服务对象满意度指标</w:t>
            </w:r>
          </w:p>
        </w:tc>
        <w:tc>
          <w:tcPr>
            <w:tcW w:w="2126"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群众满意度</w:t>
            </w:r>
          </w:p>
        </w:tc>
        <w:tc>
          <w:tcPr>
            <w:tcW w:w="1701"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≧95%</w:t>
            </w:r>
          </w:p>
        </w:tc>
        <w:tc>
          <w:tcPr>
            <w:tcW w:w="2570" w:type="dxa"/>
            <w:tcBorders>
              <w:top w:val="nil"/>
              <w:left w:val="nil"/>
              <w:bottom w:val="single" w:color="auto" w:sz="8" w:space="0"/>
              <w:right w:val="single" w:color="auto" w:sz="8" w:space="0"/>
            </w:tcBorders>
            <w:shd w:val="clear" w:color="auto" w:fill="auto"/>
            <w:vAlign w:val="center"/>
          </w:tcPr>
          <w:p>
            <w:pPr>
              <w:widowControl/>
              <w:spacing w:line="240" w:lineRule="auto"/>
              <w:ind w:left="0"/>
              <w:jc w:val="center"/>
              <w:textAlignment w:val="auto"/>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计划标准</w:t>
            </w:r>
          </w:p>
        </w:tc>
      </w:tr>
    </w:tbl>
    <w:p>
      <w:pPr>
        <w:spacing w:line="560" w:lineRule="exact"/>
        <w:ind w:firstLine="562" w:firstLineChars="200"/>
        <w:jc w:val="left"/>
        <w:rPr>
          <w:rFonts w:asciiTheme="minorEastAsia" w:hAnsiTheme="minorEastAsia" w:eastAsiaTheme="minorEastAsia"/>
          <w:b/>
          <w:bCs/>
          <w:sz w:val="28"/>
          <w:szCs w:val="28"/>
        </w:rPr>
      </w:pP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五、主要经验及做法、存在的问题及原因分析</w:t>
      </w:r>
    </w:p>
    <w:p>
      <w:pPr>
        <w:spacing w:line="580" w:lineRule="exact"/>
        <w:ind w:firstLine="560" w:firstLineChars="200"/>
        <w:textAlignment w:val="auto"/>
        <w:rPr>
          <w:rFonts w:cs="仿宋" w:asciiTheme="minorEastAsia" w:hAnsiTheme="minorEastAsia" w:eastAsiaTheme="minorEastAsia"/>
          <w:color w:val="000000"/>
          <w:sz w:val="28"/>
          <w:szCs w:val="28"/>
        </w:rPr>
      </w:pPr>
      <w:r>
        <w:rPr>
          <w:rFonts w:hint="eastAsia" w:cs="仿宋" w:asciiTheme="minorEastAsia" w:hAnsiTheme="minorEastAsia" w:eastAsiaTheme="minorEastAsia"/>
          <w:sz w:val="28"/>
          <w:szCs w:val="28"/>
        </w:rPr>
        <w:t>城乡经济住户收支与生活状况调查：</w:t>
      </w:r>
      <w:r>
        <w:rPr>
          <w:rFonts w:hint="eastAsia" w:cs="仿宋" w:asciiTheme="minorEastAsia" w:hAnsiTheme="minorEastAsia" w:eastAsiaTheme="minorEastAsia"/>
          <w:color w:val="000000"/>
          <w:sz w:val="28"/>
          <w:szCs w:val="28"/>
        </w:rPr>
        <w:t>我局认真贯彻落实抽样方案和样本抽选实施细则，抓实抓细各环节工作，严格按照统一的工作部署，统一的时间安排，统一的操作规程有序推进各环节工作。严格执行国家调查方案和调查制度，切实贯彻总队住户调查一体化工作会议和领导的指示精神，通过强化学习、打好基础、抓住质量、重视评估四个方面，积极、扎实、稳妥地开展工作。在省、市国家调查队的精心指导下，取得明显成效，各项指标较为准确地反映了我县城乡居民收入现状，符合我县发展实际。产生了效好的社会效果，并被国家统计局省调查队评为先进单位。</w:t>
      </w: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六、有关建议</w:t>
      </w:r>
    </w:p>
    <w:p>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无。</w:t>
      </w:r>
    </w:p>
    <w:p>
      <w:pPr>
        <w:spacing w:line="560" w:lineRule="exact"/>
        <w:ind w:firstLine="562" w:firstLineChars="200"/>
        <w:jc w:val="lef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七、其他需要说明的问题</w:t>
      </w:r>
    </w:p>
    <w:p>
      <w:pPr>
        <w:spacing w:line="580" w:lineRule="exact"/>
        <w:ind w:left="0" w:firstLine="642"/>
        <w:textAlignment w:val="auto"/>
        <w:rPr>
          <w:rFonts w:cs="仿宋" w:asciiTheme="minorEastAsia" w:hAnsiTheme="minorEastAsia" w:eastAsiaTheme="minorEastAsia"/>
          <w:bCs/>
          <w:sz w:val="28"/>
          <w:szCs w:val="28"/>
        </w:rPr>
      </w:pPr>
      <w:r>
        <w:rPr>
          <w:rFonts w:asciiTheme="minorEastAsia" w:hAnsiTheme="minorEastAsia" w:eastAsiaTheme="minorEastAsia"/>
          <w:sz w:val="28"/>
          <w:szCs w:val="28"/>
        </w:rPr>
        <w:t> </w:t>
      </w:r>
      <w:r>
        <w:rPr>
          <w:rFonts w:hint="eastAsia" w:cs="仿宋" w:asciiTheme="minorEastAsia" w:hAnsiTheme="minorEastAsia" w:eastAsiaTheme="minorEastAsia"/>
          <w:bCs/>
          <w:sz w:val="28"/>
          <w:szCs w:val="28"/>
        </w:rPr>
        <w:t>1、由于上级交办的统计调查监测任务的突发性，一些无法预计的和没有列入年初预算的项目支出，需要在年度中进行预算追加和调整。</w:t>
      </w:r>
    </w:p>
    <w:p>
      <w:pPr>
        <w:pStyle w:val="4"/>
        <w:widowControl w:val="0"/>
        <w:spacing w:before="0" w:beforeAutospacing="0" w:after="0" w:afterAutospacing="0" w:line="520" w:lineRule="exact"/>
        <w:ind w:firstLine="48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2、预算执行情况不是很好，年中项目预算执行缓慢，影响具体实施。经后的项目经费建议尽早落实。</w:t>
      </w:r>
    </w:p>
    <w:p>
      <w:pPr>
        <w:pStyle w:val="4"/>
        <w:widowControl w:val="0"/>
        <w:spacing w:before="0" w:beforeAutospacing="0" w:after="0" w:afterAutospacing="0" w:line="520" w:lineRule="exact"/>
        <w:rPr>
          <w:rFonts w:cs="Times New Roman" w:asciiTheme="minorEastAsia" w:hAnsiTheme="minorEastAsia" w:eastAsiaTheme="minorEastAsia"/>
          <w:sz w:val="28"/>
          <w:szCs w:val="28"/>
        </w:rPr>
      </w:pPr>
    </w:p>
    <w:p>
      <w:pPr>
        <w:pStyle w:val="4"/>
        <w:widowControl w:val="0"/>
        <w:spacing w:before="0" w:beforeAutospacing="0" w:after="0" w:afterAutospacing="0" w:line="520" w:lineRule="exact"/>
        <w:rPr>
          <w:rFonts w:cs="Times New Roman" w:asciiTheme="minorEastAsia" w:hAnsiTheme="minorEastAsia" w:eastAsiaTheme="minorEastAsia"/>
          <w:sz w:val="28"/>
          <w:szCs w:val="28"/>
        </w:rPr>
      </w:pPr>
    </w:p>
    <w:p>
      <w:pPr>
        <w:pStyle w:val="4"/>
        <w:widowControl w:val="0"/>
        <w:spacing w:before="0" w:beforeAutospacing="0" w:after="0" w:afterAutospacing="0" w:line="520" w:lineRule="exact"/>
        <w:rPr>
          <w:rFonts w:cs="Times New Roman" w:asciiTheme="minorEastAsia" w:hAnsiTheme="minorEastAsia" w:eastAsiaTheme="minorEastAsia"/>
          <w:sz w:val="28"/>
          <w:szCs w:val="28"/>
        </w:rPr>
      </w:pPr>
    </w:p>
    <w:p>
      <w:pPr>
        <w:ind w:left="7840" w:hanging="7840" w:hangingChars="2800"/>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项目单位（签）                        </w:t>
      </w:r>
    </w:p>
    <w:p>
      <w:pPr>
        <w:ind w:firstLine="6020" w:firstLineChars="2150"/>
        <w:rPr>
          <w:rFonts w:asciiTheme="minorEastAsia" w:hAnsiTheme="minorEastAsia" w:eastAsiaTheme="minorEastAsia"/>
          <w:sz w:val="28"/>
          <w:szCs w:val="28"/>
        </w:rPr>
      </w:pPr>
      <w:r>
        <w:rPr>
          <w:rFonts w:asciiTheme="minorEastAsia" w:hAnsiTheme="minorEastAsia" w:eastAsiaTheme="minorEastAsia"/>
          <w:sz w:val="28"/>
          <w:szCs w:val="28"/>
        </w:rPr>
        <w:t>年   月  日</w:t>
      </w:r>
    </w:p>
    <w:p>
      <w:pPr>
        <w:spacing w:line="560" w:lineRule="exact"/>
        <w:ind w:left="0"/>
        <w:jc w:val="left"/>
        <w:rPr>
          <w:sz w:val="24"/>
        </w:rPr>
      </w:pPr>
      <w:r>
        <w:rPr>
          <w:rFonts w:asciiTheme="minorEastAsia" w:hAnsiTheme="minorEastAsia" w:eastAsiaTheme="minorEastAsia"/>
          <w:sz w:val="28"/>
          <w:szCs w:val="28"/>
        </w:rPr>
        <w:br w:type="page"/>
      </w:r>
      <w:r>
        <w:rPr>
          <w:rFonts w:hint="eastAsia" w:ascii="仿宋_GB2312" w:hAnsi="仿宋_GB2312" w:eastAsia="仿宋_GB2312" w:cs="仿宋_GB2312"/>
          <w:sz w:val="24"/>
        </w:rPr>
        <w:t>附件3-1</w:t>
      </w:r>
    </w:p>
    <w:p>
      <w:pPr>
        <w:pStyle w:val="4"/>
        <w:widowControl w:val="0"/>
        <w:spacing w:before="0" w:beforeAutospacing="0" w:after="0" w:afterAutospacing="0" w:line="800" w:lineRule="exact"/>
        <w:jc w:val="center"/>
        <w:rPr>
          <w:rStyle w:val="8"/>
          <w:rFonts w:ascii="Times New Roman" w:hAnsi="Times New Roman" w:eastAsia="方正粗宋简体" w:cs="Times New Roman"/>
          <w:b w:val="0"/>
          <w:sz w:val="44"/>
          <w:szCs w:val="44"/>
        </w:rPr>
      </w:pPr>
      <w:r>
        <w:rPr>
          <w:rStyle w:val="8"/>
          <w:rFonts w:ascii="Times New Roman" w:hAnsi="Times New Roman" w:eastAsia="方正粗宋简体" w:cs="Times New Roman"/>
          <w:b w:val="0"/>
          <w:sz w:val="44"/>
          <w:szCs w:val="44"/>
        </w:rPr>
        <w:t>202</w:t>
      </w:r>
      <w:r>
        <w:rPr>
          <w:rStyle w:val="8"/>
          <w:rFonts w:hint="eastAsia" w:ascii="Times New Roman" w:hAnsi="Times New Roman" w:eastAsia="方正粗宋简体" w:cs="Times New Roman"/>
          <w:b w:val="0"/>
          <w:sz w:val="44"/>
          <w:szCs w:val="44"/>
        </w:rPr>
        <w:t>1</w:t>
      </w:r>
      <w:r>
        <w:rPr>
          <w:rStyle w:val="8"/>
          <w:rFonts w:ascii="Times New Roman" w:hAnsi="Times New Roman" w:eastAsia="方正粗宋简体" w:cs="Times New Roman"/>
          <w:b w:val="0"/>
          <w:sz w:val="44"/>
          <w:szCs w:val="44"/>
        </w:rPr>
        <w:t>年度绩效自评完成情况汇总表</w:t>
      </w:r>
    </w:p>
    <w:p>
      <w:pPr>
        <w:spacing w:line="400" w:lineRule="exact"/>
        <w:rPr>
          <w:rFonts w:eastAsia="华文中宋"/>
          <w:sz w:val="24"/>
        </w:rPr>
      </w:pPr>
      <w:r>
        <w:rPr>
          <w:rFonts w:eastAsia="华文中宋"/>
          <w:sz w:val="24"/>
        </w:rPr>
        <w:t>主管部门（盖章）：               填报人：</w:t>
      </w:r>
      <w:r>
        <w:rPr>
          <w:rFonts w:hint="eastAsia" w:eastAsia="华文中宋"/>
          <w:sz w:val="24"/>
        </w:rPr>
        <w:t>杨寒英</w:t>
      </w:r>
      <w:r>
        <w:rPr>
          <w:rFonts w:eastAsia="华文中宋"/>
          <w:sz w:val="24"/>
        </w:rPr>
        <w:t>              联系电话：</w:t>
      </w:r>
      <w:r>
        <w:rPr>
          <w:rFonts w:hint="eastAsia" w:eastAsia="华文中宋"/>
          <w:sz w:val="24"/>
        </w:rPr>
        <w:t>15096258772</w:t>
      </w:r>
      <w:r>
        <w:rPr>
          <w:rFonts w:eastAsia="华文中宋"/>
          <w:sz w:val="24"/>
        </w:rPr>
        <w:t>          </w:t>
      </w:r>
    </w:p>
    <w:tbl>
      <w:tblPr>
        <w:tblStyle w:val="5"/>
        <w:tblW w:w="9680"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4"/>
        <w:gridCol w:w="1894"/>
        <w:gridCol w:w="2410"/>
        <w:gridCol w:w="776"/>
        <w:gridCol w:w="862"/>
        <w:gridCol w:w="992"/>
        <w:gridCol w:w="733"/>
        <w:gridCol w:w="777"/>
        <w:gridCol w:w="5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3" w:hRule="atLeast"/>
          <w:tblCellSpacing w:w="0" w:type="dxa"/>
          <w:jc w:val="center"/>
        </w:trPr>
        <w:tc>
          <w:tcPr>
            <w:tcW w:w="704" w:type="dxa"/>
            <w:vMerge w:val="restart"/>
            <w:tcBorders>
              <w:top w:val="single" w:color="auto" w:sz="2" w:space="0"/>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序号</w:t>
            </w:r>
          </w:p>
        </w:tc>
        <w:tc>
          <w:tcPr>
            <w:tcW w:w="1894"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项目单位</w:t>
            </w:r>
          </w:p>
        </w:tc>
        <w:tc>
          <w:tcPr>
            <w:tcW w:w="2410"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项目名称</w:t>
            </w:r>
          </w:p>
        </w:tc>
        <w:tc>
          <w:tcPr>
            <w:tcW w:w="2630" w:type="dxa"/>
            <w:gridSpan w:val="3"/>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项目资金情况</w:t>
            </w:r>
          </w:p>
        </w:tc>
        <w:tc>
          <w:tcPr>
            <w:tcW w:w="733"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自评分数</w:t>
            </w:r>
          </w:p>
        </w:tc>
        <w:tc>
          <w:tcPr>
            <w:tcW w:w="777" w:type="dxa"/>
            <w:vMerge w:val="restart"/>
            <w:tcBorders>
              <w:top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自评等级</w:t>
            </w:r>
          </w:p>
        </w:tc>
        <w:tc>
          <w:tcPr>
            <w:tcW w:w="532" w:type="dxa"/>
            <w:vMerge w:val="restart"/>
            <w:tcBorders>
              <w:top w:val="single" w:color="auto" w:sz="2" w:space="0"/>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sz w:val="24"/>
              </w:rPr>
            </w:pPr>
          </w:p>
        </w:tc>
        <w:tc>
          <w:tcPr>
            <w:tcW w:w="1894" w:type="dxa"/>
            <w:vMerge w:val="continue"/>
            <w:vAlign w:val="center"/>
          </w:tcPr>
          <w:p>
            <w:pPr>
              <w:spacing w:line="300" w:lineRule="exact"/>
              <w:jc w:val="center"/>
              <w:rPr>
                <w:rFonts w:eastAsia="仿宋_GB2312"/>
                <w:sz w:val="24"/>
              </w:rPr>
            </w:pPr>
          </w:p>
        </w:tc>
        <w:tc>
          <w:tcPr>
            <w:tcW w:w="2410" w:type="dxa"/>
            <w:vMerge w:val="continue"/>
            <w:vAlign w:val="center"/>
          </w:tcPr>
          <w:p>
            <w:pPr>
              <w:spacing w:line="300" w:lineRule="exact"/>
              <w:jc w:val="center"/>
              <w:rPr>
                <w:rFonts w:eastAsia="仿宋_GB2312"/>
                <w:sz w:val="24"/>
              </w:rPr>
            </w:pPr>
          </w:p>
        </w:tc>
        <w:tc>
          <w:tcPr>
            <w:tcW w:w="776" w:type="dxa"/>
            <w:vMerge w:val="restart"/>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预算总金额</w:t>
            </w:r>
          </w:p>
        </w:tc>
        <w:tc>
          <w:tcPr>
            <w:tcW w:w="1854" w:type="dxa"/>
            <w:gridSpan w:val="2"/>
            <w:tcMar>
              <w:top w:w="15" w:type="dxa"/>
              <w:left w:w="15" w:type="dxa"/>
              <w:bottom w:w="15" w:type="dxa"/>
              <w:right w:w="15" w:type="dxa"/>
            </w:tcMar>
          </w:tcPr>
          <w:p>
            <w:pPr>
              <w:spacing w:line="300" w:lineRule="exact"/>
              <w:rPr>
                <w:rFonts w:eastAsia="仿宋_GB2312"/>
                <w:sz w:val="24"/>
              </w:rPr>
            </w:pPr>
            <w:r>
              <w:rPr>
                <w:rFonts w:eastAsia="仿宋_GB2312"/>
                <w:sz w:val="24"/>
              </w:rPr>
              <w:t>其中：</w:t>
            </w:r>
          </w:p>
          <w:p>
            <w:pPr>
              <w:spacing w:line="300" w:lineRule="exact"/>
              <w:ind w:firstLine="240" w:firstLineChars="100"/>
              <w:rPr>
                <w:rFonts w:eastAsia="仿宋_GB2312"/>
                <w:sz w:val="24"/>
              </w:rPr>
            </w:pPr>
            <w:r>
              <w:rPr>
                <w:rFonts w:eastAsia="仿宋_GB2312"/>
                <w:sz w:val="24"/>
              </w:rPr>
              <w:t>县级财政资金</w:t>
            </w:r>
          </w:p>
        </w:tc>
        <w:tc>
          <w:tcPr>
            <w:tcW w:w="733" w:type="dxa"/>
            <w:vMerge w:val="continue"/>
            <w:vAlign w:val="center"/>
          </w:tcPr>
          <w:p>
            <w:pPr>
              <w:spacing w:line="300" w:lineRule="exact"/>
              <w:jc w:val="center"/>
              <w:rPr>
                <w:rFonts w:eastAsia="仿宋_GB2312"/>
                <w:sz w:val="24"/>
              </w:rPr>
            </w:pPr>
          </w:p>
        </w:tc>
        <w:tc>
          <w:tcPr>
            <w:tcW w:w="777" w:type="dxa"/>
            <w:vMerge w:val="continue"/>
            <w:vAlign w:val="center"/>
          </w:tcPr>
          <w:p>
            <w:pPr>
              <w:spacing w:line="300" w:lineRule="exact"/>
              <w:jc w:val="center"/>
              <w:rPr>
                <w:rFonts w:eastAsia="仿宋_GB2312"/>
                <w:sz w:val="24"/>
              </w:rPr>
            </w:pPr>
          </w:p>
        </w:tc>
        <w:tc>
          <w:tcPr>
            <w:tcW w:w="532" w:type="dxa"/>
            <w:vMerge w:val="continue"/>
            <w:tcBorders>
              <w:right w:val="single" w:color="auto" w:sz="2" w:space="0"/>
            </w:tcBorders>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704" w:type="dxa"/>
            <w:vMerge w:val="continue"/>
            <w:tcBorders>
              <w:left w:val="single" w:color="auto" w:sz="2" w:space="0"/>
            </w:tcBorders>
            <w:vAlign w:val="center"/>
          </w:tcPr>
          <w:p>
            <w:pPr>
              <w:spacing w:line="300" w:lineRule="exact"/>
              <w:jc w:val="center"/>
              <w:rPr>
                <w:rFonts w:eastAsia="仿宋_GB2312"/>
                <w:sz w:val="24"/>
              </w:rPr>
            </w:pPr>
          </w:p>
        </w:tc>
        <w:tc>
          <w:tcPr>
            <w:tcW w:w="1894" w:type="dxa"/>
            <w:vMerge w:val="continue"/>
            <w:vAlign w:val="center"/>
          </w:tcPr>
          <w:p>
            <w:pPr>
              <w:spacing w:line="300" w:lineRule="exact"/>
              <w:jc w:val="center"/>
              <w:rPr>
                <w:rFonts w:eastAsia="仿宋_GB2312"/>
                <w:sz w:val="24"/>
              </w:rPr>
            </w:pPr>
          </w:p>
        </w:tc>
        <w:tc>
          <w:tcPr>
            <w:tcW w:w="2410" w:type="dxa"/>
            <w:vMerge w:val="continue"/>
            <w:vAlign w:val="center"/>
          </w:tcPr>
          <w:p>
            <w:pPr>
              <w:spacing w:line="300" w:lineRule="exact"/>
              <w:jc w:val="center"/>
              <w:rPr>
                <w:rFonts w:eastAsia="仿宋_GB2312"/>
                <w:sz w:val="24"/>
              </w:rPr>
            </w:pPr>
          </w:p>
        </w:tc>
        <w:tc>
          <w:tcPr>
            <w:tcW w:w="776" w:type="dxa"/>
            <w:vMerge w:val="continue"/>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预算</w:t>
            </w:r>
          </w:p>
          <w:p>
            <w:pPr>
              <w:spacing w:line="300" w:lineRule="exact"/>
              <w:jc w:val="center"/>
              <w:rPr>
                <w:rFonts w:eastAsia="仿宋_GB2312"/>
                <w:sz w:val="24"/>
              </w:rPr>
            </w:pPr>
            <w:r>
              <w:rPr>
                <w:rFonts w:eastAsia="仿宋_GB2312"/>
                <w:sz w:val="24"/>
              </w:rPr>
              <w:t>安排</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eastAsia="仿宋_GB2312"/>
                <w:sz w:val="24"/>
              </w:rPr>
              <w:t>实际</w:t>
            </w:r>
          </w:p>
          <w:p>
            <w:pPr>
              <w:spacing w:line="300" w:lineRule="exact"/>
              <w:jc w:val="center"/>
              <w:rPr>
                <w:rFonts w:eastAsia="仿宋_GB2312"/>
                <w:sz w:val="24"/>
              </w:rPr>
            </w:pPr>
            <w:r>
              <w:rPr>
                <w:rFonts w:eastAsia="仿宋_GB2312"/>
                <w:sz w:val="24"/>
              </w:rPr>
              <w:t>支出</w:t>
            </w:r>
          </w:p>
        </w:tc>
        <w:tc>
          <w:tcPr>
            <w:tcW w:w="733" w:type="dxa"/>
            <w:vMerge w:val="continue"/>
            <w:vAlign w:val="center"/>
          </w:tcPr>
          <w:p>
            <w:pPr>
              <w:spacing w:line="300" w:lineRule="exact"/>
              <w:jc w:val="center"/>
              <w:rPr>
                <w:rFonts w:eastAsia="仿宋_GB2312"/>
                <w:sz w:val="24"/>
              </w:rPr>
            </w:pPr>
          </w:p>
        </w:tc>
        <w:tc>
          <w:tcPr>
            <w:tcW w:w="777" w:type="dxa"/>
            <w:vMerge w:val="continue"/>
            <w:vAlign w:val="center"/>
          </w:tcPr>
          <w:p>
            <w:pPr>
              <w:spacing w:line="300" w:lineRule="exact"/>
              <w:jc w:val="center"/>
              <w:rPr>
                <w:rFonts w:eastAsia="仿宋_GB2312"/>
                <w:sz w:val="24"/>
              </w:rPr>
            </w:pPr>
          </w:p>
        </w:tc>
        <w:tc>
          <w:tcPr>
            <w:tcW w:w="532" w:type="dxa"/>
            <w:vMerge w:val="continue"/>
            <w:tcBorders>
              <w:right w:val="single" w:color="auto" w:sz="2" w:space="0"/>
            </w:tcBorders>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tblCellSpacing w:w="0" w:type="dxa"/>
          <w:jc w:val="center"/>
        </w:trPr>
        <w:tc>
          <w:tcPr>
            <w:tcW w:w="9680" w:type="dxa"/>
            <w:gridSpan w:val="9"/>
            <w:tcBorders>
              <w:left w:val="single" w:color="auto" w:sz="2" w:space="0"/>
              <w:right w:val="single" w:color="auto" w:sz="2" w:space="0"/>
            </w:tcBorders>
            <w:tcMar>
              <w:top w:w="15" w:type="dxa"/>
              <w:left w:w="15" w:type="dxa"/>
              <w:bottom w:w="15" w:type="dxa"/>
              <w:right w:w="15" w:type="dxa"/>
            </w:tcMar>
          </w:tcPr>
          <w:p>
            <w:pPr>
              <w:spacing w:line="300" w:lineRule="exact"/>
              <w:rPr>
                <w:rFonts w:eastAsia="仿宋_GB2312"/>
                <w:sz w:val="24"/>
              </w:rPr>
            </w:pPr>
            <w:r>
              <w:rPr>
                <w:rFonts w:eastAsia="仿宋_GB2312"/>
                <w:sz w:val="24"/>
              </w:rPr>
              <w:t>一、项目绩效自评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w:t>
            </w:r>
          </w:p>
        </w:tc>
        <w:tc>
          <w:tcPr>
            <w:tcW w:w="1894"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新晃县统计局</w:t>
            </w:r>
          </w:p>
        </w:tc>
        <w:tc>
          <w:tcPr>
            <w:tcW w:w="2410" w:type="dxa"/>
            <w:tcMar>
              <w:top w:w="15" w:type="dxa"/>
              <w:left w:w="15" w:type="dxa"/>
              <w:bottom w:w="15" w:type="dxa"/>
              <w:right w:w="15" w:type="dxa"/>
            </w:tcMar>
            <w:vAlign w:val="center"/>
          </w:tcPr>
          <w:p>
            <w:pPr>
              <w:spacing w:line="300" w:lineRule="exact"/>
              <w:jc w:val="center"/>
              <w:rPr>
                <w:rFonts w:eastAsia="仿宋_GB2312"/>
                <w:sz w:val="24"/>
              </w:rPr>
            </w:pPr>
            <w:r>
              <w:rPr>
                <w:rFonts w:hint="eastAsia" w:ascii="仿宋_GB2312" w:hAnsi="仿宋_GB2312" w:eastAsia="仿宋_GB2312" w:cs="仿宋_GB2312"/>
                <w:szCs w:val="21"/>
              </w:rPr>
              <w:t>城乡住户收支与生活状况调查</w:t>
            </w:r>
          </w:p>
        </w:tc>
        <w:tc>
          <w:tcPr>
            <w:tcW w:w="776"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60</w:t>
            </w:r>
          </w:p>
        </w:tc>
        <w:tc>
          <w:tcPr>
            <w:tcW w:w="86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12.94</w:t>
            </w:r>
          </w:p>
        </w:tc>
        <w:tc>
          <w:tcPr>
            <w:tcW w:w="992"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12.94</w:t>
            </w:r>
          </w:p>
        </w:tc>
        <w:tc>
          <w:tcPr>
            <w:tcW w:w="733"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86</w:t>
            </w:r>
          </w:p>
        </w:tc>
        <w:tc>
          <w:tcPr>
            <w:tcW w:w="777" w:type="dxa"/>
            <w:tcMar>
              <w:top w:w="15" w:type="dxa"/>
              <w:left w:w="15" w:type="dxa"/>
              <w:bottom w:w="15" w:type="dxa"/>
              <w:right w:w="15" w:type="dxa"/>
            </w:tcMar>
            <w:vAlign w:val="center"/>
          </w:tcPr>
          <w:p>
            <w:pPr>
              <w:spacing w:line="300" w:lineRule="exact"/>
              <w:jc w:val="center"/>
              <w:rPr>
                <w:rFonts w:eastAsia="仿宋_GB2312"/>
                <w:sz w:val="24"/>
              </w:rPr>
            </w:pPr>
            <w:r>
              <w:rPr>
                <w:rFonts w:hint="eastAsia" w:eastAsia="仿宋_GB2312"/>
                <w:sz w:val="24"/>
              </w:rPr>
              <w:t>良好</w:t>
            </w: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CellSpacing w:w="0" w:type="dxa"/>
          <w:jc w:val="center"/>
        </w:trPr>
        <w:tc>
          <w:tcPr>
            <w:tcW w:w="704" w:type="dxa"/>
            <w:tcBorders>
              <w:lef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c>
          <w:tcPr>
            <w:tcW w:w="1894" w:type="dxa"/>
            <w:tcMar>
              <w:top w:w="15" w:type="dxa"/>
              <w:left w:w="15" w:type="dxa"/>
              <w:bottom w:w="15" w:type="dxa"/>
              <w:right w:w="15" w:type="dxa"/>
            </w:tcMar>
            <w:vAlign w:val="center"/>
          </w:tcPr>
          <w:p>
            <w:pPr>
              <w:spacing w:line="300" w:lineRule="exact"/>
              <w:jc w:val="center"/>
              <w:rPr>
                <w:rFonts w:eastAsia="仿宋_GB2312"/>
                <w:sz w:val="24"/>
              </w:rPr>
            </w:pPr>
          </w:p>
        </w:tc>
        <w:tc>
          <w:tcPr>
            <w:tcW w:w="2410" w:type="dxa"/>
            <w:tcMar>
              <w:top w:w="15" w:type="dxa"/>
              <w:left w:w="15" w:type="dxa"/>
              <w:bottom w:w="15" w:type="dxa"/>
              <w:right w:w="15" w:type="dxa"/>
            </w:tcMar>
            <w:vAlign w:val="center"/>
          </w:tcPr>
          <w:p>
            <w:pPr>
              <w:spacing w:line="300" w:lineRule="exact"/>
              <w:jc w:val="center"/>
              <w:rPr>
                <w:rFonts w:eastAsia="仿宋_GB2312"/>
                <w:sz w:val="24"/>
              </w:rPr>
            </w:pPr>
          </w:p>
        </w:tc>
        <w:tc>
          <w:tcPr>
            <w:tcW w:w="776" w:type="dxa"/>
            <w:tcMar>
              <w:top w:w="15" w:type="dxa"/>
              <w:left w:w="15" w:type="dxa"/>
              <w:bottom w:w="15" w:type="dxa"/>
              <w:right w:w="15" w:type="dxa"/>
            </w:tcMar>
            <w:vAlign w:val="center"/>
          </w:tcPr>
          <w:p>
            <w:pPr>
              <w:spacing w:line="300" w:lineRule="exact"/>
              <w:jc w:val="center"/>
              <w:rPr>
                <w:rFonts w:eastAsia="仿宋_GB2312"/>
                <w:sz w:val="24"/>
              </w:rPr>
            </w:pPr>
          </w:p>
        </w:tc>
        <w:tc>
          <w:tcPr>
            <w:tcW w:w="862" w:type="dxa"/>
            <w:tcMar>
              <w:top w:w="15" w:type="dxa"/>
              <w:left w:w="15" w:type="dxa"/>
              <w:bottom w:w="15" w:type="dxa"/>
              <w:right w:w="15" w:type="dxa"/>
            </w:tcMar>
            <w:vAlign w:val="center"/>
          </w:tcPr>
          <w:p>
            <w:pPr>
              <w:spacing w:line="300" w:lineRule="exact"/>
              <w:jc w:val="center"/>
              <w:rPr>
                <w:rFonts w:eastAsia="仿宋_GB2312"/>
                <w:sz w:val="24"/>
              </w:rPr>
            </w:pPr>
          </w:p>
        </w:tc>
        <w:tc>
          <w:tcPr>
            <w:tcW w:w="992" w:type="dxa"/>
            <w:tcMar>
              <w:top w:w="15" w:type="dxa"/>
              <w:left w:w="15" w:type="dxa"/>
              <w:bottom w:w="15" w:type="dxa"/>
              <w:right w:w="15" w:type="dxa"/>
            </w:tcMar>
            <w:vAlign w:val="center"/>
          </w:tcPr>
          <w:p>
            <w:pPr>
              <w:spacing w:line="300" w:lineRule="exact"/>
              <w:jc w:val="center"/>
              <w:rPr>
                <w:rFonts w:eastAsia="仿宋_GB2312"/>
                <w:sz w:val="24"/>
              </w:rPr>
            </w:pPr>
          </w:p>
        </w:tc>
        <w:tc>
          <w:tcPr>
            <w:tcW w:w="733" w:type="dxa"/>
            <w:tcMar>
              <w:top w:w="15" w:type="dxa"/>
              <w:left w:w="15" w:type="dxa"/>
              <w:bottom w:w="15" w:type="dxa"/>
              <w:right w:w="15" w:type="dxa"/>
            </w:tcMar>
            <w:vAlign w:val="center"/>
          </w:tcPr>
          <w:p>
            <w:pPr>
              <w:spacing w:line="300" w:lineRule="exact"/>
              <w:jc w:val="center"/>
              <w:rPr>
                <w:rFonts w:eastAsia="仿宋_GB2312"/>
                <w:sz w:val="24"/>
              </w:rPr>
            </w:pPr>
          </w:p>
        </w:tc>
        <w:tc>
          <w:tcPr>
            <w:tcW w:w="777" w:type="dxa"/>
            <w:tcMar>
              <w:top w:w="15" w:type="dxa"/>
              <w:left w:w="15" w:type="dxa"/>
              <w:bottom w:w="15" w:type="dxa"/>
              <w:right w:w="15" w:type="dxa"/>
            </w:tcMar>
            <w:vAlign w:val="center"/>
          </w:tcPr>
          <w:p>
            <w:pPr>
              <w:spacing w:line="300" w:lineRule="exact"/>
              <w:jc w:val="center"/>
              <w:rPr>
                <w:rFonts w:eastAsia="仿宋_GB2312"/>
                <w:sz w:val="24"/>
              </w:rPr>
            </w:pPr>
          </w:p>
        </w:tc>
        <w:tc>
          <w:tcPr>
            <w:tcW w:w="532" w:type="dxa"/>
            <w:tcBorders>
              <w:right w:val="single" w:color="auto" w:sz="2" w:space="0"/>
            </w:tcBorders>
            <w:tcMar>
              <w:top w:w="15" w:type="dxa"/>
              <w:left w:w="15" w:type="dxa"/>
              <w:bottom w:w="15" w:type="dxa"/>
              <w:right w:w="15" w:type="dxa"/>
            </w:tcMar>
            <w:vAlign w:val="center"/>
          </w:tcPr>
          <w:p>
            <w:pPr>
              <w:spacing w:line="300" w:lineRule="exact"/>
              <w:jc w:val="center"/>
              <w:rPr>
                <w:rFonts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151" w:hRule="atLeast"/>
          <w:tblCellSpacing w:w="0" w:type="dxa"/>
          <w:jc w:val="center"/>
        </w:trPr>
        <w:tc>
          <w:tcPr>
            <w:tcW w:w="9680" w:type="dxa"/>
            <w:gridSpan w:val="9"/>
            <w:tcBorders>
              <w:left w:val="single" w:color="auto" w:sz="2" w:space="0"/>
              <w:bottom w:val="single" w:color="auto" w:sz="2" w:space="0"/>
              <w:right w:val="single" w:color="auto" w:sz="2" w:space="0"/>
            </w:tcBorders>
            <w:tcMar>
              <w:top w:w="15" w:type="dxa"/>
              <w:left w:w="15" w:type="dxa"/>
              <w:bottom w:w="15" w:type="dxa"/>
              <w:right w:w="15" w:type="dxa"/>
            </w:tcMar>
            <w:vAlign w:val="center"/>
          </w:tcPr>
          <w:p>
            <w:pPr>
              <w:spacing w:line="300" w:lineRule="exact"/>
              <w:rPr>
                <w:rFonts w:eastAsia="仿宋_GB2312"/>
                <w:sz w:val="24"/>
              </w:rPr>
            </w:pPr>
            <w:r>
              <w:rPr>
                <w:rFonts w:eastAsia="仿宋_GB2312"/>
                <w:sz w:val="24"/>
              </w:rPr>
              <w:t>二、部门（单位）整体支出绩效自评：</w:t>
            </w:r>
          </w:p>
          <w:p>
            <w:pPr>
              <w:spacing w:line="300" w:lineRule="exact"/>
              <w:rPr>
                <w:rFonts w:eastAsia="仿宋_GB2312"/>
                <w:sz w:val="24"/>
              </w:rPr>
            </w:pPr>
          </w:p>
          <w:p>
            <w:pPr>
              <w:spacing w:line="300" w:lineRule="exact"/>
              <w:ind w:firstLine="360" w:firstLineChars="150"/>
              <w:rPr>
                <w:rFonts w:eastAsia="仿宋_GB2312"/>
                <w:sz w:val="24"/>
              </w:rPr>
            </w:pPr>
            <w:r>
              <w:rPr>
                <w:rFonts w:eastAsia="仿宋_GB2312"/>
                <w:sz w:val="24"/>
              </w:rPr>
              <w:t>部门（单位）：   </w:t>
            </w:r>
            <w:r>
              <w:rPr>
                <w:rFonts w:hint="eastAsia" w:eastAsia="仿宋_GB2312"/>
                <w:sz w:val="24"/>
              </w:rPr>
              <w:t>新晃县统计局</w:t>
            </w:r>
            <w:r>
              <w:rPr>
                <w:rFonts w:eastAsia="仿宋_GB2312"/>
                <w:sz w:val="24"/>
              </w:rPr>
              <w:t>             自评分数：</w:t>
            </w:r>
            <w:r>
              <w:rPr>
                <w:rFonts w:hint="eastAsia" w:eastAsia="仿宋_GB2312"/>
                <w:sz w:val="24"/>
              </w:rPr>
              <w:t>86</w:t>
            </w:r>
            <w:r>
              <w:rPr>
                <w:rFonts w:eastAsia="仿宋_GB2312"/>
                <w:sz w:val="24"/>
              </w:rPr>
              <w:t>            自评等级：</w:t>
            </w:r>
            <w:r>
              <w:rPr>
                <w:rFonts w:hint="eastAsia" w:eastAsia="仿宋_GB2312"/>
                <w:sz w:val="24"/>
              </w:rPr>
              <w:t>良好</w:t>
            </w:r>
          </w:p>
        </w:tc>
      </w:tr>
    </w:tbl>
    <w:p>
      <w:pPr>
        <w:spacing w:line="400" w:lineRule="exact"/>
        <w:jc w:val="left"/>
        <w:rPr>
          <w:rFonts w:eastAsia="仿宋_GB2312"/>
          <w:sz w:val="24"/>
        </w:rPr>
      </w:pPr>
      <w:r>
        <w:rPr>
          <w:rFonts w:eastAsia="仿宋_GB2312"/>
          <w:sz w:val="24"/>
        </w:rPr>
        <w:t>备注：评价等级划分如下</w:t>
      </w:r>
    </w:p>
    <w:p>
      <w:pPr>
        <w:spacing w:line="400" w:lineRule="exact"/>
        <w:jc w:val="left"/>
        <w:rPr>
          <w:rFonts w:eastAsia="仿宋_GB2312"/>
          <w:sz w:val="24"/>
        </w:rPr>
      </w:pPr>
      <w:r>
        <w:rPr>
          <w:rFonts w:eastAsia="仿宋_GB2312"/>
          <w:sz w:val="24"/>
        </w:rPr>
        <w:t>优秀  9</w:t>
      </w:r>
      <w:r>
        <w:rPr>
          <w:rFonts w:hint="eastAsia" w:eastAsia="仿宋_GB2312"/>
          <w:sz w:val="24"/>
        </w:rPr>
        <w:t>0</w:t>
      </w:r>
      <w:r>
        <w:rPr>
          <w:rFonts w:eastAsia="仿宋_GB2312"/>
          <w:sz w:val="24"/>
        </w:rPr>
        <w:t>分≤得分≤100分；良好  80分≤得分＜9</w:t>
      </w:r>
      <w:r>
        <w:rPr>
          <w:rFonts w:hint="eastAsia" w:eastAsia="仿宋_GB2312"/>
          <w:sz w:val="24"/>
        </w:rPr>
        <w:t>0</w:t>
      </w:r>
      <w:r>
        <w:rPr>
          <w:rFonts w:eastAsia="仿宋_GB2312"/>
          <w:sz w:val="24"/>
        </w:rPr>
        <w:t>分；</w:t>
      </w:r>
      <w:r>
        <w:rPr>
          <w:rFonts w:hint="eastAsia" w:eastAsia="仿宋_GB2312"/>
          <w:sz w:val="24"/>
        </w:rPr>
        <w:t>较差</w:t>
      </w:r>
      <w:r>
        <w:rPr>
          <w:rFonts w:eastAsia="仿宋_GB2312"/>
          <w:sz w:val="24"/>
        </w:rPr>
        <w:t xml:space="preserve"> 60分≤得分＜80分；差 </w:t>
      </w:r>
      <w:r>
        <w:rPr>
          <w:rFonts w:hint="eastAsia" w:eastAsia="仿宋_GB2312"/>
          <w:sz w:val="24"/>
        </w:rPr>
        <w:t xml:space="preserve">  </w:t>
      </w:r>
      <w:r>
        <w:rPr>
          <w:rFonts w:eastAsia="仿宋_GB2312"/>
          <w:sz w:val="24"/>
        </w:rPr>
        <w:t xml:space="preserve"> 得分＜60分</w:t>
      </w:r>
    </w:p>
    <w:sectPr>
      <w:pgSz w:w="11906" w:h="16838"/>
      <w:pgMar w:top="1440" w:right="1689" w:bottom="1440" w:left="168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jc w:val="center"/>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jhjMWVmZDQ4Zjg0YWIzMDVlYWQwOTc0YTM0NDAifQ=="/>
  </w:docVars>
  <w:rsids>
    <w:rsidRoot w:val="00B76EA6"/>
    <w:rsid w:val="000130E2"/>
    <w:rsid w:val="00037434"/>
    <w:rsid w:val="00071232"/>
    <w:rsid w:val="00072761"/>
    <w:rsid w:val="00085FDA"/>
    <w:rsid w:val="00087765"/>
    <w:rsid w:val="000F62F6"/>
    <w:rsid w:val="00114712"/>
    <w:rsid w:val="00116218"/>
    <w:rsid w:val="001A685B"/>
    <w:rsid w:val="001C062E"/>
    <w:rsid w:val="001C6809"/>
    <w:rsid w:val="00211587"/>
    <w:rsid w:val="002440AF"/>
    <w:rsid w:val="00261615"/>
    <w:rsid w:val="00287891"/>
    <w:rsid w:val="002A615C"/>
    <w:rsid w:val="002B2BA5"/>
    <w:rsid w:val="00303D73"/>
    <w:rsid w:val="00343567"/>
    <w:rsid w:val="0042596C"/>
    <w:rsid w:val="00426D87"/>
    <w:rsid w:val="00454F73"/>
    <w:rsid w:val="00466FC4"/>
    <w:rsid w:val="00480E41"/>
    <w:rsid w:val="004E376E"/>
    <w:rsid w:val="004E3E77"/>
    <w:rsid w:val="004F21D2"/>
    <w:rsid w:val="004F599E"/>
    <w:rsid w:val="005028D9"/>
    <w:rsid w:val="00530F21"/>
    <w:rsid w:val="00540E1F"/>
    <w:rsid w:val="00561601"/>
    <w:rsid w:val="005D1EC5"/>
    <w:rsid w:val="005E78F8"/>
    <w:rsid w:val="005F42DD"/>
    <w:rsid w:val="006B7340"/>
    <w:rsid w:val="006C1E49"/>
    <w:rsid w:val="006C40C5"/>
    <w:rsid w:val="006E6EFF"/>
    <w:rsid w:val="00731F5E"/>
    <w:rsid w:val="00762F07"/>
    <w:rsid w:val="00771BFA"/>
    <w:rsid w:val="0079640D"/>
    <w:rsid w:val="007B0039"/>
    <w:rsid w:val="007B74CF"/>
    <w:rsid w:val="007D44CE"/>
    <w:rsid w:val="007F791A"/>
    <w:rsid w:val="00810482"/>
    <w:rsid w:val="0083682C"/>
    <w:rsid w:val="008455BB"/>
    <w:rsid w:val="008627CA"/>
    <w:rsid w:val="00865824"/>
    <w:rsid w:val="008A18C2"/>
    <w:rsid w:val="008C7A48"/>
    <w:rsid w:val="008E1C64"/>
    <w:rsid w:val="009377E2"/>
    <w:rsid w:val="00973F8D"/>
    <w:rsid w:val="009A7A12"/>
    <w:rsid w:val="009E4441"/>
    <w:rsid w:val="00A358C8"/>
    <w:rsid w:val="00A50A7C"/>
    <w:rsid w:val="00A61ED1"/>
    <w:rsid w:val="00A753FA"/>
    <w:rsid w:val="00A824FC"/>
    <w:rsid w:val="00A93761"/>
    <w:rsid w:val="00B00C2D"/>
    <w:rsid w:val="00B16B57"/>
    <w:rsid w:val="00B62BD3"/>
    <w:rsid w:val="00B67500"/>
    <w:rsid w:val="00B76EA6"/>
    <w:rsid w:val="00BE1F96"/>
    <w:rsid w:val="00BE2129"/>
    <w:rsid w:val="00BF7C40"/>
    <w:rsid w:val="00C24A74"/>
    <w:rsid w:val="00C31999"/>
    <w:rsid w:val="00C55E2E"/>
    <w:rsid w:val="00CC15CB"/>
    <w:rsid w:val="00D124C5"/>
    <w:rsid w:val="00D17B69"/>
    <w:rsid w:val="00D37827"/>
    <w:rsid w:val="00D41182"/>
    <w:rsid w:val="00DA49D4"/>
    <w:rsid w:val="00DB7419"/>
    <w:rsid w:val="00E101A8"/>
    <w:rsid w:val="00E3790A"/>
    <w:rsid w:val="00E413AD"/>
    <w:rsid w:val="00E647FB"/>
    <w:rsid w:val="00E8655B"/>
    <w:rsid w:val="00E94418"/>
    <w:rsid w:val="00EB7B52"/>
    <w:rsid w:val="00EF1D67"/>
    <w:rsid w:val="00F00ECC"/>
    <w:rsid w:val="00F01DC6"/>
    <w:rsid w:val="00F37467"/>
    <w:rsid w:val="00F45436"/>
    <w:rsid w:val="00F67F57"/>
    <w:rsid w:val="00FD1296"/>
    <w:rsid w:val="00FE06A7"/>
    <w:rsid w:val="08322FC0"/>
    <w:rsid w:val="08D1027C"/>
    <w:rsid w:val="0AF2474B"/>
    <w:rsid w:val="12D93B4D"/>
    <w:rsid w:val="1F5E6D8E"/>
    <w:rsid w:val="209E05F3"/>
    <w:rsid w:val="215326A4"/>
    <w:rsid w:val="228B7D11"/>
    <w:rsid w:val="23996B76"/>
    <w:rsid w:val="250F64F2"/>
    <w:rsid w:val="27381498"/>
    <w:rsid w:val="29316F93"/>
    <w:rsid w:val="296F1E2E"/>
    <w:rsid w:val="299D769A"/>
    <w:rsid w:val="2F756F0F"/>
    <w:rsid w:val="2FDF0529"/>
    <w:rsid w:val="30E16D58"/>
    <w:rsid w:val="32160058"/>
    <w:rsid w:val="326571C3"/>
    <w:rsid w:val="374F52B2"/>
    <w:rsid w:val="392938A9"/>
    <w:rsid w:val="3AA96086"/>
    <w:rsid w:val="3D377FE8"/>
    <w:rsid w:val="3FA10341"/>
    <w:rsid w:val="40700133"/>
    <w:rsid w:val="408F0F86"/>
    <w:rsid w:val="41DE284D"/>
    <w:rsid w:val="42E34DC3"/>
    <w:rsid w:val="439E6A72"/>
    <w:rsid w:val="48A11F20"/>
    <w:rsid w:val="4A506004"/>
    <w:rsid w:val="4BFE3E36"/>
    <w:rsid w:val="4D482A8D"/>
    <w:rsid w:val="4D6E2A5C"/>
    <w:rsid w:val="4EFB1304"/>
    <w:rsid w:val="51AF590F"/>
    <w:rsid w:val="51DC1903"/>
    <w:rsid w:val="52FB52AE"/>
    <w:rsid w:val="537C375A"/>
    <w:rsid w:val="545F5FDC"/>
    <w:rsid w:val="548E64A2"/>
    <w:rsid w:val="566070FF"/>
    <w:rsid w:val="5C1F7B6D"/>
    <w:rsid w:val="5F6339FE"/>
    <w:rsid w:val="60641C99"/>
    <w:rsid w:val="62DC1442"/>
    <w:rsid w:val="657E48A4"/>
    <w:rsid w:val="6B52582F"/>
    <w:rsid w:val="6D301E60"/>
    <w:rsid w:val="70E350BD"/>
    <w:rsid w:val="74151E00"/>
    <w:rsid w:val="74FF2112"/>
    <w:rsid w:val="75653BFE"/>
    <w:rsid w:val="7773308B"/>
    <w:rsid w:val="7AE13994"/>
    <w:rsid w:val="7C4A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4">
    <w:name w:val="Normal (Web)"/>
    <w:basedOn w:val="1"/>
    <w:uiPriority w:val="0"/>
    <w:pPr>
      <w:widowControl/>
      <w:spacing w:before="100" w:beforeAutospacing="1" w:after="100" w:afterAutospacing="1" w:line="240" w:lineRule="auto"/>
      <w:ind w:left="0"/>
      <w:jc w:val="left"/>
      <w:textAlignment w:val="auto"/>
    </w:pPr>
    <w:rPr>
      <w:rFonts w:ascii="宋体" w:hAnsi="宋体" w:cs="宋体"/>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0"/>
    <w:rPr>
      <w:b/>
      <w:bCs/>
    </w:rPr>
  </w:style>
  <w:style w:type="character" w:styleId="9">
    <w:name w:val="page number"/>
    <w:basedOn w:val="7"/>
    <w:uiPriority w:val="0"/>
  </w:style>
  <w:style w:type="character" w:styleId="10">
    <w:name w:val="Hyperlink"/>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8404</Words>
  <Characters>9202</Characters>
  <Lines>73</Lines>
  <Paragraphs>20</Paragraphs>
  <TotalTime>4</TotalTime>
  <ScaleCrop>false</ScaleCrop>
  <LinksUpToDate>false</LinksUpToDate>
  <CharactersWithSpaces>9550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2022-05-31T04:35:00Z</dcterms:created>
  <dc:creator>User</dc:creator>
  <cp:lastModifiedBy>白菜花</cp:lastModifiedBy>
  <cp:lastPrinted>2003-12-31T16:07:00Z</cp:lastPrinted>
  <dcterms:modified xsi:type="dcterms:W3CDTF">2023-07-13T09:34:25Z</dcterms:modified>
  <dc:title>新晃侗族自治县财政局</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7F8F9608557A4A43BF4D322E10879007</vt:lpwstr>
  </property>
</Properties>
</file>