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4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健康新晃行动工作专项经费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爱卫办</w:t>
            </w:r>
            <w:bookmarkStart w:id="0" w:name="_GoBack"/>
            <w:bookmarkEnd w:id="0"/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陈瑶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18974532088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项目预算10万元，确保圆满完成各项指标任务。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预算执行率100%，目前工作已经完成，财政预算拨付尚未到位。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相关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default" w:ascii="仿宋_GB2312" w:hAnsi="仿宋_GB2312" w:eastAsia="仿宋" w:cs="仿宋_GB231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</w:rPr>
              <w:t>制作爱国卫生和国家卫生县</w:t>
            </w: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lang w:val="en-US" w:eastAsia="zh-CN"/>
              </w:rPr>
              <w:t>工作宣传品6万份。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经过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多年</w:t>
            </w: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的巩固提升，有效改善了我县的生态环境、文化环境、人居环境、社会环境，切实提高了人民群众的生活质量。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为96分。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>单位负责人（签字）：</w:t>
      </w:r>
      <w:r>
        <w:rPr>
          <w:rFonts w:hint="eastAsia" w:ascii="华文中宋" w:hAnsi="华文中宋" w:eastAsia="华文中宋"/>
          <w:szCs w:val="21"/>
          <w:lang w:val="en-US" w:eastAsia="zh-CN"/>
        </w:rPr>
        <w:t>吴海明</w:t>
      </w:r>
      <w:r>
        <w:rPr>
          <w:rFonts w:ascii="华文中宋" w:hAnsi="华文中宋" w:eastAsia="华文中宋"/>
          <w:szCs w:val="21"/>
        </w:rPr>
        <w:t xml:space="preserve">   项目负责人（签字）：</w:t>
      </w:r>
      <w:r>
        <w:rPr>
          <w:rFonts w:hint="eastAsia" w:ascii="华文中宋" w:hAnsi="华文中宋" w:eastAsia="华文中宋"/>
          <w:szCs w:val="21"/>
          <w:lang w:val="en-US" w:eastAsia="zh-CN"/>
        </w:rPr>
        <w:t>陈瑶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2025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3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13</w:t>
      </w:r>
      <w:r>
        <w:rPr>
          <w:rFonts w:ascii="华文中宋" w:hAnsi="华文中宋" w:eastAsia="华文中宋"/>
          <w:szCs w:val="21"/>
        </w:rPr>
        <w:t>日</w:t>
      </w:r>
    </w:p>
    <w:p>
      <w:pPr>
        <w:spacing w:before="240" w:line="340" w:lineRule="exact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br w:type="page"/>
      </w:r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ascii="宋体" w:hAnsi="宋体" w:eastAsia="宋体" w:cs="Times New Roman"/>
          <w:b/>
          <w:w w:val="85"/>
          <w:sz w:val="36"/>
          <w:szCs w:val="36"/>
        </w:rPr>
        <w:t> </w:t>
      </w:r>
      <w:r>
        <w:rPr>
          <w:rFonts w:hint="eastAsia" w:ascii="宋体" w:hAnsi="宋体" w:eastAsia="宋体" w:cs="Times New Roman"/>
          <w:b/>
          <w:w w:val="85"/>
          <w:sz w:val="36"/>
          <w:szCs w:val="36"/>
          <w:lang w:eastAsia="zh-CN"/>
        </w:rPr>
        <w:t>202</w:t>
      </w:r>
      <w:r>
        <w:rPr>
          <w:rFonts w:hint="eastAsia" w:ascii="宋体" w:hAnsi="宋体" w:cs="Times New Roman"/>
          <w:b/>
          <w:w w:val="85"/>
          <w:sz w:val="36"/>
          <w:szCs w:val="36"/>
          <w:lang w:val="en-US" w:eastAsia="zh-CN"/>
        </w:rPr>
        <w:t>4</w:t>
      </w:r>
      <w:r>
        <w:rPr>
          <w:rFonts w:ascii="宋体" w:hAnsi="宋体" w:eastAsia="宋体" w:cs="Times New Roman"/>
          <w:b/>
          <w:w w:val="85"/>
          <w:sz w:val="36"/>
          <w:szCs w:val="36"/>
        </w:rPr>
        <w:t>年度新晃县</w:t>
      </w:r>
      <w:r>
        <w:rPr>
          <w:rFonts w:hint="eastAsia" w:ascii="宋体" w:hAnsi="宋体" w:eastAsia="宋体" w:cs="Times New Roman"/>
          <w:b/>
          <w:w w:val="85"/>
          <w:sz w:val="36"/>
          <w:szCs w:val="36"/>
        </w:rPr>
        <w:t>健康新晃行动工作专项经费项目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项目背景：为贯彻健康中国战略和健康中国行动，实施健康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</w:t>
      </w:r>
      <w:r>
        <w:rPr>
          <w:rFonts w:hint="default" w:ascii="仿宋_GB2312" w:hAnsi="仿宋_GB2312" w:eastAsia="仿宋_GB2312" w:cs="仿宋_GB2312"/>
          <w:sz w:val="32"/>
          <w:szCs w:val="32"/>
        </w:rPr>
        <w:t>行动，全方位全周期保障人民健康，根据《国务院关于实施健康中国行动的意见》（国发〔2019〕13号）、《国务院办公厅关于印发健康中国行动组织实施和考核方案的通知》（国办发〔2019〕32号）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以及省、市、县健康行动相关文件</w:t>
      </w:r>
      <w:r>
        <w:rPr>
          <w:rFonts w:hint="default" w:ascii="仿宋_GB2312" w:hAnsi="仿宋_GB2312" w:eastAsia="仿宋_GB2312" w:cs="仿宋_GB2312"/>
          <w:sz w:val="32"/>
          <w:szCs w:val="32"/>
        </w:rPr>
        <w:t>，特设立</w:t>
      </w:r>
      <w:r>
        <w:rPr>
          <w:rFonts w:hint="eastAsia" w:ascii="仿宋_GB2312" w:hAnsi="仿宋_GB2312" w:eastAsia="仿宋_GB2312" w:cs="仿宋_GB2312"/>
          <w:sz w:val="32"/>
          <w:szCs w:val="32"/>
        </w:rPr>
        <w:t>健康新晃行动工作专项经费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主要内容及实施情况：推进健康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</w:t>
      </w:r>
      <w:r>
        <w:rPr>
          <w:rFonts w:hint="default" w:ascii="仿宋_GB2312" w:hAnsi="仿宋_GB2312" w:eastAsia="仿宋_GB2312" w:cs="仿宋_GB2312"/>
          <w:sz w:val="32"/>
          <w:szCs w:val="32"/>
        </w:rPr>
        <w:t>行动1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</w:rPr>
        <w:t>项专项行动建立监测评估机制，对健康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</w:t>
      </w:r>
      <w:r>
        <w:rPr>
          <w:rFonts w:hint="default" w:ascii="仿宋_GB2312" w:hAnsi="仿宋_GB2312" w:eastAsia="仿宋_GB2312" w:cs="仿宋_GB2312"/>
          <w:sz w:val="32"/>
          <w:szCs w:val="32"/>
        </w:rPr>
        <w:t>行动主要指标及重点任务实时进展开展年度监测评估。已建立和完善管理运行机制，制定出台推进健康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</w:t>
      </w:r>
      <w:r>
        <w:rPr>
          <w:rFonts w:hint="default" w:ascii="仿宋_GB2312" w:hAnsi="仿宋_GB2312" w:eastAsia="仿宋_GB2312" w:cs="仿宋_GB2312"/>
          <w:sz w:val="32"/>
          <w:szCs w:val="32"/>
        </w:rPr>
        <w:t>行动计划、监测细则和考核细则，组建专家咨询委员会，成立1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</w:rPr>
        <w:t>个专项行动工作组，统筹推进健康行动组织实施、监测和考核相关工作，推进健康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</w:t>
      </w:r>
      <w:r>
        <w:rPr>
          <w:rFonts w:hint="default" w:ascii="仿宋_GB2312" w:hAnsi="仿宋_GB2312" w:eastAsia="仿宋_GB2312" w:cs="仿宋_GB2312"/>
          <w:sz w:val="32"/>
          <w:szCs w:val="32"/>
        </w:rPr>
        <w:t>行动重点任务落地见效。健康促进政策体系基本建立，全民健康素养水平稳步提高，健康生活方式加快推广，重大慢性病发病率上升趋势得到遏制，重点传染病、严重精神障碍、地方病、职业病得到有效防控，致残和死亡风险逐步降低，重点人群健康状况显著改善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项目总体目标：补齐健康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</w:t>
      </w:r>
      <w:r>
        <w:rPr>
          <w:rFonts w:hint="default" w:ascii="仿宋_GB2312" w:hAnsi="仿宋_GB2312" w:eastAsia="仿宋_GB2312" w:cs="仿宋_GB2312"/>
          <w:sz w:val="32"/>
          <w:szCs w:val="32"/>
        </w:rPr>
        <w:t>建设短板，构建健康社会、培育健康人群、提供健康服务、发展健康文化，营造健康环境。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阶段性目标：提升健康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</w:t>
      </w:r>
      <w:r>
        <w:rPr>
          <w:rFonts w:hint="default" w:ascii="仿宋_GB2312" w:hAnsi="仿宋_GB2312" w:eastAsia="仿宋_GB2312" w:cs="仿宋_GB2312"/>
          <w:sz w:val="32"/>
          <w:szCs w:val="32"/>
        </w:rPr>
        <w:t>建设工作水平，构建健康社会、培育健康人群、提供健康服务、发展健康文化，营造健康环境。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  <w:r>
        <w:rPr>
          <w:rFonts w:hint="default" w:ascii="仿宋_GB2312" w:hAnsi="仿宋_GB2312" w:eastAsia="仿宋_GB2312" w:cs="仿宋_GB2312"/>
          <w:sz w:val="32"/>
          <w:szCs w:val="32"/>
        </w:rPr>
        <w:t>通过开展绩效评价工作，了解项目支出资金使用情况和管理情况、项目组织和实施情况，检验项目投入是否达到预期目标，总结经验，分析问题，进一步规范和加强专项资金管理，切实发挥好财政资金使用效益，确保财政资金使用依法、规范、安全、高效，努力提升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</w:t>
      </w:r>
      <w:r>
        <w:rPr>
          <w:rFonts w:hint="default" w:ascii="仿宋_GB2312" w:hAnsi="仿宋_GB2312" w:eastAsia="仿宋_GB2312" w:cs="仿宋_GB2312"/>
          <w:sz w:val="32"/>
          <w:szCs w:val="32"/>
        </w:rPr>
        <w:t>建设工作水平。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（二）绩效评价原则、评价指标体系（附表说明）、评价方法、评价标准等。</w:t>
      </w:r>
      <w:r>
        <w:rPr>
          <w:rFonts w:hint="default" w:ascii="仿宋_GB2312" w:hAnsi="仿宋_GB2312" w:eastAsia="仿宋_GB2312" w:cs="仿宋_GB2312"/>
          <w:sz w:val="32"/>
          <w:szCs w:val="32"/>
        </w:rPr>
        <w:t>本次绩效评价遵循科学规范、公正公开、分级分类、绩效相关原则。绩效评价注重财政支出的效率性和有效性，严格执行规定的程序。绩效评价应当客观、公正，根据评价对象的特点分类组织实施，应当针对具体支出及其产出绩效进行，评价结果应清晰反映支出和产出绩效之间的紧密对应关系。本次评价采用目标比较法和因素分析法等方法，定量与定性相结合的方法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（三）绩效评价工作过程。</w:t>
      </w:r>
      <w:r>
        <w:rPr>
          <w:rFonts w:hint="default" w:ascii="仿宋_GB2312" w:hAnsi="仿宋_GB2312" w:eastAsia="仿宋_GB2312" w:cs="仿宋_GB2312"/>
          <w:sz w:val="32"/>
          <w:szCs w:val="32"/>
        </w:rPr>
        <w:t>成立绩效评价工作小组，负责整个绩效评价工作的组织指导，确定绩效评价方法，成立绩效评价自评工作小组组织自评，按照绩效评价工作方案及指标体系要求，提供相关文件和资料，并按照要求开展自评。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</w:t>
      </w:r>
      <w:r>
        <w:rPr>
          <w:rFonts w:hint="eastAsia" w:ascii="仿宋_GB2312" w:hAnsi="仿宋_GB2312" w:eastAsia="仿宋_GB2312" w:cs="仿宋_GB2312"/>
          <w:sz w:val="32"/>
          <w:szCs w:val="32"/>
        </w:rPr>
        <w:t>行动项目</w:t>
      </w:r>
      <w:r>
        <w:rPr>
          <w:rFonts w:hint="default" w:ascii="仿宋_GB2312" w:hAnsi="仿宋_GB2312" w:eastAsia="仿宋_GB2312" w:cs="仿宋_GB2312"/>
          <w:sz w:val="32"/>
          <w:szCs w:val="32"/>
        </w:rPr>
        <w:t>按照年度工作安排、工作职责、项目具体情况等设置了项目总体目标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及相关指标，评价得分为：98。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健康新晃行动项目决策依据符合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本部门年度工作计划，并根据实际情况需要制定了年度实施计划。决策过程符合申报条件，申报、批复程序符合相关管理办法。</w:t>
      </w:r>
    </w:p>
    <w:p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（二）项目过程情况。健康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</w:t>
      </w:r>
      <w:r>
        <w:rPr>
          <w:rFonts w:hint="eastAsia" w:ascii="仿宋_GB2312" w:hAnsi="仿宋_GB2312" w:eastAsia="仿宋_GB2312" w:cs="仿宋_GB2312"/>
          <w:sz w:val="32"/>
          <w:szCs w:val="32"/>
        </w:rPr>
        <w:t>行动项目在开展过程中严格按照项目管理办法和资金使用制度，做到项目资金专款专用、按项目独立核算、无截留、挤占、挪用、虚列支出等情况发生。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（三）项目产出情况。健康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</w:t>
      </w:r>
      <w:r>
        <w:rPr>
          <w:rFonts w:hint="eastAsia" w:ascii="仿宋_GB2312" w:hAnsi="仿宋_GB2312" w:eastAsia="仿宋_GB2312" w:cs="仿宋_GB2312"/>
          <w:sz w:val="32"/>
          <w:szCs w:val="32"/>
        </w:rPr>
        <w:t>行动项目产出按照数量、质量、时效、成本等四个方面，根据项目各自情况，设置符合项目特点的三级产出指标，用于指导和跟踪项目工作开展。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（四）项目效益情况。健康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</w:t>
      </w:r>
      <w:r>
        <w:rPr>
          <w:rFonts w:hint="eastAsia" w:ascii="仿宋_GB2312" w:hAnsi="仿宋_GB2312" w:eastAsia="仿宋_GB2312" w:cs="仿宋_GB2312"/>
          <w:sz w:val="32"/>
          <w:szCs w:val="32"/>
        </w:rPr>
        <w:t>行动项目效益按照经济效益、社会效益、生态效益、可持续影响等四个方面，设置符合各项目实际情况和特点的三级效益指标，用于指导和跟踪项目工作开展。打造健康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</w:t>
      </w:r>
      <w:r>
        <w:rPr>
          <w:rFonts w:hint="eastAsia" w:ascii="仿宋_GB2312" w:hAnsi="仿宋_GB2312" w:eastAsia="仿宋_GB2312" w:cs="仿宋_GB2312"/>
          <w:sz w:val="32"/>
          <w:szCs w:val="32"/>
        </w:rPr>
        <w:t>行动</w:t>
      </w:r>
      <w:r>
        <w:rPr>
          <w:rFonts w:hint="default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</w:rPr>
        <w:t>项专项行动活动品牌，实现行动主要监测年度指标达标，全方位全周期保障人民健康。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主要健康水平指标持续向好。二是健康知识普及行动持续推进。三是健康影响因素控制工作稳步推进。四是重点人群健康促进持续提升。五是重大疾病防控工作持续推进。六是多项健康服务与保障助力健康行动。</w:t>
      </w:r>
    </w:p>
    <w:p>
      <w:pPr>
        <w:numPr>
          <w:ilvl w:val="0"/>
          <w:numId w:val="1"/>
        </w:num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有关建议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度管理有待加强，与项目精细化管理要求存在差距。绩效管理人员需进一步增加项目编制培训力度，提高部门预算编制的科学化、精细化、精准化。大卫生大健康理念仍需持续深化，地区不平衡问题比较突出，未形成齐头并进、均衡发展的势头。部门协同、信息共享机制还需加强。健康新晃行动与基层社会治理的深度融合还不够，健康环境和健康状况仍然有待进一步提升。</w:t>
      </w:r>
    </w:p>
    <w:p>
      <w:pPr>
        <w:numPr>
          <w:ilvl w:val="0"/>
          <w:numId w:val="1"/>
        </w:numPr>
        <w:spacing w:line="560" w:lineRule="exact"/>
        <w:ind w:left="1" w:leftChars="0"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其他需要说明的问题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项目管理，不断提高预算项目绩效目标设置的科学性，并加大绩效运行监控的力度，及时调整绩效目标设定的偏差，客观公正对绩效结果进行评价，对绩效结果出现的问题及时整改，切实提高项目预算资金的管理水平和能力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凝聚共识，持续推动将健康融入所有政策，提升社会健康治理能力。二是同心聚力。加快培训社会追求健康的氛围，注重交流和宣传。三是优化资源配置，完善健康服务体系，提高服务的公平可及。四是创新应用，强化数字赋能健康水平能力，探索健康服务新模式。五是增强约束，进一步发挥监测考核“指挥棒”作用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 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新晃县卫生健康局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80" w:firstLineChars="19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2025年3月13日</w:t>
      </w:r>
    </w:p>
    <w:p>
      <w:pPr>
        <w:ind w:firstLine="4560" w:firstLineChars="1900"/>
        <w:rPr>
          <w:rFonts w:eastAsia="仿宋_GB2312"/>
          <w:sz w:val="24"/>
        </w:rPr>
      </w:pPr>
    </w:p>
    <w:p/>
    <w:sectPr>
      <w:footerReference r:id="rId5" w:type="default"/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center"/>
                            <w:rPr>
                              <w:rStyle w:val="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  <w:rPr>
                        <w:rStyle w:val="6"/>
                      </w:rPr>
                    </w:pPr>
                    <w: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6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6FEC34"/>
    <w:multiLevelType w:val="singleLevel"/>
    <w:tmpl w:val="CC6FEC3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  <w:docVar w:name="KSO_WPS_MARK_KEY" w:val="82678bb0-2548-4607-9b15-bbccf0cc8f6e"/>
  </w:docVars>
  <w:rsids>
    <w:rsidRoot w:val="00000000"/>
    <w:rsid w:val="1C7A3C30"/>
    <w:rsid w:val="257E70F2"/>
    <w:rsid w:val="5046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2601</Words>
  <Characters>2693</Characters>
  <Lines>0</Lines>
  <Paragraphs>0</Paragraphs>
  <TotalTime>2</TotalTime>
  <ScaleCrop>false</ScaleCrop>
  <LinksUpToDate>false</LinksUpToDate>
  <CharactersWithSpaces>2827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2025-03-13T00:42:00Z</dcterms:created>
  <dc:creator>ASUS</dc:creator>
  <cp:lastModifiedBy>一生有你</cp:lastModifiedBy>
  <dcterms:modified xsi:type="dcterms:W3CDTF">2025-03-13T01:23:31Z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eyJoZGlkIjoiYjJjOTQxYzhjODMyMDAzZmE0MDJkMWFkNmJlNDkwYTUiLCJ1c2VySWQiOiI0NTM5MjA0NDkifQ==</vt:lpwstr>
  </property>
  <property fmtid="{D5CDD505-2E9C-101B-9397-08002B2CF9AE}" pid="4" name="ICV">
    <vt:lpwstr>7FEFE9E4CC34481B8AEBE0435B80DD78_12</vt:lpwstr>
  </property>
</Properties>
</file>