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lang w:eastAsia="zh-CN"/>
        </w:rPr>
      </w:pPr>
      <w:r>
        <w:rPr>
          <w:rFonts w:hint="eastAsia" w:hAnsi="黑体" w:cs="黑体"/>
          <w:b w:val="0"/>
          <w:bCs/>
          <w:sz w:val="32"/>
          <w:szCs w:val="32"/>
          <w:lang w:val="en-US" w:eastAsia="zh-CN"/>
        </w:rPr>
        <w:t>新晃侗族自治县卫生健康局</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黑体" w:hAnsi="黑体" w:eastAsia="黑体" w:cs="黑体"/>
          <w:b w:val="0"/>
          <w:bCs/>
          <w:sz w:val="32"/>
          <w:szCs w:val="32"/>
        </w:rPr>
        <w:t>年度预算绩效</w:t>
      </w:r>
      <w:r>
        <w:rPr>
          <w:rFonts w:hint="eastAsia" w:hAnsi="黑体" w:cs="黑体"/>
          <w:b w:val="0"/>
          <w:bCs/>
          <w:sz w:val="32"/>
          <w:szCs w:val="32"/>
          <w:lang w:eastAsia="zh-CN"/>
        </w:rPr>
        <w:t>的</w:t>
      </w:r>
    </w:p>
    <w:p>
      <w:pPr>
        <w:pStyle w:val="5"/>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ascii="黑体" w:hAnsi="黑体" w:eastAsia="黑体" w:cs="黑体"/>
          <w:b w:val="0"/>
          <w:bCs/>
          <w:sz w:val="32"/>
          <w:szCs w:val="32"/>
        </w:rPr>
        <w:t>情况说明</w:t>
      </w:r>
    </w:p>
    <w:p/>
    <w:p>
      <w:pPr>
        <w:pStyle w:val="5"/>
        <w:keepNext w:val="0"/>
        <w:keepLines w:val="0"/>
        <w:pageBreakBefore w:val="0"/>
        <w:widowControl w:val="0"/>
        <w:numPr>
          <w:ilvl w:val="0"/>
          <w:numId w:val="1"/>
        </w:numPr>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绩效管理工作开展情况</w:t>
      </w:r>
    </w:p>
    <w:p>
      <w:pPr>
        <w:spacing w:before="240"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为进一步规范财政资金管理，强化部门绩效和责任意识，切实提高财政资金使用效益，按照</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val="en-US" w:eastAsia="zh-CN"/>
        </w:rPr>
        <w:t>局</w:t>
      </w:r>
      <w:r>
        <w:rPr>
          <w:rFonts w:hint="eastAsia" w:ascii="仿宋_GB2312" w:hAnsi="仿宋_GB2312" w:eastAsia="仿宋_GB2312" w:cs="仿宋_GB2312"/>
          <w:sz w:val="32"/>
          <w:szCs w:val="32"/>
        </w:rPr>
        <w:t>《关于</w:t>
      </w:r>
      <w:r>
        <w:rPr>
          <w:rFonts w:hint="eastAsia"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度</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val="en-US" w:eastAsia="zh-CN"/>
        </w:rPr>
        <w:t>预算执行情况绩效自</w:t>
      </w:r>
      <w:bookmarkStart w:id="0" w:name="_GoBack"/>
      <w:bookmarkEnd w:id="0"/>
      <w:r>
        <w:rPr>
          <w:rFonts w:hint="eastAsia" w:ascii="仿宋_GB2312" w:hAnsi="仿宋_GB2312" w:eastAsia="仿宋_GB2312" w:cs="仿宋_GB2312"/>
          <w:sz w:val="32"/>
          <w:szCs w:val="32"/>
          <w:lang w:val="en-US" w:eastAsia="zh-CN"/>
        </w:rPr>
        <w:t>评</w:t>
      </w:r>
      <w:r>
        <w:rPr>
          <w:rFonts w:hint="eastAsia" w:ascii="仿宋_GB2312" w:hAnsi="仿宋_GB2312" w:eastAsia="仿宋_GB2312" w:cs="仿宋_GB2312"/>
          <w:sz w:val="32"/>
          <w:szCs w:val="32"/>
        </w:rPr>
        <w:t>工作的通知》要求，我单位对20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年度本部门整体支出开展了绩效自评工作。现将</w:t>
      </w:r>
      <w:r>
        <w:rPr>
          <w:rFonts w:hint="eastAsia" w:ascii="仿宋_GB2312" w:hAnsi="仿宋_GB2312" w:eastAsia="仿宋_GB2312" w:cs="仿宋_GB2312"/>
          <w:sz w:val="32"/>
          <w:szCs w:val="32"/>
          <w:lang w:eastAsia="zh-CN"/>
        </w:rPr>
        <w:t>绩</w:t>
      </w:r>
      <w:r>
        <w:rPr>
          <w:rFonts w:hint="eastAsia" w:ascii="仿宋_GB2312" w:hAnsi="仿宋_GB2312" w:eastAsia="仿宋_GB2312" w:cs="仿宋_GB2312"/>
          <w:sz w:val="32"/>
          <w:szCs w:val="32"/>
        </w:rPr>
        <w:t>效自评情况及自评结果公示如下：</w:t>
      </w:r>
    </w:p>
    <w:p>
      <w:pPr>
        <w:spacing w:before="240" w:line="560" w:lineRule="exact"/>
        <w:ind w:firstLine="640" w:firstLineChars="200"/>
        <w:jc w:val="left"/>
        <w:rPr>
          <w:rFonts w:hint="eastAsia" w:ascii="黑体" w:hAnsi="黑体" w:eastAsia="黑体"/>
        </w:rPr>
      </w:pPr>
      <w:r>
        <w:rPr>
          <w:rFonts w:hint="eastAsia" w:ascii="黑体" w:hAnsi="黑体" w:eastAsia="黑体"/>
          <w:sz w:val="32"/>
          <w:szCs w:val="32"/>
          <w:lang w:eastAsia="zh-CN"/>
        </w:rPr>
        <w:t>本部门</w:t>
      </w:r>
      <w:r>
        <w:rPr>
          <w:rFonts w:hint="eastAsia" w:ascii="黑体" w:hAnsi="黑体" w:eastAsia="黑体"/>
          <w:sz w:val="32"/>
          <w:szCs w:val="32"/>
        </w:rPr>
        <w:t>基本概况</w:t>
      </w:r>
    </w:p>
    <w:p>
      <w:pPr>
        <w:autoSpaceDE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部门职责</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贯彻执行国民健康政策及国家卫生健康法律法规，贯彻执行湖南省卫生健康事业发展地方性法规和规章，组织实施全县卫生健康政策、规划、地方标准和技术规范。统筹规划全县卫生健康服务资源配置，指导区域卫生健康规划的编制和实施。制定并组织实施推进卫生健康基本公共服务均等化、普惠化、便捷化和公共资源向基层延伸等政策措施。</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协调推进全县深化医药卫生体制改革，研究提出全县深化医药卫生体制改革政策与措施的建议。组织深化公立医院综合改革，推进管办分离，健全现代医院管理制度，制定并组织实施推动卫生健康公共服务提供主体多元化、提供方式多样化的政策措施，提出医疗服务和药品价格政策的建议。</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制定并组织落实全县疾病预防控制规划、免疫规划以及严重危害人民健康公共卫生问题的干预措施。负责卫生应急工作，组织指导突发公共卫生事件的预防控制和各类突发公共事件的医疗卫生救援。承担传染病疫情信息发布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4.组织拟订并协调落实应对人口老龄化政策措施，推进老年健康服务体系建设和医养结合工作。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贯彻执行国家药物政策和国家基本药物制度，开展药品使用监测、临床综合评价和短缺药品预警。组织开展食品安全风险监测评估，贯彻执行食品安全标准，负责食源性疾病及与食品安全事故有关的流行病学调查。</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6.负责职责范围内的职业卫生、放射卫生、环境卫生、学校卫生、公共场所卫生、饮用水卫生等公共卫生的监督管理。负责传染病防治监督，健全卫生健康综合监督体系。</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制定医疗机构、医疗服务行业管理办法并监督实施，建立医疗服务评价和监督管理体系。会同有关部门实施卫生健康专业技术人员资格标准。制定并组织实施医疗服务规范、标准和卫生健康专业技术人员执业规则、服务规范。</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8.负责计划生育管理和服务工作，开展人口监测预警，研究提出人口与家庭发展相关政策建议，完善计划生育政策。</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9.指导全县卫生健康工作，指导基层医疗卫生、妇幼健康服务体系建设，加强全科医生队伍建设。推进卫生健康科技创新发展。</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10.负责全县健康教育、健康促进和信息化建设等工作。组织实施卫生国际交流合作与援外工作，开展与港澳台的交流与合作。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11.负责全县保健对象的医疗保健工作，负责重要来宾、重要会议与重大活动的医疗卫生保障工作,指导全县保健工作。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12.指导县计划生育协会的业务工作。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13.负责职责范围内卫生健康行业安全生产工作。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14.完成县委、县政府交办的其他任务。</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15职能转变。县卫生健康局应当牢固树立大卫生、大健康理念，推动实施健康新晃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pPr>
        <w:autoSpaceDE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人员</w:t>
      </w:r>
      <w:r>
        <w:rPr>
          <w:rFonts w:hint="eastAsia" w:ascii="仿宋_GB2312" w:hAnsi="仿宋_GB2312" w:eastAsia="仿宋_GB2312" w:cs="仿宋_GB2312"/>
          <w:b/>
          <w:bCs/>
          <w:sz w:val="32"/>
          <w:szCs w:val="32"/>
          <w:lang w:eastAsia="zh-CN"/>
        </w:rPr>
        <w:t>情况</w:t>
      </w:r>
      <w:r>
        <w:rPr>
          <w:rFonts w:hint="eastAsia" w:ascii="仿宋_GB2312" w:hAnsi="仿宋_GB2312" w:eastAsia="仿宋_GB2312" w:cs="仿宋_GB2312"/>
          <w:b/>
          <w:bCs/>
          <w:sz w:val="32"/>
          <w:szCs w:val="32"/>
        </w:rPr>
        <w:t>。</w:t>
      </w:r>
    </w:p>
    <w:p>
      <w:pPr>
        <w:autoSpaceDE w:val="0"/>
        <w:spacing w:line="560" w:lineRule="exact"/>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年底人员情况：县卫健局共有编制</w:t>
      </w: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rPr>
        <w:t>人，其中行政编制1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人，工会编制9人，药具站编制2人，流管站编制4人，会核编制5人，诚信计生办编制2人，</w:t>
      </w:r>
      <w:r>
        <w:rPr>
          <w:rFonts w:hint="eastAsia" w:ascii="仿宋_GB2312" w:hAnsi="仿宋_GB2312" w:eastAsia="仿宋_GB2312" w:cs="仿宋_GB2312"/>
          <w:sz w:val="32"/>
          <w:szCs w:val="32"/>
          <w:lang w:eastAsia="zh-CN"/>
        </w:rPr>
        <w:t>爱卫办</w:t>
      </w:r>
      <w:r>
        <w:rPr>
          <w:rFonts w:hint="eastAsia" w:ascii="仿宋_GB2312" w:hAnsi="仿宋_GB2312" w:eastAsia="仿宋_GB2312" w:cs="仿宋_GB2312"/>
          <w:sz w:val="32"/>
          <w:szCs w:val="32"/>
          <w:lang w:val="en-US" w:eastAsia="zh-CN"/>
        </w:rPr>
        <w:t>4人，</w:t>
      </w:r>
      <w:r>
        <w:rPr>
          <w:rFonts w:hint="eastAsia" w:ascii="仿宋_GB2312" w:hAnsi="仿宋_GB2312" w:eastAsia="仿宋_GB2312" w:cs="仿宋_GB2312"/>
          <w:sz w:val="32"/>
          <w:szCs w:val="32"/>
        </w:rPr>
        <w:t>应急办编制2人。截止20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年底，实有正式在职人员</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人，退休人员3</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w:t>
      </w:r>
    </w:p>
    <w:p>
      <w:pPr>
        <w:autoSpaceDE w:val="0"/>
        <w:spacing w:line="56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财政收支和固定资产状况</w:t>
      </w:r>
    </w:p>
    <w:p>
      <w:pPr>
        <w:autoSpaceDE w:val="0"/>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2023年度</w:t>
      </w:r>
      <w:r>
        <w:rPr>
          <w:rFonts w:hint="eastAsia" w:ascii="仿宋_GB2312" w:hAnsi="仿宋_GB2312" w:eastAsia="仿宋_GB2312" w:cs="仿宋_GB2312"/>
          <w:color w:val="auto"/>
          <w:sz w:val="32"/>
          <w:szCs w:val="32"/>
          <w:lang w:val="en-US" w:eastAsia="zh-CN"/>
        </w:rPr>
        <w:t>财政拨款收入</w:t>
      </w:r>
      <w:r>
        <w:rPr>
          <w:rFonts w:hint="eastAsia" w:ascii="仿宋_GB2312" w:hAnsi="仿宋_GB2312" w:eastAsia="仿宋_GB2312" w:cs="仿宋_GB2312"/>
          <w:sz w:val="32"/>
          <w:szCs w:val="32"/>
          <w:lang w:val="en-US" w:eastAsia="zh-CN"/>
        </w:rPr>
        <w:t>7507.8万元，拨款支出7507.8万元。其中：一是</w:t>
      </w:r>
      <w:r>
        <w:rPr>
          <w:rFonts w:hint="eastAsia" w:ascii="仿宋_GB2312" w:hAnsi="仿宋_GB2312" w:eastAsia="仿宋_GB2312" w:cs="仿宋_GB2312"/>
          <w:b/>
          <w:bCs/>
          <w:color w:val="000000"/>
          <w:sz w:val="32"/>
          <w:szCs w:val="32"/>
        </w:rPr>
        <w:t>基本支出</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sz w:val="32"/>
          <w:szCs w:val="32"/>
        </w:rPr>
        <w:t>基本支出总额</w:t>
      </w:r>
      <w:r>
        <w:rPr>
          <w:rFonts w:hint="eastAsia" w:ascii="仿宋_GB2312" w:hAnsi="仿宋_GB2312" w:eastAsia="仿宋_GB2312" w:cs="仿宋_GB2312"/>
          <w:sz w:val="32"/>
          <w:szCs w:val="32"/>
          <w:lang w:val="en-US" w:eastAsia="zh-CN"/>
        </w:rPr>
        <w:t>1049.4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包括</w:t>
      </w:r>
      <w:r>
        <w:rPr>
          <w:rFonts w:hint="eastAsia" w:ascii="仿宋_GB2312" w:hAnsi="仿宋_GB2312" w:eastAsia="仿宋_GB2312" w:cs="仿宋_GB2312"/>
          <w:sz w:val="32"/>
          <w:szCs w:val="32"/>
        </w:rPr>
        <w:t>工资福利支出</w:t>
      </w:r>
      <w:r>
        <w:rPr>
          <w:rFonts w:hint="eastAsia" w:ascii="仿宋_GB2312" w:hAnsi="仿宋_GB2312" w:eastAsia="仿宋_GB2312" w:cs="仿宋_GB2312"/>
          <w:sz w:val="32"/>
          <w:szCs w:val="32"/>
          <w:lang w:val="en-US" w:eastAsia="zh-CN"/>
        </w:rPr>
        <w:t>627.2</w:t>
      </w:r>
      <w:r>
        <w:rPr>
          <w:rFonts w:hint="eastAsia" w:ascii="仿宋_GB2312" w:hAnsi="仿宋_GB2312" w:eastAsia="仿宋_GB2312" w:cs="仿宋_GB2312"/>
          <w:sz w:val="32"/>
          <w:szCs w:val="32"/>
        </w:rPr>
        <w:t>万元，商品服务支出</w:t>
      </w:r>
      <w:r>
        <w:rPr>
          <w:rFonts w:hint="eastAsia" w:ascii="仿宋_GB2312" w:hAnsi="仿宋_GB2312" w:eastAsia="仿宋_GB2312" w:cs="仿宋_GB2312"/>
          <w:sz w:val="32"/>
          <w:szCs w:val="32"/>
          <w:lang w:val="en-US" w:eastAsia="zh-CN"/>
        </w:rPr>
        <w:t>346.5</w:t>
      </w:r>
      <w:r>
        <w:rPr>
          <w:rFonts w:hint="eastAsia" w:ascii="仿宋_GB2312" w:hAnsi="仿宋_GB2312" w:eastAsia="仿宋_GB2312" w:cs="仿宋_GB2312"/>
          <w:sz w:val="32"/>
          <w:szCs w:val="32"/>
        </w:rPr>
        <w:t>万元，对个人和家庭补助支出</w:t>
      </w:r>
      <w:r>
        <w:rPr>
          <w:rFonts w:hint="eastAsia" w:ascii="仿宋_GB2312" w:hAnsi="仿宋_GB2312" w:eastAsia="仿宋_GB2312" w:cs="仿宋_GB2312"/>
          <w:sz w:val="32"/>
          <w:szCs w:val="32"/>
          <w:lang w:val="en-US" w:eastAsia="zh-CN"/>
        </w:rPr>
        <w:t>740.9</w:t>
      </w:r>
      <w:r>
        <w:rPr>
          <w:rFonts w:hint="eastAsia" w:ascii="仿宋_GB2312" w:hAnsi="仿宋_GB2312" w:eastAsia="仿宋_GB2312" w:cs="仿宋_GB2312"/>
          <w:sz w:val="32"/>
          <w:szCs w:val="32"/>
        </w:rPr>
        <w:t>万元，资本性支出</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万</w:t>
      </w:r>
      <w:r>
        <w:rPr>
          <w:rFonts w:hint="eastAsia" w:ascii="仿宋_GB2312" w:hAnsi="仿宋_GB2312" w:eastAsia="仿宋_GB2312" w:cs="仿宋_GB2312"/>
          <w:sz w:val="32"/>
          <w:szCs w:val="32"/>
          <w:lang w:val="en-US" w:eastAsia="zh-CN"/>
        </w:rPr>
        <w:t>元；二是</w:t>
      </w:r>
      <w:r>
        <w:rPr>
          <w:rFonts w:hint="eastAsia" w:ascii="仿宋_GB2312" w:hAnsi="仿宋_GB2312" w:eastAsia="仿宋_GB2312" w:cs="仿宋_GB2312"/>
          <w:b/>
          <w:bCs/>
          <w:color w:val="000000"/>
          <w:sz w:val="32"/>
          <w:szCs w:val="32"/>
        </w:rPr>
        <w:t>项目支出</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color w:val="000000"/>
          <w:sz w:val="32"/>
          <w:szCs w:val="32"/>
        </w:rPr>
        <w:t>在基本支出之外为完成其特定的行政工作任务而发生的支出，主要用于</w:t>
      </w:r>
      <w:r>
        <w:rPr>
          <w:rFonts w:hint="eastAsia" w:ascii="仿宋_GB2312" w:hAnsi="仿宋_GB2312" w:eastAsia="仿宋_GB2312" w:cs="仿宋_GB2312"/>
          <w:color w:val="000000"/>
          <w:sz w:val="32"/>
          <w:szCs w:val="32"/>
          <w:lang w:val="en-US" w:eastAsia="zh-CN"/>
        </w:rPr>
        <w:t>全县疫情防支出、</w:t>
      </w:r>
      <w:r>
        <w:rPr>
          <w:rFonts w:hint="eastAsia" w:ascii="仿宋_GB2312" w:hAnsi="仿宋_GB2312" w:eastAsia="仿宋_GB2312" w:cs="仿宋_GB2312"/>
          <w:color w:val="000000"/>
          <w:sz w:val="32"/>
          <w:szCs w:val="32"/>
        </w:rPr>
        <w:t>人口和计划生育服务工作及项目资金下拨。</w:t>
      </w:r>
      <w:r>
        <w:rPr>
          <w:rFonts w:hint="eastAsia" w:ascii="仿宋_GB2312" w:hAnsi="仿宋_GB2312" w:eastAsia="仿宋_GB2312" w:cs="仿宋_GB2312"/>
          <w:color w:val="auto"/>
          <w:sz w:val="32"/>
          <w:szCs w:val="32"/>
        </w:rPr>
        <w:t>支出总额</w:t>
      </w:r>
      <w:r>
        <w:rPr>
          <w:rFonts w:hint="eastAsia" w:ascii="仿宋_GB2312" w:hAnsi="仿宋_GB2312" w:eastAsia="仿宋_GB2312" w:cs="仿宋_GB2312"/>
          <w:color w:val="auto"/>
          <w:sz w:val="32"/>
          <w:szCs w:val="32"/>
          <w:lang w:val="en-US" w:eastAsia="zh-CN"/>
        </w:rPr>
        <w:t>6458.4</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000000"/>
          <w:sz w:val="32"/>
          <w:szCs w:val="32"/>
          <w:lang w:val="en-US" w:eastAsia="zh-CN"/>
        </w:rPr>
        <w:t>包括</w:t>
      </w:r>
      <w:r>
        <w:rPr>
          <w:rFonts w:hint="eastAsia" w:ascii="仿宋_GB2312" w:hAnsi="仿宋_GB2312" w:eastAsia="仿宋_GB2312" w:cs="仿宋_GB2312"/>
          <w:color w:val="000000"/>
          <w:sz w:val="32"/>
          <w:szCs w:val="32"/>
        </w:rPr>
        <w:t>工资福利支出</w:t>
      </w:r>
      <w:r>
        <w:rPr>
          <w:rFonts w:hint="eastAsia" w:ascii="仿宋_GB2312" w:hAnsi="仿宋_GB2312" w:eastAsia="仿宋_GB2312" w:cs="仿宋_GB2312"/>
          <w:color w:val="000000"/>
          <w:sz w:val="32"/>
          <w:szCs w:val="32"/>
          <w:lang w:val="en-US" w:eastAsia="zh-CN"/>
        </w:rPr>
        <w:t>33.9</w:t>
      </w:r>
      <w:r>
        <w:rPr>
          <w:rFonts w:hint="eastAsia" w:ascii="仿宋_GB2312" w:hAnsi="仿宋_GB2312" w:eastAsia="仿宋_GB2312" w:cs="仿宋_GB2312"/>
          <w:color w:val="000000"/>
          <w:sz w:val="32"/>
          <w:szCs w:val="32"/>
        </w:rPr>
        <w:t>万元、商品和服务支出</w:t>
      </w:r>
      <w:r>
        <w:rPr>
          <w:rFonts w:hint="eastAsia" w:ascii="仿宋_GB2312" w:hAnsi="仿宋_GB2312" w:eastAsia="仿宋_GB2312" w:cs="仿宋_GB2312"/>
          <w:color w:val="000000"/>
          <w:sz w:val="32"/>
          <w:szCs w:val="32"/>
          <w:lang w:val="en-US" w:eastAsia="zh-CN"/>
        </w:rPr>
        <w:t>474.7</w:t>
      </w:r>
      <w:r>
        <w:rPr>
          <w:rFonts w:hint="eastAsia" w:ascii="仿宋_GB2312" w:hAnsi="仿宋_GB2312" w:eastAsia="仿宋_GB2312" w:cs="仿宋_GB2312"/>
          <w:color w:val="000000"/>
          <w:sz w:val="32"/>
          <w:szCs w:val="32"/>
        </w:rPr>
        <w:t>万元、对个人和家庭补助支出</w:t>
      </w:r>
      <w:r>
        <w:rPr>
          <w:rFonts w:hint="eastAsia" w:ascii="仿宋_GB2312" w:hAnsi="仿宋_GB2312" w:eastAsia="仿宋_GB2312" w:cs="仿宋_GB2312"/>
          <w:color w:val="000000"/>
          <w:sz w:val="32"/>
          <w:szCs w:val="32"/>
          <w:lang w:val="en-US" w:eastAsia="zh-CN"/>
        </w:rPr>
        <w:t>1522.7</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szCs w:val="32"/>
          <w:lang w:eastAsia="zh-CN"/>
        </w:rPr>
        <w:t>下拨资金</w:t>
      </w:r>
      <w:r>
        <w:rPr>
          <w:rFonts w:hint="eastAsia" w:ascii="仿宋_GB2312" w:hAnsi="仿宋_GB2312" w:eastAsia="仿宋_GB2312" w:cs="仿宋_GB2312"/>
          <w:color w:val="000000"/>
          <w:sz w:val="32"/>
          <w:szCs w:val="32"/>
          <w:lang w:val="en-US" w:eastAsia="zh-CN"/>
        </w:rPr>
        <w:t>4427.2万元</w:t>
      </w:r>
      <w:r>
        <w:rPr>
          <w:rFonts w:hint="eastAsia" w:ascii="仿宋_GB2312" w:hAnsi="仿宋_GB2312" w:eastAsia="仿宋_GB2312" w:cs="仿宋_GB2312"/>
          <w:color w:val="000000"/>
          <w:sz w:val="32"/>
          <w:szCs w:val="32"/>
        </w:rPr>
        <w:t>。</w:t>
      </w:r>
    </w:p>
    <w:p>
      <w:pPr>
        <w:autoSpaceDE w:val="0"/>
        <w:spacing w:line="560" w:lineRule="exact"/>
        <w:ind w:firstLine="640" w:firstLineChars="200"/>
        <w:rPr>
          <w:rFonts w:hint="eastAsia" w:ascii="楷体" w:hAnsi="楷体" w:eastAsia="楷体" w:cs="楷体"/>
          <w:b/>
          <w:bCs/>
          <w:sz w:val="32"/>
          <w:szCs w:val="32"/>
          <w:lang w:eastAsia="zh-CN"/>
        </w:rPr>
      </w:pPr>
      <w:r>
        <w:rPr>
          <w:rFonts w:hint="eastAsia" w:ascii="仿宋" w:hAnsi="仿宋" w:eastAsia="仿宋" w:cs="仿宋"/>
          <w:color w:val="000000"/>
          <w:sz w:val="32"/>
          <w:szCs w:val="32"/>
        </w:rPr>
        <w:t>我单位</w:t>
      </w:r>
      <w:r>
        <w:rPr>
          <w:rFonts w:hint="eastAsia" w:ascii="仿宋" w:hAnsi="仿宋" w:eastAsia="仿宋" w:cs="仿宋"/>
          <w:color w:val="000000"/>
          <w:sz w:val="32"/>
          <w:szCs w:val="32"/>
          <w:lang w:eastAsia="zh-CN"/>
        </w:rPr>
        <w:t>年末固定</w:t>
      </w:r>
      <w:r>
        <w:rPr>
          <w:rFonts w:hint="eastAsia" w:ascii="仿宋" w:hAnsi="仿宋" w:eastAsia="仿宋" w:cs="仿宋"/>
          <w:color w:val="000000"/>
          <w:sz w:val="32"/>
          <w:szCs w:val="32"/>
        </w:rPr>
        <w:t>资产</w:t>
      </w:r>
      <w:r>
        <w:rPr>
          <w:rFonts w:hint="eastAsia" w:ascii="仿宋" w:hAnsi="仿宋" w:eastAsia="仿宋" w:cs="仿宋"/>
          <w:color w:val="000000"/>
          <w:sz w:val="32"/>
          <w:szCs w:val="32"/>
          <w:lang w:eastAsia="zh-CN"/>
        </w:rPr>
        <w:t>原值</w:t>
      </w:r>
      <w:r>
        <w:rPr>
          <w:rFonts w:hint="eastAsia" w:ascii="仿宋" w:hAnsi="仿宋" w:eastAsia="仿宋" w:cs="仿宋"/>
          <w:color w:val="000000"/>
          <w:sz w:val="32"/>
          <w:szCs w:val="32"/>
          <w:lang w:val="en-US" w:eastAsia="zh-CN"/>
        </w:rPr>
        <w:t>303</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其中房屋</w:t>
      </w:r>
      <w:r>
        <w:rPr>
          <w:rFonts w:hint="eastAsia" w:ascii="仿宋" w:hAnsi="仿宋" w:eastAsia="仿宋" w:cs="仿宋"/>
          <w:color w:val="000000"/>
          <w:sz w:val="32"/>
          <w:szCs w:val="32"/>
          <w:lang w:val="en-US" w:eastAsia="zh-CN"/>
        </w:rPr>
        <w:t>193.2万元。年末固定资产净值126.6万元。</w:t>
      </w:r>
    </w:p>
    <w:p>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autoSpaceDE w:val="0"/>
        <w:spacing w:line="560" w:lineRule="exact"/>
        <w:ind w:firstLine="640" w:firstLineChars="200"/>
        <w:rPr>
          <w:rFonts w:hint="eastAsia" w:ascii="仿宋_GB2312" w:hAnsi="仿宋_GB2312" w:eastAsia="仿宋_GB2312" w:cs="仿宋_GB2312"/>
          <w:color w:val="FF0000"/>
          <w:sz w:val="32"/>
          <w:szCs w:val="32"/>
        </w:rPr>
      </w:pPr>
      <w:r>
        <w:rPr>
          <w:rFonts w:hint="eastAsia" w:ascii="仿宋_GB2312" w:hAnsi="仿宋" w:eastAsia="仿宋_GB2312" w:cs="仿宋"/>
          <w:sz w:val="32"/>
          <w:szCs w:val="32"/>
        </w:rPr>
        <w:t>部门年度整体工作目标任务</w:t>
      </w:r>
      <w:r>
        <w:rPr>
          <w:rFonts w:hint="eastAsia" w:ascii="仿宋_GB2312" w:hAnsi="仿宋" w:eastAsia="仿宋_GB2312" w:cs="仿宋"/>
          <w:sz w:val="32"/>
          <w:szCs w:val="32"/>
          <w:lang w:eastAsia="zh-CN"/>
        </w:rPr>
        <w:t>均已</w:t>
      </w:r>
      <w:r>
        <w:rPr>
          <w:rFonts w:hint="eastAsia" w:ascii="仿宋_GB2312" w:hAnsi="仿宋" w:eastAsia="仿宋_GB2312" w:cs="仿宋"/>
          <w:sz w:val="32"/>
          <w:szCs w:val="32"/>
        </w:rPr>
        <w:t>完成</w:t>
      </w:r>
      <w:r>
        <w:rPr>
          <w:rFonts w:hint="eastAsia" w:ascii="仿宋_GB2312" w:hAnsi="仿宋" w:eastAsia="仿宋_GB2312" w:cs="仿宋"/>
          <w:sz w:val="32"/>
          <w:szCs w:val="32"/>
          <w:lang w:eastAsia="zh-CN"/>
        </w:rPr>
        <w:t>，</w:t>
      </w:r>
      <w:r>
        <w:rPr>
          <w:rFonts w:hint="eastAsia" w:ascii="仿宋_GB2312" w:hAnsi="仿宋_GB2312" w:eastAsia="仿宋_GB2312" w:cs="仿宋_GB2312"/>
          <w:sz w:val="32"/>
          <w:szCs w:val="32"/>
        </w:rPr>
        <w:t>部门整体支出自</w:t>
      </w:r>
      <w:r>
        <w:rPr>
          <w:rFonts w:hint="eastAsia" w:ascii="仿宋_GB2312" w:hAnsi="仿宋_GB2312" w:eastAsia="仿宋_GB2312" w:cs="仿宋_GB2312"/>
          <w:color w:val="auto"/>
          <w:sz w:val="32"/>
          <w:szCs w:val="32"/>
        </w:rPr>
        <w:t>评得分</w:t>
      </w:r>
      <w:r>
        <w:rPr>
          <w:rFonts w:hint="eastAsia" w:ascii="仿宋_GB2312" w:hAnsi="仿宋_GB2312" w:eastAsia="仿宋_GB2312" w:cs="仿宋_GB2312"/>
          <w:color w:val="auto"/>
          <w:sz w:val="32"/>
          <w:szCs w:val="32"/>
          <w:lang w:val="en-US" w:eastAsia="zh-CN"/>
        </w:rPr>
        <w:t>97</w:t>
      </w:r>
      <w:r>
        <w:rPr>
          <w:rFonts w:hint="eastAsia" w:ascii="仿宋_GB2312" w:hAnsi="仿宋_GB2312" w:eastAsia="仿宋_GB2312" w:cs="仿宋_GB2312"/>
          <w:color w:val="auto"/>
          <w:sz w:val="32"/>
          <w:szCs w:val="32"/>
        </w:rPr>
        <w:t>分,自评等次为“优”。</w:t>
      </w:r>
    </w:p>
    <w:p>
      <w:pPr>
        <w:numPr>
          <w:ilvl w:val="0"/>
          <w:numId w:val="0"/>
        </w:numPr>
        <w:autoSpaceDE w:val="0"/>
        <w:spacing w:line="560" w:lineRule="exact"/>
        <w:ind w:left="800" w:leftChars="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财政资金支出实际效益如下：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确保了全县基本公共卫生服务项目工作的顺利推进，全面完成了基本公共卫生服务工作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kern w:val="0"/>
          <w:sz w:val="32"/>
          <w:szCs w:val="32"/>
        </w:rPr>
        <w:t>群众满意度90%</w:t>
      </w:r>
      <w:r>
        <w:rPr>
          <w:rFonts w:hint="eastAsia" w:ascii="仿宋_GB2312" w:hAnsi="仿宋_GB2312" w:eastAsia="仿宋_GB2312" w:cs="仿宋_GB2312"/>
          <w:color w:val="000000"/>
          <w:kern w:val="0"/>
          <w:sz w:val="32"/>
          <w:szCs w:val="32"/>
          <w:lang w:eastAsia="zh-CN"/>
        </w:rPr>
        <w:t>。</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rPr>
        <w:t>2.</w:t>
      </w:r>
      <w:r>
        <w:rPr>
          <w:rFonts w:hint="eastAsia" w:ascii="仿宋_GB2312" w:hAnsi="仿宋_GB2312" w:eastAsia="仿宋_GB2312" w:cs="仿宋_GB2312"/>
          <w:sz w:val="32"/>
          <w:szCs w:val="32"/>
        </w:rPr>
        <w:t>卫生院坚决执行零差率销售，让利于老百姓。实施基本药物制度真正让老百姓用好药，好用药。取得了较好成绩。</w:t>
      </w:r>
    </w:p>
    <w:p>
      <w:pPr>
        <w:autoSpaceDE w:val="0"/>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val="0"/>
          <w:bCs/>
          <w:sz w:val="32"/>
          <w:szCs w:val="32"/>
        </w:rPr>
        <w:t>3.</w:t>
      </w:r>
      <w:r>
        <w:rPr>
          <w:rFonts w:hint="eastAsia" w:ascii="仿宋_GB2312" w:hAnsi="仿宋_GB2312" w:eastAsia="仿宋_GB2312" w:cs="仿宋_GB2312"/>
          <w:sz w:val="32"/>
          <w:szCs w:val="32"/>
        </w:rPr>
        <w:t>武陵山片区农村卫生人才津贴的落实对农村</w:t>
      </w:r>
      <w:r>
        <w:rPr>
          <w:rFonts w:hint="eastAsia" w:ascii="仿宋_GB2312" w:hAnsi="仿宋_GB2312" w:eastAsia="仿宋_GB2312" w:cs="仿宋_GB2312"/>
          <w:kern w:val="0"/>
          <w:sz w:val="32"/>
          <w:szCs w:val="32"/>
        </w:rPr>
        <w:t>卫生人才队伍的稳定和调动</w:t>
      </w:r>
      <w:r>
        <w:rPr>
          <w:rFonts w:hint="eastAsia" w:ascii="仿宋_GB2312" w:hAnsi="仿宋_GB2312" w:eastAsia="仿宋_GB2312" w:cs="仿宋_GB2312"/>
          <w:sz w:val="32"/>
          <w:szCs w:val="32"/>
        </w:rPr>
        <w:t>农村</w:t>
      </w:r>
      <w:r>
        <w:rPr>
          <w:rFonts w:hint="eastAsia" w:ascii="仿宋_GB2312" w:hAnsi="仿宋_GB2312" w:eastAsia="仿宋_GB2312" w:cs="仿宋_GB2312"/>
          <w:kern w:val="0"/>
          <w:sz w:val="32"/>
          <w:szCs w:val="32"/>
        </w:rPr>
        <w:t>卫生人才积极性起到一定的作用。</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color w:val="333333"/>
          <w:kern w:val="0"/>
          <w:sz w:val="32"/>
          <w:szCs w:val="32"/>
        </w:rPr>
        <w:t>公立医院运行效率提高，呈现出“四升四降”的良好效果。人民群众满意度不断提升，便民惠民措施有效落实，推行“先诊疗，后付费”和“一站式”服务。</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lang w:val="en-US" w:eastAsia="zh-CN"/>
        </w:rPr>
        <w:t>民生资金</w:t>
      </w:r>
      <w:r>
        <w:rPr>
          <w:rFonts w:hint="eastAsia" w:ascii="仿宋_GB2312" w:hAnsi="仿宋_GB2312" w:eastAsia="仿宋_GB2312" w:cs="仿宋_GB2312"/>
          <w:sz w:val="32"/>
          <w:szCs w:val="32"/>
        </w:rPr>
        <w:t>通过财拨农村商业银行通过“一卡通”发放到位，</w:t>
      </w:r>
      <w:r>
        <w:rPr>
          <w:rFonts w:hint="eastAsia" w:ascii="仿宋_GB2312" w:hAnsi="仿宋_GB2312" w:eastAsia="仿宋_GB2312" w:cs="仿宋_GB2312"/>
          <w:sz w:val="32"/>
          <w:szCs w:val="32"/>
          <w:lang w:val="en-US" w:eastAsia="zh-CN"/>
        </w:rPr>
        <w:t>计生服务对象</w:t>
      </w:r>
      <w:r>
        <w:rPr>
          <w:rFonts w:hint="eastAsia" w:ascii="仿宋_GB2312" w:hAnsi="仿宋_GB2312" w:eastAsia="仿宋_GB2312" w:cs="仿宋_GB2312"/>
          <w:sz w:val="32"/>
          <w:szCs w:val="32"/>
        </w:rPr>
        <w:t>及时、足额、准确地维护奖扶人员的合法权益。</w:t>
      </w:r>
    </w:p>
    <w:p>
      <w:pPr>
        <w:pStyle w:val="2"/>
        <w:widowControl w:val="0"/>
        <w:spacing w:before="0" w:beforeAutospacing="0" w:after="0" w:afterAutospacing="0" w:line="520" w:lineRule="exact"/>
        <w:ind w:firstLine="640" w:firstLineChars="200"/>
        <w:rPr>
          <w:rFonts w:hint="eastAsia"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6.医疗废弃物处置</w:t>
      </w:r>
      <w:r>
        <w:rPr>
          <w:rFonts w:hint="eastAsia" w:ascii="Times New Roman" w:hAnsi="Times New Roman" w:eastAsia="仿宋_GB2312" w:cs="Times New Roman"/>
          <w:sz w:val="32"/>
          <w:szCs w:val="32"/>
        </w:rPr>
        <w:t>均已达到国家相关法律规定要求</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对我县的环保、公共卫生安全做出了巨大贡献。</w:t>
      </w:r>
    </w:p>
    <w:p>
      <w:pPr>
        <w:spacing w:line="560" w:lineRule="exact"/>
        <w:ind w:firstLine="640" w:firstLineChars="200"/>
        <w:rPr>
          <w:rFonts w:hint="eastAsia" w:ascii="仿宋" w:hAnsi="仿宋" w:eastAsia="仿宋" w:cs="宋体"/>
          <w:color w:val="3D3D3D"/>
          <w:sz w:val="32"/>
          <w:szCs w:val="32"/>
        </w:rPr>
      </w:pPr>
      <w:r>
        <w:rPr>
          <w:rFonts w:hint="eastAsia" w:ascii="Times New Roman" w:hAnsi="Times New Roman" w:eastAsia="仿宋_GB2312" w:cs="Times New Roman"/>
          <w:sz w:val="32"/>
          <w:szCs w:val="32"/>
          <w:lang w:val="en-US" w:eastAsia="zh-CN"/>
        </w:rPr>
        <w:t>7.</w:t>
      </w:r>
      <w:r>
        <w:rPr>
          <w:rFonts w:hint="eastAsia" w:ascii="仿宋" w:hAnsi="仿宋" w:eastAsia="仿宋" w:cs="宋体"/>
          <w:color w:val="3D3D3D"/>
          <w:sz w:val="32"/>
          <w:szCs w:val="32"/>
        </w:rPr>
        <w:t>通过实施重大公共卫生服务项目，对影响妇女和儿童健康的主要卫生问题实施干预，减少主要健康危险因素，改善妇女、儿童健康状况，降低出生缺陷发生风险，提高人口素质。</w:t>
      </w:r>
    </w:p>
    <w:p>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1.预算安排不够准确。</w:t>
      </w:r>
      <w:r>
        <w:rPr>
          <w:rFonts w:hint="eastAsia" w:ascii="仿宋_GB2312" w:hAnsi="仿宋_GB2312" w:eastAsia="仿宋_GB2312" w:cs="仿宋_GB2312"/>
          <w:sz w:val="32"/>
          <w:szCs w:val="32"/>
        </w:rPr>
        <w:t>部门一些费用明细项存在超支或节余问题，预算编制欠精准，导致费用调剂使用。预算执行力度有待提高。专项资金管理部门制定不出质量高、好操作的个性化指标。</w:t>
      </w:r>
    </w:p>
    <w:p>
      <w:pPr>
        <w:autoSpaceDE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2.专项资金未制定指向明确、可操作性的绩效目标。</w:t>
      </w:r>
      <w:r>
        <w:rPr>
          <w:rFonts w:hint="eastAsia" w:ascii="仿宋_GB2312" w:hAnsi="仿宋_GB2312" w:eastAsia="仿宋_GB2312" w:cs="仿宋_GB2312"/>
          <w:sz w:val="32"/>
          <w:szCs w:val="32"/>
        </w:rPr>
        <w:t>项目支出绩效自评工作不只是财务一个部门的职责，应该由分管项目相应股室来共同完成，这样可以有效提高预算资金的准确性和可控性。项目资金绩效评价应发给相应的业务股室，财务部门不清楚资金的具体用途和项目目的及绩效指标，专项资金绩效目标自评表应由分管项目的股室具体负责，而不是支付资金的财务部门负责。</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163EB9"/>
    <w:multiLevelType w:val="singleLevel"/>
    <w:tmpl w:val="9E163EB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4MTliNzRkODAxZTU3MGVlYmRiMDg1Mzg0OGFjZWYifQ=="/>
    <w:docVar w:name="KSO_WPS_MARK_KEY" w:val="312aa936-c4fa-41b1-8beb-cddc6c56dd6d"/>
  </w:docVars>
  <w:rsids>
    <w:rsidRoot w:val="00000000"/>
    <w:rsid w:val="252C7E22"/>
    <w:rsid w:val="36D76ECC"/>
    <w:rsid w:val="46915BBC"/>
    <w:rsid w:val="489A18C8"/>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customStyle="1" w:styleId="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2524</Words>
  <Characters>2639</Characters>
  <Lines>0</Lines>
  <Paragraphs>0</Paragraphs>
  <TotalTime>8</TotalTime>
  <ScaleCrop>false</ScaleCrop>
  <LinksUpToDate>false</LinksUpToDate>
  <CharactersWithSpaces>2639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2024-09-23T09:02:20Z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754A3058F1304C608CE6A11F5B3300A5_13</vt:lpwstr>
  </property>
</Properties>
</file>