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157" w:afterLines="50" w:afterAutospacing="0" w:line="560" w:lineRule="exact"/>
        <w:ind w:left="0"/>
        <w:jc w:val="left"/>
        <w:textAlignment w:val="bottom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附件2-1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/>
        <w:jc w:val="center"/>
        <w:textAlignment w:val="bottom"/>
        <w:rPr>
          <w:rFonts w:ascii="黑体" w:hAnsi="黑体" w:eastAsia="黑体"/>
          <w:bCs/>
          <w:w w:val="85"/>
          <w:sz w:val="36"/>
          <w:szCs w:val="36"/>
        </w:rPr>
      </w:pPr>
      <w:r>
        <w:rPr>
          <w:rFonts w:ascii="黑体" w:hAnsi="黑体" w:eastAsia="黑体"/>
          <w:bCs/>
          <w:w w:val="85"/>
          <w:sz w:val="36"/>
          <w:szCs w:val="36"/>
        </w:rPr>
        <w:t>202</w:t>
      </w:r>
      <w:r>
        <w:rPr>
          <w:rFonts w:hint="eastAsia" w:ascii="黑体" w:hAnsi="黑体" w:eastAsia="黑体"/>
          <w:bCs/>
          <w:w w:val="85"/>
          <w:sz w:val="36"/>
          <w:szCs w:val="36"/>
          <w:lang w:val="en-US" w:eastAsia="zh-CN"/>
        </w:rPr>
        <w:t>3</w:t>
      </w:r>
      <w:r>
        <w:rPr>
          <w:rFonts w:ascii="黑体" w:hAnsi="黑体" w:eastAsia="黑体"/>
          <w:bCs/>
          <w:w w:val="85"/>
          <w:sz w:val="36"/>
          <w:szCs w:val="36"/>
        </w:rPr>
        <w:t>年度新晃县项目</w:t>
      </w:r>
      <w:r>
        <w:rPr>
          <w:rFonts w:hint="eastAsia" w:ascii="黑体" w:hAnsi="黑体" w:eastAsia="黑体"/>
          <w:bCs/>
          <w:w w:val="85"/>
          <w:sz w:val="36"/>
          <w:szCs w:val="36"/>
        </w:rPr>
        <w:t>支出</w:t>
      </w:r>
      <w:r>
        <w:rPr>
          <w:rFonts w:ascii="黑体" w:hAnsi="黑体" w:eastAsia="黑体"/>
          <w:bCs/>
          <w:w w:val="85"/>
          <w:sz w:val="36"/>
          <w:szCs w:val="36"/>
        </w:rPr>
        <w:t>绩效</w:t>
      </w:r>
      <w:r>
        <w:rPr>
          <w:rFonts w:hint="eastAsia" w:ascii="黑体" w:hAnsi="黑体" w:eastAsia="黑体"/>
          <w:bCs/>
          <w:w w:val="85"/>
          <w:sz w:val="36"/>
          <w:szCs w:val="36"/>
        </w:rPr>
        <w:t>自评</w:t>
      </w:r>
      <w:r>
        <w:rPr>
          <w:rFonts w:ascii="黑体" w:hAnsi="黑体" w:eastAsia="黑体"/>
          <w:bCs/>
          <w:w w:val="85"/>
          <w:sz w:val="36"/>
          <w:szCs w:val="36"/>
        </w:rPr>
        <w:t>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</w:t>
      </w:r>
      <w:r>
        <w:rPr>
          <w:rFonts w:hint="eastAsia"/>
          <w:sz w:val="24"/>
        </w:rPr>
        <w:t xml:space="preserve">    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 xml:space="preserve">  </w:t>
      </w:r>
      <w:r>
        <w:rPr>
          <w:sz w:val="24"/>
        </w:rPr>
        <w:t xml:space="preserve"> </w:t>
      </w:r>
      <w:r>
        <w:rPr>
          <w:rFonts w:eastAsia="仿宋_GB2312"/>
          <w:szCs w:val="21"/>
        </w:rPr>
        <w:t>金额单位：万元</w:t>
      </w:r>
    </w:p>
    <w:tbl>
      <w:tblPr>
        <w:tblStyle w:val="3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413"/>
        <w:gridCol w:w="1312"/>
        <w:gridCol w:w="1206"/>
        <w:gridCol w:w="832"/>
        <w:gridCol w:w="870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新晃县卫健局   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（盖章）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220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老年人意外伤害保险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目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卫健局人口家庭发展股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杨仕豪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15211513345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518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31.5</w:t>
            </w:r>
          </w:p>
        </w:tc>
        <w:tc>
          <w:tcPr>
            <w:tcW w:w="141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2518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27.92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ind w:left="1" w:leftChars="0"/>
              <w:jc w:val="both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88.63%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31.5万元，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88.63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%。根据实际情况评分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本项目建立了项目管理制度，并严格按相关制度执行。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对照项目产出目标，按产出数量、产出质量、产出时效以及成本控制等方面进行自我评价。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30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对照项目效益目标，可从经济效益、社会效益、环境效益和可持续影响及服务对象满意度等5个具体绩效指标进行评价。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服务对象满意度计分：90%≤满意度≤100%记10分，80%≤满意度&lt;90%记8分，70%≤满意度&lt;80%   记6分，</w:t>
            </w:r>
          </w:p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60%≤满意度&lt;70%记4分，满意度&lt;60%记0分。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98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sym w:font="Wingdings 2" w:char="0052"/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优秀  90分≤得分≤100分；  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□ 良好 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 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分； 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□ 差   得分＜60分</w:t>
            </w:r>
          </w:p>
        </w:tc>
      </w:tr>
    </w:tbl>
    <w:p>
      <w:pPr>
        <w:spacing w:line="320" w:lineRule="exact"/>
        <w:ind w:left="0"/>
        <w:jc w:val="left"/>
        <w:rPr>
          <w:rFonts w:ascii="华文中宋" w:hAnsi="华文中宋" w:eastAsia="华文中宋"/>
          <w:sz w:val="8"/>
          <w:szCs w:val="10"/>
        </w:rPr>
      </w:pPr>
    </w:p>
    <w:p>
      <w:pPr>
        <w:spacing w:line="320" w:lineRule="exact"/>
        <w:ind w:left="0"/>
        <w:jc w:val="left"/>
        <w:rPr>
          <w:rFonts w:hint="eastAsia"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单位负责人（签字）：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吴海明</w:t>
      </w:r>
      <w:r>
        <w:rPr>
          <w:rFonts w:hint="eastAsia" w:ascii="仿宋_GB2312" w:hAnsi="仿宋_GB2312" w:eastAsia="仿宋_GB2312" w:cs="仿宋_GB2312"/>
          <w:szCs w:val="21"/>
        </w:rPr>
        <w:t xml:space="preserve">    项目负责人（签字）：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杨仕豪</w:t>
      </w:r>
      <w:r>
        <w:rPr>
          <w:rFonts w:hint="eastAsia" w:ascii="仿宋_GB2312" w:hAnsi="仿宋_GB2312" w:eastAsia="仿宋_GB2312" w:cs="仿宋_GB2312"/>
          <w:szCs w:val="21"/>
        </w:rPr>
        <w:t xml:space="preserve"> 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Cs w:val="21"/>
        </w:rPr>
        <w:t>填表日期：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Cs w:val="21"/>
        </w:rPr>
        <w:t>年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21"/>
        </w:rPr>
        <w:t xml:space="preserve"> 月</w:t>
      </w:r>
      <w:r>
        <w:rPr>
          <w:rFonts w:hint="eastAsia" w:ascii="仿宋_GB2312" w:hAnsi="仿宋_GB2312" w:eastAsia="仿宋_GB2312" w:cs="仿宋_GB2312"/>
          <w:szCs w:val="21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21"/>
        </w:rPr>
        <w:t xml:space="preserve"> 日</w:t>
      </w:r>
    </w:p>
    <w:p>
      <w:pPr>
        <w:spacing w:before="240" w:line="340" w:lineRule="exact"/>
        <w:jc w:val="left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szCs w:val="21"/>
        </w:rPr>
        <w:br w:type="page"/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附件2-3 </w:t>
      </w:r>
    </w:p>
    <w:p>
      <w:pPr>
        <w:spacing w:line="600" w:lineRule="exact"/>
        <w:jc w:val="center"/>
        <w:rPr>
          <w:rFonts w:hint="eastAsia" w:ascii="黑体" w:hAnsi="黑体" w:eastAsia="黑体"/>
          <w:bCs/>
          <w:w w:val="85"/>
          <w:sz w:val="36"/>
          <w:szCs w:val="36"/>
        </w:rPr>
      </w:pPr>
      <w:r>
        <w:rPr>
          <w:rFonts w:eastAsia="黑体"/>
          <w:bCs/>
          <w:w w:val="85"/>
          <w:sz w:val="44"/>
          <w:szCs w:val="44"/>
        </w:rPr>
        <w:t> </w:t>
      </w:r>
      <w:r>
        <w:rPr>
          <w:rFonts w:ascii="黑体" w:hAnsi="黑体" w:eastAsia="黑体"/>
          <w:bCs/>
          <w:w w:val="85"/>
          <w:sz w:val="36"/>
          <w:szCs w:val="36"/>
        </w:rPr>
        <w:t>202</w:t>
      </w:r>
      <w:r>
        <w:rPr>
          <w:rFonts w:hint="eastAsia" w:ascii="黑体" w:hAnsi="黑体" w:eastAsia="黑体"/>
          <w:bCs/>
          <w:w w:val="85"/>
          <w:sz w:val="36"/>
          <w:szCs w:val="36"/>
          <w:lang w:val="en-US" w:eastAsia="zh-CN"/>
        </w:rPr>
        <w:t>3</w:t>
      </w:r>
      <w:r>
        <w:rPr>
          <w:rFonts w:ascii="黑体" w:hAnsi="黑体" w:eastAsia="黑体"/>
          <w:bCs/>
          <w:w w:val="85"/>
          <w:sz w:val="36"/>
          <w:szCs w:val="36"/>
        </w:rPr>
        <w:t>年度新晃县</w:t>
      </w:r>
      <w:r>
        <w:rPr>
          <w:rFonts w:hint="eastAsia" w:ascii="黑体" w:hAnsi="黑体" w:eastAsia="黑体"/>
          <w:bCs/>
          <w:w w:val="85"/>
          <w:sz w:val="36"/>
          <w:szCs w:val="36"/>
        </w:rPr>
        <w:t>项目</w:t>
      </w:r>
      <w:r>
        <w:rPr>
          <w:rFonts w:ascii="黑体" w:hAnsi="黑体" w:eastAsia="黑体"/>
          <w:bCs/>
          <w:w w:val="85"/>
          <w:sz w:val="36"/>
          <w:szCs w:val="36"/>
        </w:rPr>
        <w:t>支出</w:t>
      </w:r>
      <w:r>
        <w:rPr>
          <w:rFonts w:hint="eastAsia" w:ascii="黑体" w:hAnsi="黑体" w:eastAsia="黑体"/>
          <w:bCs/>
          <w:w w:val="85"/>
          <w:sz w:val="36"/>
          <w:szCs w:val="36"/>
        </w:rPr>
        <w:t>绩效</w:t>
      </w:r>
      <w:r>
        <w:rPr>
          <w:rFonts w:ascii="黑体" w:hAnsi="黑体" w:eastAsia="黑体"/>
          <w:bCs/>
          <w:w w:val="85"/>
          <w:sz w:val="36"/>
          <w:szCs w:val="36"/>
        </w:rPr>
        <w:t>自评报告</w:t>
      </w:r>
    </w:p>
    <w:p>
      <w:pPr>
        <w:spacing w:line="560" w:lineRule="exact"/>
        <w:ind w:left="0" w:firstLine="640" w:firstLineChars="200"/>
        <w:jc w:val="left"/>
        <w:rPr>
          <w:rFonts w:hint="eastAsia" w:ascii="宋体" w:hAnsi="宋体"/>
          <w:bCs/>
          <w:sz w:val="32"/>
          <w:szCs w:val="32"/>
        </w:rPr>
      </w:pPr>
    </w:p>
    <w:p>
      <w:pPr>
        <w:spacing w:line="560" w:lineRule="exact"/>
        <w:ind w:left="0" w:firstLine="640" w:firstLineChars="200"/>
        <w:jc w:val="left"/>
        <w:rPr>
          <w:rFonts w:hint="eastAsia" w:ascii="黑体" w:hAnsi="黑体" w:eastAsia="黑体" w:cs="黑体"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</w:t>
      </w: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基本情况</w:t>
      </w:r>
      <w:bookmarkStart w:id="0" w:name="_GoBack"/>
      <w:bookmarkEnd w:id="0"/>
    </w:p>
    <w:p>
      <w:pPr>
        <w:spacing w:line="560" w:lineRule="exact"/>
        <w:ind w:left="0" w:firstLine="643" w:firstLineChars="200"/>
        <w:jc w:val="left"/>
        <w:rPr>
          <w:rFonts w:hint="eastAsia" w:ascii="仿宋_GB2312" w:eastAsia="仿宋_GB2312"/>
          <w:b/>
          <w:bCs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（一）项目概况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开展老年人意外伤害保险工作，是应对人口老龄化带来的养老、医疗等方面社会风险，推进养老服务业和现代保险服务业融合发展的客观需要，</w:t>
      </w:r>
      <w:r>
        <w:rPr>
          <w:rFonts w:hint="eastAsia" w:ascii="仿宋_GB2312" w:eastAsia="仿宋_GB2312"/>
          <w:sz w:val="32"/>
          <w:szCs w:val="32"/>
        </w:rPr>
        <w:t>老年</w:t>
      </w:r>
      <w:r>
        <w:rPr>
          <w:rFonts w:hint="eastAsia" w:ascii="仿宋_GB2312" w:eastAsia="仿宋_GB2312"/>
          <w:sz w:val="32"/>
          <w:szCs w:val="32"/>
          <w:lang w:eastAsia="zh-CN"/>
        </w:rPr>
        <w:t>人</w:t>
      </w:r>
      <w:r>
        <w:rPr>
          <w:rFonts w:hint="eastAsia" w:ascii="仿宋_GB2312" w:eastAsia="仿宋_GB2312"/>
          <w:sz w:val="32"/>
          <w:szCs w:val="32"/>
        </w:rPr>
        <w:t>意外</w:t>
      </w:r>
      <w:r>
        <w:rPr>
          <w:rFonts w:hint="eastAsia" w:ascii="仿宋_GB2312" w:eastAsia="仿宋_GB2312"/>
          <w:sz w:val="32"/>
          <w:szCs w:val="32"/>
          <w:lang w:eastAsia="zh-CN"/>
        </w:rPr>
        <w:t>伤害保险</w:t>
      </w:r>
      <w:r>
        <w:rPr>
          <w:rFonts w:hint="eastAsia" w:ascii="仿宋_GB2312" w:eastAsia="仿宋_GB2312"/>
          <w:sz w:val="32"/>
          <w:szCs w:val="32"/>
        </w:rPr>
        <w:t>目的在于完善老年人保障体系，减少老年人因遭受意外伤害带来的风险损失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是由政府出资</w:t>
      </w:r>
      <w:r>
        <w:rPr>
          <w:rFonts w:hint="eastAsia" w:ascii="仿宋_GB2312" w:eastAsia="仿宋_GB2312"/>
          <w:sz w:val="32"/>
          <w:szCs w:val="32"/>
          <w:lang w:eastAsia="zh-CN"/>
        </w:rPr>
        <w:t>购买的一种惠民保险。老年人意外伤害保险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50元/人，投保对象为城乡低保老人、五保老人、特困老人和计生特扶家庭人群等5584人，本年收到县级项目资金31.5万元，支出27.92万元。</w:t>
      </w:r>
    </w:p>
    <w:p>
      <w:pPr>
        <w:spacing w:line="560" w:lineRule="exact"/>
        <w:ind w:left="0" w:firstLine="643" w:firstLineChars="200"/>
        <w:jc w:val="left"/>
        <w:rPr>
          <w:rFonts w:hint="eastAsia" w:ascii="仿宋_GB2312" w:eastAsia="仿宋_GB2312"/>
          <w:b/>
          <w:bCs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（二）项目绩效目标</w:t>
      </w:r>
    </w:p>
    <w:p>
      <w:pPr>
        <w:spacing w:line="560" w:lineRule="exact"/>
        <w:ind w:left="0" w:leftChars="0" w:firstLine="640" w:firstLineChars="200"/>
        <w:jc w:val="left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为城乡低保老人、五保老人、特困老人和计生特扶家庭人群购买意外伤害保险，购买率达到100%，2023年任务数5584人。</w:t>
      </w:r>
    </w:p>
    <w:p>
      <w:pPr>
        <w:spacing w:line="560" w:lineRule="exact"/>
        <w:ind w:left="0" w:firstLine="640" w:firstLineChars="200"/>
        <w:jc w:val="left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二、绩效评价工作开展情况</w:t>
      </w:r>
    </w:p>
    <w:p>
      <w:pPr>
        <w:pStyle w:val="2"/>
        <w:spacing w:before="0" w:beforeAutospacing="0" w:after="0" w:afterAutospacing="0" w:line="360" w:lineRule="auto"/>
        <w:ind w:firstLine="321" w:firstLineChars="100"/>
        <w:rPr>
          <w:rFonts w:hint="eastAsia" w:eastAsia="仿宋_GB2312"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bCs/>
          <w:sz w:val="32"/>
          <w:szCs w:val="32"/>
          <w:lang w:val="en-US" w:eastAsia="zh-CN" w:bidi="ar-SA"/>
        </w:rPr>
        <w:t>（一）绩效评价目的、对象和范围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Cs/>
          <w:sz w:val="32"/>
          <w:szCs w:val="32"/>
          <w:lang w:eastAsia="zh-CN"/>
        </w:rPr>
        <w:t>绩效评价目的：</w:t>
      </w:r>
      <w:r>
        <w:rPr>
          <w:rFonts w:hint="eastAsia" w:ascii="仿宋_GB2312" w:eastAsia="仿宋_GB2312"/>
          <w:sz w:val="32"/>
          <w:szCs w:val="32"/>
          <w:lang w:eastAsia="zh-CN"/>
        </w:rPr>
        <w:t>应对人口老龄化带来的养老、医疗等方面社会风险，推进养老服务业和现代保险服务业融合发展的客观需要，</w:t>
      </w:r>
      <w:r>
        <w:rPr>
          <w:rFonts w:hint="eastAsia" w:ascii="仿宋_GB2312" w:eastAsia="仿宋_GB2312"/>
          <w:sz w:val="32"/>
          <w:szCs w:val="32"/>
        </w:rPr>
        <w:t>老年</w:t>
      </w:r>
      <w:r>
        <w:rPr>
          <w:rFonts w:hint="eastAsia" w:ascii="仿宋_GB2312" w:eastAsia="仿宋_GB2312"/>
          <w:sz w:val="32"/>
          <w:szCs w:val="32"/>
          <w:lang w:eastAsia="zh-CN"/>
        </w:rPr>
        <w:t>人</w:t>
      </w:r>
      <w:r>
        <w:rPr>
          <w:rFonts w:hint="eastAsia" w:ascii="仿宋_GB2312" w:eastAsia="仿宋_GB2312"/>
          <w:sz w:val="32"/>
          <w:szCs w:val="32"/>
        </w:rPr>
        <w:t>意外</w:t>
      </w:r>
      <w:r>
        <w:rPr>
          <w:rFonts w:hint="eastAsia" w:ascii="仿宋_GB2312" w:eastAsia="仿宋_GB2312"/>
          <w:sz w:val="32"/>
          <w:szCs w:val="32"/>
          <w:lang w:eastAsia="zh-CN"/>
        </w:rPr>
        <w:t>伤害保险</w:t>
      </w:r>
      <w:r>
        <w:rPr>
          <w:rFonts w:hint="eastAsia" w:ascii="仿宋_GB2312" w:eastAsia="仿宋_GB2312"/>
          <w:sz w:val="32"/>
          <w:szCs w:val="32"/>
        </w:rPr>
        <w:t>目的在于完善老年人保障体系，减少老年人因遭受意外伤害带来的风险损失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pStyle w:val="5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对象和范围：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城乡低保老人、五保老人、特困老人和计生特扶家庭人群等5584人。</w:t>
      </w:r>
    </w:p>
    <w:p>
      <w:pPr>
        <w:spacing w:line="560" w:lineRule="exact"/>
        <w:ind w:left="0" w:firstLine="643" w:firstLineChars="200"/>
        <w:jc w:val="left"/>
        <w:rPr>
          <w:rFonts w:hint="eastAsia" w:ascii="仿宋_GB2312" w:eastAsia="仿宋_GB2312"/>
          <w:b/>
          <w:bCs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（二）绩效评价原则、评价指标体系、评价方法、评价标准等</w:t>
      </w:r>
    </w:p>
    <w:p>
      <w:pPr>
        <w:pStyle w:val="5"/>
        <w:ind w:firstLine="640" w:firstLineChars="200"/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结合项目特点，遵循以下评价原则：相关性原则、重要性原则、可比性原则、经济性原则、系统性原则。使绩效评价能反映项目资金使用所产生的社会效益、经济效益和可持续影响等。</w:t>
      </w:r>
    </w:p>
    <w:p>
      <w:pPr>
        <w:spacing w:line="560" w:lineRule="exact"/>
        <w:ind w:left="0" w:firstLine="643" w:firstLineChars="200"/>
        <w:jc w:val="left"/>
        <w:rPr>
          <w:rFonts w:hint="eastAsia" w:ascii="仿宋_GB2312" w:eastAsia="仿宋_GB2312"/>
          <w:b/>
          <w:bCs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eastAsia="zh-CN"/>
        </w:rPr>
        <w:t>（三）绩效评价工作过程</w:t>
      </w:r>
    </w:p>
    <w:p>
      <w:pPr>
        <w:pStyle w:val="2"/>
        <w:shd w:val="clear" w:color="auto" w:fill="FFFFFF"/>
        <w:spacing w:before="0" w:beforeAutospacing="0" w:after="0" w:afterAutospacing="0"/>
        <w:ind w:firstLine="640" w:firstLineChars="200"/>
        <w:jc w:val="both"/>
        <w:rPr>
          <w:rFonts w:hint="eastAsia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项目选用指标体系评价方法， 包括项目预算及预期绩效目标编制水平、预算执行率、项目组织管理水平、资金支出合理合规、项目产出、项目效果、满意度。各项指标均达到项目绩效目标。</w:t>
      </w:r>
    </w:p>
    <w:p>
      <w:pPr>
        <w:spacing w:line="560" w:lineRule="exact"/>
        <w:ind w:left="0" w:firstLine="640" w:firstLineChars="200"/>
        <w:jc w:val="left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三、综合评价情况及评价结论</w:t>
      </w:r>
    </w:p>
    <w:p>
      <w:pPr>
        <w:spacing w:line="560" w:lineRule="exact"/>
        <w:ind w:left="0" w:firstLine="640" w:firstLineChars="200"/>
        <w:jc w:val="left"/>
        <w:rPr>
          <w:rFonts w:hint="eastAsia" w:ascii="仿宋_GB2312" w:eastAsia="仿宋_GB2312"/>
          <w:bCs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Cs/>
          <w:sz w:val="32"/>
          <w:szCs w:val="32"/>
        </w:rPr>
        <w:t>本项目预算（即投入目标）编制科学、规范、合理，预期绩效目标申报完整，产出、效果类关键性指标清晰、明确、量化，投入与项目产出、效果目标匹配</w:t>
      </w:r>
      <w:r>
        <w:rPr>
          <w:rFonts w:hint="eastAsia" w:ascii="仿宋_GB2312" w:eastAsia="仿宋_GB2312"/>
          <w:bCs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bCs/>
          <w:sz w:val="32"/>
          <w:szCs w:val="32"/>
        </w:rPr>
        <w:t>本年项目支出符合国家相关法律法规、财务管理制度等规定，且均在预算范围内，无与本项目预算不相符或无关的资金支出</w:t>
      </w:r>
      <w:r>
        <w:rPr>
          <w:rFonts w:hint="eastAsia" w:ascii="仿宋_GB2312" w:eastAsia="仿宋_GB2312"/>
          <w:bCs/>
          <w:sz w:val="32"/>
          <w:szCs w:val="32"/>
          <w:lang w:eastAsia="zh-CN"/>
        </w:rPr>
        <w:t>；老年人意外伤害保险</w:t>
      </w:r>
      <w:r>
        <w:rPr>
          <w:rFonts w:hint="eastAsia" w:ascii="仿宋_GB2312" w:eastAsia="仿宋_GB2312"/>
          <w:bCs/>
          <w:sz w:val="32"/>
          <w:szCs w:val="32"/>
        </w:rPr>
        <w:t>项目支出绩效自评</w:t>
      </w:r>
      <w:r>
        <w:rPr>
          <w:rFonts w:hint="eastAsia" w:ascii="仿宋_GB2312" w:eastAsia="仿宋_GB2312"/>
          <w:bCs/>
          <w:sz w:val="32"/>
          <w:szCs w:val="32"/>
          <w:lang w:eastAsia="zh-CN"/>
        </w:rPr>
        <w:t>得分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98分。</w:t>
      </w:r>
    </w:p>
    <w:p>
      <w:pPr>
        <w:spacing w:line="560" w:lineRule="exact"/>
        <w:ind w:left="0" w:firstLine="643" w:firstLineChars="200"/>
        <w:jc w:val="left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四、绩效评价指标分析</w:t>
      </w:r>
    </w:p>
    <w:p>
      <w:pPr>
        <w:pStyle w:val="2"/>
        <w:shd w:val="clear" w:color="auto" w:fill="FFFFFF"/>
        <w:spacing w:before="0" w:beforeAutospacing="0" w:after="0" w:afterAutospacing="0" w:line="510" w:lineRule="atLeast"/>
        <w:ind w:firstLine="420"/>
        <w:jc w:val="both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bCs/>
          <w:sz w:val="32"/>
          <w:szCs w:val="32"/>
          <w:lang w:val="en-US" w:eastAsia="zh-CN" w:bidi="ar-SA"/>
        </w:rPr>
        <w:t>（一）项目决策情况。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立项依据充分、立项程序规范、绩效目标合理、绩效指标明确、预算编制科学、资金分配合理。</w:t>
      </w:r>
    </w:p>
    <w:p>
      <w:pPr>
        <w:pStyle w:val="2"/>
        <w:shd w:val="clear" w:color="auto" w:fill="FFFFFF"/>
        <w:spacing w:before="0" w:beforeAutospacing="0" w:after="0" w:afterAutospacing="0" w:line="510" w:lineRule="atLeast"/>
        <w:ind w:firstLine="643" w:firstLineChars="200"/>
        <w:jc w:val="both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bCs/>
          <w:sz w:val="32"/>
          <w:szCs w:val="32"/>
          <w:lang w:val="en-US" w:eastAsia="zh-CN" w:bidi="ar-SA"/>
        </w:rPr>
        <w:t>（二）项目过程情况。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资金到位率100%，资金使用合规、管理制度健全及执行有效。</w:t>
      </w:r>
    </w:p>
    <w:p>
      <w:pPr>
        <w:pStyle w:val="2"/>
        <w:shd w:val="clear" w:color="auto" w:fill="FFFFFF"/>
        <w:spacing w:before="0" w:beforeAutospacing="0" w:after="0" w:afterAutospacing="0" w:line="510" w:lineRule="atLeast"/>
        <w:ind w:firstLine="420"/>
        <w:jc w:val="both"/>
        <w:rPr>
          <w:rFonts w:hint="eastAsia" w:ascii="仿宋" w:hAnsi="仿宋" w:eastAsia="仿宋" w:cs="仿宋"/>
          <w:color w:val="333333"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bCs/>
          <w:sz w:val="32"/>
          <w:szCs w:val="32"/>
          <w:lang w:val="en-US" w:eastAsia="zh-CN" w:bidi="ar-SA"/>
        </w:rPr>
        <w:t>（三）项目产出情况。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2022年任务数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  <w:lang w:val="en-US" w:eastAsia="zh-CN"/>
        </w:rPr>
        <w:t>5584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人。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全年完成任务数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  <w:lang w:val="en-US" w:eastAsia="zh-CN"/>
        </w:rPr>
        <w:t>5584</w:t>
      </w:r>
      <w:r>
        <w:rPr>
          <w:rFonts w:hint="eastAsia" w:ascii="仿宋" w:hAnsi="仿宋" w:eastAsia="仿宋" w:cs="仿宋"/>
          <w:color w:val="000000"/>
          <w:sz w:val="32"/>
          <w:szCs w:val="32"/>
          <w:shd w:val="clear" w:color="auto" w:fill="FFFFFF"/>
        </w:rPr>
        <w:t>人，完成率100%，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完成及时。</w:t>
      </w:r>
    </w:p>
    <w:p>
      <w:pPr>
        <w:pStyle w:val="2"/>
        <w:shd w:val="clear" w:color="auto" w:fill="FFFFFF"/>
        <w:spacing w:before="0" w:beforeAutospacing="0" w:after="0" w:afterAutospacing="0" w:line="510" w:lineRule="atLeast"/>
        <w:ind w:firstLine="643" w:firstLineChars="200"/>
        <w:jc w:val="both"/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Times New Roman" w:eastAsia="仿宋_GB2312" w:cs="Times New Roman"/>
          <w:b/>
          <w:bCs/>
          <w:sz w:val="32"/>
          <w:szCs w:val="32"/>
          <w:lang w:val="en-US" w:eastAsia="zh-CN" w:bidi="ar-SA"/>
        </w:rPr>
        <w:t>（四）项目效益情况。</w:t>
      </w:r>
      <w:r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  <w:t>解决老年人健康保障问题，群众较满意。</w:t>
      </w:r>
    </w:p>
    <w:p>
      <w:pPr>
        <w:spacing w:line="560" w:lineRule="exact"/>
        <w:ind w:left="0" w:firstLine="643" w:firstLineChars="200"/>
        <w:jc w:val="left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五、主要经验及做法、存在的问题及原因分析</w:t>
      </w:r>
    </w:p>
    <w:p>
      <w:pPr>
        <w:pStyle w:val="5"/>
        <w:rPr>
          <w:rFonts w:hint="default" w:eastAsia="仿宋_GB2312"/>
          <w:b w:val="0"/>
          <w:bCs w:val="0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val="en-US" w:eastAsia="zh-CN"/>
        </w:rPr>
        <w:t xml:space="preserve">  </w:t>
      </w:r>
      <w:r>
        <w:rPr>
          <w:rFonts w:hint="eastAsia" w:eastAsia="仿宋_GB2312"/>
          <w:b w:val="0"/>
          <w:bCs w:val="0"/>
          <w:sz w:val="32"/>
          <w:szCs w:val="32"/>
          <w:lang w:val="en-US" w:eastAsia="zh-CN"/>
        </w:rPr>
        <w:t>“银铃安康”工程老人意外伤害保险年初财政预算，由中国人寿保险股份有限 公司怀化分公司（市卫健委确定的中标公司）承保，投保时限为头年的4月1日至第二年的3月，每人保费50元。存在的问题：投保保费过低。</w:t>
      </w:r>
    </w:p>
    <w:p>
      <w:pPr>
        <w:spacing w:line="560" w:lineRule="exact"/>
        <w:ind w:left="0" w:firstLine="643" w:firstLineChars="200"/>
        <w:jc w:val="left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六、有关建议</w:t>
      </w:r>
    </w:p>
    <w:p>
      <w:pPr>
        <w:spacing w:line="560" w:lineRule="exact"/>
        <w:ind w:left="0" w:firstLine="640" w:firstLineChars="200"/>
        <w:jc w:val="left"/>
        <w:rPr>
          <w:rFonts w:hint="eastAsia" w:eastAsia="仿宋_GB2312"/>
          <w:b w:val="0"/>
          <w:bCs w:val="0"/>
          <w:sz w:val="32"/>
          <w:szCs w:val="32"/>
          <w:lang w:eastAsia="zh-CN"/>
        </w:rPr>
      </w:pPr>
      <w:r>
        <w:rPr>
          <w:rFonts w:hint="eastAsia" w:eastAsia="仿宋_GB2312"/>
          <w:b w:val="0"/>
          <w:bCs w:val="0"/>
          <w:sz w:val="32"/>
          <w:szCs w:val="32"/>
        </w:rPr>
        <w:t>无</w:t>
      </w:r>
      <w:r>
        <w:rPr>
          <w:rFonts w:hint="eastAsia" w:eastAsia="仿宋_GB2312"/>
          <w:b w:val="0"/>
          <w:bCs w:val="0"/>
          <w:sz w:val="32"/>
          <w:szCs w:val="32"/>
          <w:lang w:eastAsia="zh-CN"/>
        </w:rPr>
        <w:t>。</w:t>
      </w:r>
    </w:p>
    <w:p>
      <w:pPr>
        <w:spacing w:line="560" w:lineRule="exact"/>
        <w:ind w:left="0" w:firstLine="643" w:firstLineChars="200"/>
        <w:jc w:val="left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七、其他需要说明的问题</w:t>
      </w:r>
    </w:p>
    <w:p>
      <w:pPr>
        <w:pStyle w:val="2"/>
        <w:widowControl w:val="0"/>
        <w:tabs>
          <w:tab w:val="left" w:pos="1095"/>
        </w:tabs>
        <w:spacing w:before="0" w:beforeAutospacing="0" w:after="0" w:afterAutospacing="0" w:line="520" w:lineRule="exact"/>
        <w:ind w:firstLine="560" w:firstLineChars="200"/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</w:pPr>
      <w:r>
        <w:rPr>
          <w:rFonts w:hint="eastAsia" w:ascii="Times New Roman" w:hAnsi="Times New Roman" w:eastAsia="仿宋_GB2312" w:cs="Times New Roman"/>
          <w:sz w:val="28"/>
          <w:szCs w:val="28"/>
        </w:rPr>
        <w:t>无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。</w:t>
      </w:r>
    </w:p>
    <w:p>
      <w:pPr>
        <w:pStyle w:val="2"/>
        <w:shd w:val="clear" w:color="auto" w:fill="FFFFFF"/>
        <w:spacing w:before="0" w:beforeAutospacing="0" w:after="0" w:afterAutospacing="0" w:line="510" w:lineRule="atLeast"/>
        <w:ind w:firstLine="640" w:firstLineChars="200"/>
        <w:jc w:val="both"/>
        <w:rPr>
          <w:rFonts w:hint="eastAsia" w:ascii="仿宋" w:hAnsi="仿宋" w:eastAsia="仿宋" w:cs="仿宋"/>
          <w:color w:val="333333"/>
          <w:sz w:val="32"/>
          <w:szCs w:val="32"/>
          <w:shd w:val="clear" w:color="auto" w:fill="FFFFFF"/>
        </w:rPr>
      </w:pPr>
    </w:p>
    <w:p>
      <w:pPr>
        <w:pStyle w:val="5"/>
        <w:rPr>
          <w:rFonts w:hint="default"/>
          <w:lang w:val="en-US" w:eastAsia="zh-CN"/>
        </w:rPr>
      </w:pPr>
    </w:p>
    <w:p>
      <w:pPr>
        <w:ind w:left="8960" w:hanging="8960" w:hangingChars="28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 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 xml:space="preserve">                             </w:t>
      </w:r>
      <w:r>
        <w:rPr>
          <w:rFonts w:hint="eastAsia" w:ascii="仿宋_GB2312" w:eastAsia="仿宋_GB2312"/>
          <w:sz w:val="32"/>
          <w:szCs w:val="32"/>
          <w:lang w:eastAsia="zh-CN"/>
        </w:rPr>
        <w:t>新晃县卫生健康局</w:t>
      </w:r>
      <w:r>
        <w:rPr>
          <w:rFonts w:hint="eastAsia" w:ascii="仿宋_GB2312" w:eastAsia="仿宋_GB2312"/>
          <w:sz w:val="32"/>
          <w:szCs w:val="32"/>
        </w:rPr>
        <w:t xml:space="preserve">                     </w:t>
      </w:r>
    </w:p>
    <w:p>
      <w:pPr>
        <w:ind w:firstLine="4800" w:firstLineChars="1500"/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4月1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spacing w:line="560" w:lineRule="exact"/>
        <w:ind w:left="0" w:firstLine="640" w:firstLineChars="200"/>
        <w:jc w:val="left"/>
        <w:rPr>
          <w:rFonts w:hint="eastAsia" w:ascii="黑体" w:hAnsi="黑体" w:eastAsia="黑体" w:cs="黑体"/>
          <w:bCs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dhYjYyNDZlYTNkMzMxNGM4MTc2MDE5MDgyMmI1ZWMifQ=="/>
    <w:docVar w:name="KSO_WPS_MARK_KEY" w:val="186836f6-eb8f-4c4f-a6a3-fbd38980bb5c"/>
  </w:docVars>
  <w:rsids>
    <w:rsidRoot w:val="4AD9434A"/>
    <w:rsid w:val="0D743879"/>
    <w:rsid w:val="270414D4"/>
    <w:rsid w:val="4AD9434A"/>
    <w:rsid w:val="55D86CB9"/>
    <w:rsid w:val="5F4F47ED"/>
    <w:rsid w:val="7EB45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paragraph" w:customStyle="1" w:styleId="5">
    <w:name w:val="BodyText1I"/>
    <w:basedOn w:val="1"/>
    <w:qFormat/>
    <w:uiPriority w:val="99"/>
    <w:pPr>
      <w:snapToGrid w:val="0"/>
      <w:spacing w:line="360" w:lineRule="auto"/>
      <w:ind w:firstLine="420" w:firstLineChars="100"/>
    </w:pPr>
    <w:rPr>
      <w:sz w:val="2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1207</Words>
  <Characters>1344</Characters>
  <Lines>0</Lines>
  <Paragraphs>0</Paragraphs>
  <TotalTime>4</TotalTime>
  <ScaleCrop>false</ScaleCrop>
  <LinksUpToDate>false</LinksUpToDate>
  <CharactersWithSpaces>1499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2023-05-05T00:40:00Z</dcterms:created>
  <dc:creator>八月的风</dc:creator>
  <cp:lastModifiedBy>Administrator</cp:lastModifiedBy>
  <cp:lastPrinted>2023-05-10T03:24:00Z</cp:lastPrinted>
  <dcterms:modified xsi:type="dcterms:W3CDTF">2024-04-10T07:10:04Z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96789CE172A74D43A484E94A6BFEE300_13</vt:lpwstr>
  </property>
</Properties>
</file>