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Autospacing="1" w:after="100" w:afterAutospacing="1" w:line="240" w:lineRule="exact"/>
        <w:jc w:val="left"/>
        <w:rPr>
          <w:rFonts w:hint="eastAsia" w:ascii="仿宋_GB2312" w:hAnsi="仿宋_GB2312" w:eastAsia="仿宋_GB2312" w:cs="仿宋_GB2312"/>
          <w:sz w:val="24"/>
        </w:rPr>
      </w:pPr>
      <w:bookmarkStart w:id="0" w:name="_GoBack"/>
      <w:bookmarkEnd w:id="0"/>
      <w:r>
        <w:rPr>
          <w:rFonts w:hint="eastAsia" w:ascii="仿宋_GB2312" w:hAnsi="仿宋_GB2312" w:eastAsia="仿宋_GB2312" w:cs="仿宋_GB2312"/>
          <w:sz w:val="24"/>
        </w:rPr>
        <w:t>附件1-1</w:t>
      </w:r>
    </w:p>
    <w:p>
      <w:pPr>
        <w:spacing w:line="480" w:lineRule="exact"/>
        <w:jc w:val="center"/>
        <w:rPr>
          <w:rFonts w:eastAsia="方正粗宋简体"/>
          <w:w w:val="85"/>
          <w:kern w:val="0"/>
          <w:sz w:val="44"/>
          <w:szCs w:val="44"/>
        </w:rPr>
      </w:pPr>
      <w:r>
        <w:rPr>
          <w:rFonts w:eastAsia="方正粗宋简体"/>
          <w:w w:val="85"/>
          <w:kern w:val="0"/>
          <w:sz w:val="44"/>
          <w:szCs w:val="44"/>
        </w:rPr>
        <w:t>2020</w:t>
      </w:r>
      <w:r>
        <w:rPr>
          <w:rFonts w:hAnsi="方正粗宋简体" w:eastAsia="方正粗宋简体"/>
          <w:w w:val="85"/>
          <w:kern w:val="0"/>
          <w:sz w:val="44"/>
          <w:szCs w:val="44"/>
        </w:rPr>
        <w:t>年度新晃侗族自治县财政支出项目绩效评分表</w:t>
      </w:r>
    </w:p>
    <w:p>
      <w:pPr>
        <w:spacing w:before="156" w:beforeLines="50" w:line="240" w:lineRule="exact"/>
        <w:ind w:firstLine="482"/>
        <w:jc w:val="center"/>
        <w:rPr>
          <w:rFonts w:eastAsia="仿宋_GB2312"/>
          <w:kern w:val="0"/>
          <w:szCs w:val="21"/>
        </w:rPr>
      </w:pPr>
      <w:r>
        <w:rPr>
          <w:kern w:val="0"/>
          <w:sz w:val="24"/>
        </w:rPr>
        <w:t xml:space="preserve">                                                  </w:t>
      </w:r>
      <w:r>
        <w:rPr>
          <w:rFonts w:eastAsia="仿宋_GB2312"/>
          <w:kern w:val="0"/>
          <w:szCs w:val="21"/>
        </w:rPr>
        <w:t>金额单位：万元</w:t>
      </w:r>
    </w:p>
    <w:tbl>
      <w:tblPr>
        <w:tblStyle w:val="4"/>
        <w:tblpPr w:leftFromText="180" w:rightFromText="180" w:vertAnchor="text" w:horzAnchor="page" w:tblpX="1195" w:tblpY="107"/>
        <w:tblOverlap w:val="never"/>
        <w:tblW w:w="967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356"/>
        <w:gridCol w:w="1307"/>
        <w:gridCol w:w="1339"/>
        <w:gridCol w:w="1666"/>
        <w:gridCol w:w="1084"/>
        <w:gridCol w:w="122"/>
        <w:gridCol w:w="758"/>
        <w:gridCol w:w="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项目单位</w:t>
            </w:r>
          </w:p>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名称</w:t>
            </w:r>
          </w:p>
        </w:tc>
        <w:tc>
          <w:tcPr>
            <w:tcW w:w="2663" w:type="dxa"/>
            <w:gridSpan w:val="2"/>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（盖章）</w:t>
            </w:r>
          </w:p>
        </w:tc>
        <w:tc>
          <w:tcPr>
            <w:tcW w:w="1339"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项目名称</w:t>
            </w:r>
          </w:p>
        </w:tc>
        <w:tc>
          <w:tcPr>
            <w:tcW w:w="4364" w:type="dxa"/>
            <w:gridSpan w:val="5"/>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eastAsia="仿宋_GB2312"/>
                <w:kern w:val="0"/>
                <w:lang w:val="en-US" w:eastAsia="zh-CN"/>
              </w:rPr>
              <w:t>卫生院、村卫生室</w:t>
            </w:r>
            <w:r>
              <w:rPr>
                <w:rFonts w:hint="eastAsia" w:ascii="仿宋_GB2312" w:eastAsia="仿宋_GB2312"/>
                <w:kern w:val="0"/>
              </w:rPr>
              <w:t>实施</w:t>
            </w:r>
            <w:r>
              <w:rPr>
                <w:rFonts w:ascii="仿宋_GB2312" w:eastAsia="仿宋_GB2312"/>
                <w:kern w:val="0"/>
              </w:rPr>
              <w:t>国家基本药物制度补助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w:t>
            </w:r>
          </w:p>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责任部门</w:t>
            </w:r>
          </w:p>
        </w:tc>
        <w:tc>
          <w:tcPr>
            <w:tcW w:w="2663" w:type="dxa"/>
            <w:gridSpan w:val="2"/>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eastAsia="仿宋_GB2312"/>
                <w:kern w:val="0"/>
              </w:rPr>
              <w:t>卫健局</w:t>
            </w:r>
            <w:r>
              <w:rPr>
                <w:rFonts w:hint="eastAsia" w:ascii="仿宋_GB2312" w:eastAsia="仿宋_GB2312"/>
                <w:kern w:val="0"/>
                <w:lang w:val="en-US" w:eastAsia="zh-CN"/>
              </w:rPr>
              <w:t>医政医管股</w:t>
            </w:r>
          </w:p>
        </w:tc>
        <w:tc>
          <w:tcPr>
            <w:tcW w:w="1339"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项目负责人</w:t>
            </w:r>
          </w:p>
        </w:tc>
        <w:tc>
          <w:tcPr>
            <w:tcW w:w="1666"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龙玉灿</w:t>
            </w:r>
          </w:p>
        </w:tc>
        <w:tc>
          <w:tcPr>
            <w:tcW w:w="1084"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联系</w:t>
            </w:r>
          </w:p>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电话</w:t>
            </w:r>
          </w:p>
        </w:tc>
        <w:tc>
          <w:tcPr>
            <w:tcW w:w="1614" w:type="dxa"/>
            <w:gridSpan w:val="3"/>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13349619838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vMerge w:val="restart"/>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w:t>
            </w:r>
          </w:p>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基本</w:t>
            </w:r>
          </w:p>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情况</w:t>
            </w:r>
          </w:p>
        </w:tc>
        <w:tc>
          <w:tcPr>
            <w:tcW w:w="1356"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上年</w:t>
            </w:r>
          </w:p>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结转</w:t>
            </w:r>
          </w:p>
        </w:tc>
        <w:tc>
          <w:tcPr>
            <w:tcW w:w="1307"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年初预算安排数</w:t>
            </w:r>
          </w:p>
        </w:tc>
        <w:tc>
          <w:tcPr>
            <w:tcW w:w="1339"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预算调整数</w:t>
            </w:r>
          </w:p>
        </w:tc>
        <w:tc>
          <w:tcPr>
            <w:tcW w:w="1666"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财政支付数</w:t>
            </w:r>
          </w:p>
        </w:tc>
        <w:tc>
          <w:tcPr>
            <w:tcW w:w="2698" w:type="dxa"/>
            <w:gridSpan w:val="4"/>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预算结余数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4" w:hRule="atLeast"/>
          <w:tblCellSpacing w:w="0" w:type="dxa"/>
        </w:trPr>
        <w:tc>
          <w:tcPr>
            <w:tcW w:w="1312" w:type="dxa"/>
            <w:vMerge w:val="continue"/>
            <w:noWrap w:val="0"/>
            <w:vAlign w:val="center"/>
          </w:tcPr>
          <w:p>
            <w:pPr>
              <w:spacing w:line="320" w:lineRule="exact"/>
              <w:jc w:val="center"/>
              <w:rPr>
                <w:rFonts w:hint="eastAsia" w:ascii="仿宋_GB2312" w:hAnsi="仿宋_GB2312" w:eastAsia="仿宋_GB2312" w:cs="仿宋_GB2312"/>
                <w:kern w:val="0"/>
                <w:szCs w:val="21"/>
              </w:rPr>
            </w:pPr>
          </w:p>
        </w:tc>
        <w:tc>
          <w:tcPr>
            <w:tcW w:w="1356"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0</w:t>
            </w:r>
          </w:p>
        </w:tc>
        <w:tc>
          <w:tcPr>
            <w:tcW w:w="1307"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655.2</w:t>
            </w:r>
          </w:p>
        </w:tc>
        <w:tc>
          <w:tcPr>
            <w:tcW w:w="1339"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0</w:t>
            </w:r>
          </w:p>
        </w:tc>
        <w:tc>
          <w:tcPr>
            <w:tcW w:w="1666"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655.2</w:t>
            </w:r>
          </w:p>
        </w:tc>
        <w:tc>
          <w:tcPr>
            <w:tcW w:w="2698" w:type="dxa"/>
            <w:gridSpan w:val="4"/>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评价内容</w:t>
            </w:r>
          </w:p>
        </w:tc>
        <w:tc>
          <w:tcPr>
            <w:tcW w:w="1356"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分值</w:t>
            </w:r>
          </w:p>
        </w:tc>
        <w:tc>
          <w:tcPr>
            <w:tcW w:w="5518" w:type="dxa"/>
            <w:gridSpan w:val="5"/>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评价简述</w:t>
            </w:r>
          </w:p>
        </w:tc>
        <w:tc>
          <w:tcPr>
            <w:tcW w:w="758"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自评得分</w:t>
            </w:r>
          </w:p>
        </w:tc>
        <w:tc>
          <w:tcPr>
            <w:tcW w:w="734"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复评得分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项目预算及预期绩效目标编制水平</w:t>
            </w:r>
          </w:p>
        </w:tc>
        <w:tc>
          <w:tcPr>
            <w:tcW w:w="1356"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10</w:t>
            </w:r>
          </w:p>
        </w:tc>
        <w:tc>
          <w:tcPr>
            <w:tcW w:w="5518" w:type="dxa"/>
            <w:gridSpan w:val="5"/>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例如：本项目预算（即投入目标）编制科学、规范、合理，预期绩效目标申报完整，产出、效果类关键性指标清晰、明确、量化，投入与项目产出、效果目标匹配。</w:t>
            </w:r>
          </w:p>
        </w:tc>
        <w:tc>
          <w:tcPr>
            <w:tcW w:w="758"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10</w:t>
            </w:r>
          </w:p>
        </w:tc>
        <w:tc>
          <w:tcPr>
            <w:tcW w:w="734"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预算执行率</w:t>
            </w:r>
          </w:p>
        </w:tc>
        <w:tc>
          <w:tcPr>
            <w:tcW w:w="1356"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10</w:t>
            </w:r>
          </w:p>
        </w:tc>
        <w:tc>
          <w:tcPr>
            <w:tcW w:w="5518" w:type="dxa"/>
            <w:gridSpan w:val="5"/>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例如：该项目预算执行率为*%。根据实际情况评分</w:t>
            </w:r>
          </w:p>
        </w:tc>
        <w:tc>
          <w:tcPr>
            <w:tcW w:w="758"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10</w:t>
            </w:r>
          </w:p>
        </w:tc>
        <w:tc>
          <w:tcPr>
            <w:tcW w:w="734"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项目组织管理水平</w:t>
            </w:r>
          </w:p>
        </w:tc>
        <w:tc>
          <w:tcPr>
            <w:tcW w:w="1356"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15</w:t>
            </w:r>
          </w:p>
        </w:tc>
        <w:tc>
          <w:tcPr>
            <w:tcW w:w="5518" w:type="dxa"/>
            <w:gridSpan w:val="5"/>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例如：本项目建立了**等项目管理制度，并严格按相关制度执行。</w:t>
            </w:r>
          </w:p>
        </w:tc>
        <w:tc>
          <w:tcPr>
            <w:tcW w:w="758"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15</w:t>
            </w:r>
          </w:p>
        </w:tc>
        <w:tc>
          <w:tcPr>
            <w:tcW w:w="734"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资金支出</w:t>
            </w:r>
          </w:p>
          <w:p>
            <w:pPr>
              <w:spacing w:line="30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合理合规</w:t>
            </w:r>
          </w:p>
        </w:tc>
        <w:tc>
          <w:tcPr>
            <w:tcW w:w="1356"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15</w:t>
            </w:r>
          </w:p>
        </w:tc>
        <w:tc>
          <w:tcPr>
            <w:tcW w:w="5518" w:type="dxa"/>
            <w:gridSpan w:val="5"/>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例如：本年项目支出符合国家相关法律法规、财务管理制度等规定，且均在预算范围内，无与本项目预算不相符或无关的资金支出。</w:t>
            </w:r>
          </w:p>
        </w:tc>
        <w:tc>
          <w:tcPr>
            <w:tcW w:w="758"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15</w:t>
            </w:r>
          </w:p>
        </w:tc>
        <w:tc>
          <w:tcPr>
            <w:tcW w:w="734"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项目产出</w:t>
            </w:r>
          </w:p>
        </w:tc>
        <w:tc>
          <w:tcPr>
            <w:tcW w:w="1356"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30</w:t>
            </w:r>
          </w:p>
        </w:tc>
        <w:tc>
          <w:tcPr>
            <w:tcW w:w="5518" w:type="dxa"/>
            <w:gridSpan w:val="5"/>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对照项目产出目标，按产出数量、产出质量、产出时效以及成本控制等方面进行自我评价。</w:t>
            </w:r>
          </w:p>
        </w:tc>
        <w:tc>
          <w:tcPr>
            <w:tcW w:w="758"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30</w:t>
            </w:r>
          </w:p>
        </w:tc>
        <w:tc>
          <w:tcPr>
            <w:tcW w:w="734"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项目效益（效果）</w:t>
            </w:r>
          </w:p>
        </w:tc>
        <w:tc>
          <w:tcPr>
            <w:tcW w:w="1356"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20</w:t>
            </w:r>
          </w:p>
        </w:tc>
        <w:tc>
          <w:tcPr>
            <w:tcW w:w="5518" w:type="dxa"/>
            <w:gridSpan w:val="5"/>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对照项目效益目标，可从经济效益、社会效益、环境效益和可持续影响及服务对象满意度等5个具体绩效指标进行评价。</w:t>
            </w:r>
          </w:p>
        </w:tc>
        <w:tc>
          <w:tcPr>
            <w:tcW w:w="758"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20</w:t>
            </w:r>
          </w:p>
        </w:tc>
        <w:tc>
          <w:tcPr>
            <w:tcW w:w="734"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小计</w:t>
            </w:r>
          </w:p>
        </w:tc>
        <w:tc>
          <w:tcPr>
            <w:tcW w:w="1356"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100</w:t>
            </w:r>
          </w:p>
        </w:tc>
        <w:tc>
          <w:tcPr>
            <w:tcW w:w="5518" w:type="dxa"/>
            <w:gridSpan w:val="5"/>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kern w:val="0"/>
                <w:szCs w:val="21"/>
              </w:rPr>
            </w:pPr>
          </w:p>
        </w:tc>
        <w:tc>
          <w:tcPr>
            <w:tcW w:w="758"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100</w:t>
            </w:r>
          </w:p>
        </w:tc>
        <w:tc>
          <w:tcPr>
            <w:tcW w:w="734"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负向指标</w:t>
            </w:r>
          </w:p>
        </w:tc>
        <w:tc>
          <w:tcPr>
            <w:tcW w:w="1356"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kern w:val="0"/>
                <w:szCs w:val="21"/>
              </w:rPr>
            </w:pPr>
          </w:p>
        </w:tc>
        <w:tc>
          <w:tcPr>
            <w:tcW w:w="5518" w:type="dxa"/>
            <w:gridSpan w:val="5"/>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主要评价自评得分与复评得分差异率。差异率≤10%，不扣分；10%&lt;差异率≤15%，扣2分；15%&lt;差异率≤20%，扣4分；差异率&gt;20%，扣6分。</w:t>
            </w:r>
          </w:p>
        </w:tc>
        <w:tc>
          <w:tcPr>
            <w:tcW w:w="758"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p>
        </w:tc>
        <w:tc>
          <w:tcPr>
            <w:tcW w:w="734"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4"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合计</w:t>
            </w:r>
          </w:p>
        </w:tc>
        <w:tc>
          <w:tcPr>
            <w:tcW w:w="1356"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100</w:t>
            </w:r>
          </w:p>
        </w:tc>
        <w:tc>
          <w:tcPr>
            <w:tcW w:w="5518" w:type="dxa"/>
            <w:gridSpan w:val="5"/>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p>
        </w:tc>
        <w:tc>
          <w:tcPr>
            <w:tcW w:w="758"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100</w:t>
            </w:r>
          </w:p>
        </w:tc>
        <w:tc>
          <w:tcPr>
            <w:tcW w:w="734"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评价结果</w:t>
            </w:r>
          </w:p>
        </w:tc>
        <w:tc>
          <w:tcPr>
            <w:tcW w:w="1356"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kern w:val="0"/>
                <w:szCs w:val="21"/>
              </w:rPr>
            </w:pPr>
          </w:p>
        </w:tc>
        <w:tc>
          <w:tcPr>
            <w:tcW w:w="7010" w:type="dxa"/>
            <w:gridSpan w:val="7"/>
            <w:noWrap w:val="0"/>
            <w:tcMar>
              <w:top w:w="0" w:type="dxa"/>
              <w:left w:w="105" w:type="dxa"/>
              <w:bottom w:w="0" w:type="dxa"/>
              <w:right w:w="105" w:type="dxa"/>
            </w:tcMar>
            <w:vAlign w:val="center"/>
          </w:tcPr>
          <w:p>
            <w:pPr>
              <w:spacing w:line="320" w:lineRule="exact"/>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□优秀  9</w:t>
            </w:r>
            <w:r>
              <w:rPr>
                <w:rFonts w:ascii="仿宋_GB2312" w:hAnsi="仿宋_GB2312" w:eastAsia="仿宋_GB2312" w:cs="仿宋_GB2312"/>
                <w:kern w:val="0"/>
                <w:szCs w:val="21"/>
              </w:rPr>
              <w:t>5</w:t>
            </w:r>
            <w:r>
              <w:rPr>
                <w:rFonts w:hint="eastAsia" w:ascii="仿宋_GB2312" w:hAnsi="仿宋_GB2312" w:eastAsia="仿宋_GB2312" w:cs="仿宋_GB2312"/>
                <w:kern w:val="0"/>
                <w:szCs w:val="21"/>
              </w:rPr>
              <w:t xml:space="preserve">分≤得分≤100分； □良好  </w:t>
            </w:r>
            <w:r>
              <w:rPr>
                <w:rFonts w:ascii="仿宋_GB2312" w:hAnsi="仿宋_GB2312" w:eastAsia="仿宋_GB2312" w:cs="仿宋_GB2312"/>
                <w:kern w:val="0"/>
                <w:szCs w:val="21"/>
              </w:rPr>
              <w:t>80</w:t>
            </w:r>
            <w:r>
              <w:rPr>
                <w:rFonts w:hint="eastAsia" w:ascii="仿宋_GB2312" w:hAnsi="仿宋_GB2312" w:eastAsia="仿宋_GB2312" w:cs="仿宋_GB2312"/>
                <w:kern w:val="0"/>
                <w:szCs w:val="21"/>
              </w:rPr>
              <w:t>分≤得分＜9</w:t>
            </w:r>
            <w:r>
              <w:rPr>
                <w:rFonts w:ascii="仿宋_GB2312" w:hAnsi="仿宋_GB2312" w:eastAsia="仿宋_GB2312" w:cs="仿宋_GB2312"/>
                <w:kern w:val="0"/>
                <w:szCs w:val="21"/>
              </w:rPr>
              <w:t>5</w:t>
            </w:r>
            <w:r>
              <w:rPr>
                <w:rFonts w:hint="eastAsia" w:ascii="仿宋_GB2312" w:hAnsi="仿宋_GB2312" w:eastAsia="仿宋_GB2312" w:cs="仿宋_GB2312"/>
                <w:kern w:val="0"/>
                <w:szCs w:val="21"/>
              </w:rPr>
              <w:t>分；□一般  60分≤得分＜</w:t>
            </w:r>
            <w:r>
              <w:rPr>
                <w:rFonts w:ascii="仿宋_GB2312" w:hAnsi="仿宋_GB2312" w:eastAsia="仿宋_GB2312" w:cs="仿宋_GB2312"/>
                <w:kern w:val="0"/>
                <w:szCs w:val="21"/>
              </w:rPr>
              <w:t>80</w:t>
            </w:r>
            <w:r>
              <w:rPr>
                <w:rFonts w:hint="eastAsia" w:ascii="仿宋_GB2312" w:hAnsi="仿宋_GB2312" w:eastAsia="仿宋_GB2312" w:cs="仿宋_GB2312"/>
                <w:kern w:val="0"/>
                <w:szCs w:val="21"/>
              </w:rPr>
              <w:t>分；  □较差  得分＜60分</w:t>
            </w:r>
          </w:p>
        </w:tc>
      </w:tr>
    </w:tbl>
    <w:p>
      <w:pPr>
        <w:spacing w:line="320" w:lineRule="exact"/>
        <w:rPr>
          <w:rFonts w:hAnsi="宋体"/>
          <w:szCs w:val="21"/>
        </w:rPr>
      </w:pPr>
    </w:p>
    <w:p>
      <w:pPr>
        <w:spacing w:line="320" w:lineRule="exact"/>
        <w:rPr>
          <w:szCs w:val="21"/>
        </w:rPr>
      </w:pPr>
      <w:r>
        <w:rPr>
          <w:rFonts w:hAnsi="宋体"/>
          <w:szCs w:val="21"/>
        </w:rPr>
        <w:t>单位负责人（签字）：</w:t>
      </w:r>
      <w:r>
        <w:rPr>
          <w:szCs w:val="21"/>
        </w:rPr>
        <w:t xml:space="preserve">                           </w:t>
      </w:r>
      <w:r>
        <w:rPr>
          <w:rFonts w:hAnsi="宋体"/>
          <w:szCs w:val="21"/>
        </w:rPr>
        <w:t>项目负责人（签字）：</w:t>
      </w:r>
      <w:r>
        <w:rPr>
          <w:szCs w:val="21"/>
        </w:rPr>
        <w:t xml:space="preserve">   </w:t>
      </w:r>
    </w:p>
    <w:p>
      <w:pPr>
        <w:spacing w:line="320" w:lineRule="exact"/>
        <w:rPr>
          <w:szCs w:val="21"/>
        </w:rPr>
      </w:pPr>
      <w:r>
        <w:rPr>
          <w:rFonts w:hAnsi="宋体"/>
          <w:szCs w:val="21"/>
        </w:rPr>
        <w:t>填表日期：</w:t>
      </w:r>
      <w:r>
        <w:rPr>
          <w:szCs w:val="21"/>
        </w:rPr>
        <w:t xml:space="preserve">    </w:t>
      </w:r>
      <w:r>
        <w:rPr>
          <w:rFonts w:hAnsi="宋体"/>
          <w:szCs w:val="21"/>
        </w:rPr>
        <w:t>年</w:t>
      </w:r>
      <w:r>
        <w:rPr>
          <w:szCs w:val="21"/>
        </w:rPr>
        <w:t xml:space="preserve">    </w:t>
      </w:r>
      <w:r>
        <w:rPr>
          <w:rFonts w:hAnsi="宋体"/>
          <w:szCs w:val="21"/>
        </w:rPr>
        <w:t>月</w:t>
      </w:r>
      <w:r>
        <w:rPr>
          <w:szCs w:val="21"/>
        </w:rPr>
        <w:t xml:space="preserve">    </w:t>
      </w:r>
      <w:r>
        <w:rPr>
          <w:rFonts w:hAnsi="宋体"/>
          <w:szCs w:val="21"/>
        </w:rPr>
        <w:t>日</w:t>
      </w:r>
    </w:p>
    <w:p/>
    <w:p>
      <w:pPr>
        <w:spacing w:line="560" w:lineRule="exact"/>
        <w:ind w:firstLine="480" w:firstLineChars="200"/>
        <w:jc w:val="left"/>
        <w:rPr>
          <w:kern w:val="0"/>
          <w:sz w:val="24"/>
        </w:rPr>
      </w:pPr>
      <w:r>
        <w:rPr>
          <w:rFonts w:hint="eastAsia" w:ascii="仿宋_GB2312" w:hAnsi="仿宋_GB2312" w:eastAsia="仿宋_GB2312" w:cs="仿宋_GB2312"/>
          <w:sz w:val="24"/>
        </w:rPr>
        <w:t>附件3-1</w:t>
      </w:r>
    </w:p>
    <w:p>
      <w:pPr>
        <w:pStyle w:val="3"/>
        <w:widowControl w:val="0"/>
        <w:spacing w:before="0" w:beforeAutospacing="0" w:after="0" w:afterAutospacing="0" w:line="800" w:lineRule="exact"/>
        <w:ind w:left="-199" w:leftChars="-95" w:firstLine="0" w:firstLineChars="0"/>
        <w:jc w:val="center"/>
        <w:rPr>
          <w:rStyle w:val="6"/>
          <w:rFonts w:ascii="Times New Roman" w:hAnsi="Times New Roman" w:eastAsia="方正粗宋简体" w:cs="Times New Roman"/>
          <w:b w:val="0"/>
          <w:sz w:val="44"/>
          <w:szCs w:val="44"/>
        </w:rPr>
      </w:pPr>
      <w:r>
        <w:rPr>
          <w:rStyle w:val="6"/>
          <w:rFonts w:ascii="Times New Roman" w:hAnsi="Times New Roman" w:eastAsia="方正粗宋简体" w:cs="Times New Roman"/>
          <w:b w:val="0"/>
          <w:sz w:val="44"/>
          <w:szCs w:val="44"/>
        </w:rPr>
        <w:t>2020年度财政支出绩效自评完成情况汇总表</w:t>
      </w:r>
    </w:p>
    <w:p>
      <w:pPr>
        <w:spacing w:line="400" w:lineRule="exact"/>
        <w:rPr>
          <w:rFonts w:eastAsia="华文中宋"/>
          <w:kern w:val="0"/>
          <w:sz w:val="24"/>
        </w:rPr>
      </w:pPr>
      <w:r>
        <w:rPr>
          <w:rFonts w:eastAsia="华文中宋"/>
          <w:kern w:val="0"/>
          <w:sz w:val="24"/>
        </w:rPr>
        <w:t>主管部门（盖章）：               填报人：</w:t>
      </w:r>
      <w:r>
        <w:rPr>
          <w:rFonts w:hint="eastAsia" w:eastAsia="华文中宋"/>
          <w:kern w:val="0"/>
          <w:sz w:val="24"/>
          <w:lang w:val="en-US" w:eastAsia="zh-CN"/>
        </w:rPr>
        <w:t>龙玉灿</w:t>
      </w:r>
      <w:r>
        <w:rPr>
          <w:rFonts w:eastAsia="华文中宋"/>
          <w:kern w:val="0"/>
          <w:sz w:val="24"/>
        </w:rPr>
        <w:t>     联系电话：</w:t>
      </w:r>
      <w:r>
        <w:rPr>
          <w:rFonts w:hint="eastAsia" w:eastAsia="华文中宋"/>
          <w:kern w:val="0"/>
          <w:sz w:val="24"/>
          <w:lang w:val="en-US" w:eastAsia="zh-CN"/>
        </w:rPr>
        <w:t>13349619838</w:t>
      </w:r>
      <w:r>
        <w:rPr>
          <w:rFonts w:eastAsia="华文中宋"/>
          <w:kern w:val="0"/>
          <w:sz w:val="24"/>
        </w:rPr>
        <w:t>          </w:t>
      </w:r>
    </w:p>
    <w:tbl>
      <w:tblPr>
        <w:tblStyle w:val="4"/>
        <w:tblW w:w="9680" w:type="dxa"/>
        <w:jc w:val="center"/>
        <w:tblCellSpacing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704"/>
        <w:gridCol w:w="1894"/>
        <w:gridCol w:w="2410"/>
        <w:gridCol w:w="776"/>
        <w:gridCol w:w="862"/>
        <w:gridCol w:w="992"/>
        <w:gridCol w:w="733"/>
        <w:gridCol w:w="777"/>
        <w:gridCol w:w="5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704" w:type="dxa"/>
            <w:vMerge w:val="restart"/>
            <w:tcBorders>
              <w:top w:val="single" w:color="auto" w:sz="2" w:space="0"/>
              <w:lef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r>
              <w:rPr>
                <w:rFonts w:eastAsia="仿宋_GB2312"/>
                <w:kern w:val="0"/>
                <w:sz w:val="24"/>
              </w:rPr>
              <w:t>序号</w:t>
            </w:r>
          </w:p>
        </w:tc>
        <w:tc>
          <w:tcPr>
            <w:tcW w:w="1894" w:type="dxa"/>
            <w:vMerge w:val="restart"/>
            <w:tcBorders>
              <w:top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r>
              <w:rPr>
                <w:rFonts w:eastAsia="仿宋_GB2312"/>
                <w:kern w:val="0"/>
                <w:sz w:val="24"/>
              </w:rPr>
              <w:t>项目单位</w:t>
            </w:r>
          </w:p>
        </w:tc>
        <w:tc>
          <w:tcPr>
            <w:tcW w:w="2410" w:type="dxa"/>
            <w:vMerge w:val="restart"/>
            <w:tcBorders>
              <w:top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r>
              <w:rPr>
                <w:rFonts w:eastAsia="仿宋_GB2312"/>
                <w:kern w:val="0"/>
                <w:sz w:val="24"/>
              </w:rPr>
              <w:t>项目名称</w:t>
            </w:r>
          </w:p>
        </w:tc>
        <w:tc>
          <w:tcPr>
            <w:tcW w:w="2630" w:type="dxa"/>
            <w:gridSpan w:val="3"/>
            <w:tcBorders>
              <w:top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r>
              <w:rPr>
                <w:rFonts w:eastAsia="仿宋_GB2312"/>
                <w:kern w:val="0"/>
                <w:sz w:val="24"/>
              </w:rPr>
              <w:t>项目资金情况</w:t>
            </w:r>
          </w:p>
        </w:tc>
        <w:tc>
          <w:tcPr>
            <w:tcW w:w="733" w:type="dxa"/>
            <w:vMerge w:val="restart"/>
            <w:tcBorders>
              <w:top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r>
              <w:rPr>
                <w:rFonts w:eastAsia="仿宋_GB2312"/>
                <w:kern w:val="0"/>
                <w:sz w:val="24"/>
              </w:rPr>
              <w:t>自评分数</w:t>
            </w:r>
          </w:p>
        </w:tc>
        <w:tc>
          <w:tcPr>
            <w:tcW w:w="777" w:type="dxa"/>
            <w:vMerge w:val="restart"/>
            <w:tcBorders>
              <w:top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r>
              <w:rPr>
                <w:rFonts w:eastAsia="仿宋_GB2312"/>
                <w:kern w:val="0"/>
                <w:sz w:val="24"/>
              </w:rPr>
              <w:t>自评等级</w:t>
            </w:r>
          </w:p>
        </w:tc>
        <w:tc>
          <w:tcPr>
            <w:tcW w:w="532" w:type="dxa"/>
            <w:vMerge w:val="restart"/>
            <w:tcBorders>
              <w:top w:val="single" w:color="auto" w:sz="2" w:space="0"/>
              <w:righ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r>
              <w:rPr>
                <w:rFonts w:eastAsia="仿宋_GB2312"/>
                <w:kern w:val="0"/>
                <w:sz w:val="24"/>
              </w:rPr>
              <w:t>备注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704" w:type="dxa"/>
            <w:vMerge w:val="continue"/>
            <w:tcBorders>
              <w:left w:val="single" w:color="auto" w:sz="2" w:space="0"/>
            </w:tcBorders>
            <w:noWrap w:val="0"/>
            <w:vAlign w:val="center"/>
          </w:tcPr>
          <w:p>
            <w:pPr>
              <w:spacing w:line="300" w:lineRule="exact"/>
              <w:jc w:val="center"/>
              <w:rPr>
                <w:rFonts w:eastAsia="仿宋_GB2312"/>
                <w:kern w:val="0"/>
                <w:sz w:val="24"/>
              </w:rPr>
            </w:pPr>
          </w:p>
        </w:tc>
        <w:tc>
          <w:tcPr>
            <w:tcW w:w="1894" w:type="dxa"/>
            <w:vMerge w:val="continue"/>
            <w:noWrap w:val="0"/>
            <w:vAlign w:val="center"/>
          </w:tcPr>
          <w:p>
            <w:pPr>
              <w:spacing w:line="300" w:lineRule="exact"/>
              <w:jc w:val="center"/>
              <w:rPr>
                <w:rFonts w:eastAsia="仿宋_GB2312"/>
                <w:kern w:val="0"/>
                <w:sz w:val="24"/>
              </w:rPr>
            </w:pPr>
          </w:p>
        </w:tc>
        <w:tc>
          <w:tcPr>
            <w:tcW w:w="2410" w:type="dxa"/>
            <w:vMerge w:val="continue"/>
            <w:noWrap w:val="0"/>
            <w:vAlign w:val="center"/>
          </w:tcPr>
          <w:p>
            <w:pPr>
              <w:spacing w:line="300" w:lineRule="exact"/>
              <w:jc w:val="center"/>
              <w:rPr>
                <w:rFonts w:eastAsia="仿宋_GB2312"/>
                <w:kern w:val="0"/>
                <w:sz w:val="24"/>
              </w:rPr>
            </w:pPr>
          </w:p>
        </w:tc>
        <w:tc>
          <w:tcPr>
            <w:tcW w:w="776" w:type="dxa"/>
            <w:vMerge w:val="restart"/>
            <w:noWrap w:val="0"/>
            <w:tcMar>
              <w:top w:w="15" w:type="dxa"/>
              <w:left w:w="15" w:type="dxa"/>
              <w:bottom w:w="15" w:type="dxa"/>
              <w:right w:w="15" w:type="dxa"/>
            </w:tcMar>
            <w:vAlign w:val="center"/>
          </w:tcPr>
          <w:p>
            <w:pPr>
              <w:spacing w:line="300" w:lineRule="exact"/>
              <w:jc w:val="center"/>
              <w:rPr>
                <w:rFonts w:eastAsia="仿宋_GB2312"/>
                <w:kern w:val="0"/>
                <w:sz w:val="24"/>
              </w:rPr>
            </w:pPr>
            <w:r>
              <w:rPr>
                <w:rFonts w:eastAsia="仿宋_GB2312"/>
                <w:kern w:val="0"/>
                <w:sz w:val="24"/>
              </w:rPr>
              <w:t>预算总金额</w:t>
            </w:r>
          </w:p>
        </w:tc>
        <w:tc>
          <w:tcPr>
            <w:tcW w:w="1854" w:type="dxa"/>
            <w:gridSpan w:val="2"/>
            <w:noWrap w:val="0"/>
            <w:tcMar>
              <w:top w:w="15" w:type="dxa"/>
              <w:left w:w="15" w:type="dxa"/>
              <w:bottom w:w="15" w:type="dxa"/>
              <w:right w:w="15" w:type="dxa"/>
            </w:tcMar>
            <w:vAlign w:val="top"/>
          </w:tcPr>
          <w:p>
            <w:pPr>
              <w:spacing w:line="300" w:lineRule="exact"/>
              <w:rPr>
                <w:rFonts w:eastAsia="仿宋_GB2312"/>
                <w:kern w:val="0"/>
                <w:sz w:val="24"/>
              </w:rPr>
            </w:pPr>
            <w:r>
              <w:rPr>
                <w:rFonts w:eastAsia="仿宋_GB2312"/>
                <w:kern w:val="0"/>
                <w:sz w:val="24"/>
              </w:rPr>
              <w:t>其中：</w:t>
            </w:r>
          </w:p>
          <w:p>
            <w:pPr>
              <w:spacing w:line="300" w:lineRule="exact"/>
              <w:ind w:firstLine="240" w:firstLineChars="100"/>
              <w:rPr>
                <w:rFonts w:eastAsia="仿宋_GB2312"/>
                <w:kern w:val="0"/>
                <w:sz w:val="24"/>
              </w:rPr>
            </w:pPr>
            <w:r>
              <w:rPr>
                <w:rFonts w:eastAsia="仿宋_GB2312"/>
                <w:kern w:val="0"/>
                <w:sz w:val="24"/>
              </w:rPr>
              <w:t>县级财政资金</w:t>
            </w:r>
          </w:p>
        </w:tc>
        <w:tc>
          <w:tcPr>
            <w:tcW w:w="733" w:type="dxa"/>
            <w:vMerge w:val="continue"/>
            <w:noWrap w:val="0"/>
            <w:vAlign w:val="center"/>
          </w:tcPr>
          <w:p>
            <w:pPr>
              <w:spacing w:line="300" w:lineRule="exact"/>
              <w:jc w:val="center"/>
              <w:rPr>
                <w:rFonts w:eastAsia="仿宋_GB2312"/>
                <w:kern w:val="0"/>
                <w:sz w:val="24"/>
              </w:rPr>
            </w:pPr>
          </w:p>
        </w:tc>
        <w:tc>
          <w:tcPr>
            <w:tcW w:w="777" w:type="dxa"/>
            <w:vMerge w:val="continue"/>
            <w:noWrap w:val="0"/>
            <w:vAlign w:val="center"/>
          </w:tcPr>
          <w:p>
            <w:pPr>
              <w:spacing w:line="300" w:lineRule="exact"/>
              <w:jc w:val="center"/>
              <w:rPr>
                <w:rFonts w:eastAsia="仿宋_GB2312"/>
                <w:kern w:val="0"/>
                <w:sz w:val="24"/>
              </w:rPr>
            </w:pPr>
          </w:p>
        </w:tc>
        <w:tc>
          <w:tcPr>
            <w:tcW w:w="532" w:type="dxa"/>
            <w:vMerge w:val="continue"/>
            <w:tcBorders>
              <w:right w:val="single" w:color="auto" w:sz="2" w:space="0"/>
            </w:tcBorders>
            <w:noWrap w:val="0"/>
            <w:vAlign w:val="center"/>
          </w:tcPr>
          <w:p>
            <w:pPr>
              <w:spacing w:line="300" w:lineRule="exact"/>
              <w:jc w:val="center"/>
              <w:rPr>
                <w:rFonts w:eastAsia="仿宋_GB2312"/>
                <w:kern w:val="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704" w:type="dxa"/>
            <w:vMerge w:val="continue"/>
            <w:tcBorders>
              <w:left w:val="single" w:color="auto" w:sz="2" w:space="0"/>
            </w:tcBorders>
            <w:noWrap w:val="0"/>
            <w:vAlign w:val="center"/>
          </w:tcPr>
          <w:p>
            <w:pPr>
              <w:spacing w:line="300" w:lineRule="exact"/>
              <w:jc w:val="center"/>
              <w:rPr>
                <w:rFonts w:eastAsia="仿宋_GB2312"/>
                <w:kern w:val="0"/>
                <w:sz w:val="24"/>
              </w:rPr>
            </w:pPr>
          </w:p>
        </w:tc>
        <w:tc>
          <w:tcPr>
            <w:tcW w:w="1894" w:type="dxa"/>
            <w:vMerge w:val="continue"/>
            <w:noWrap w:val="0"/>
            <w:vAlign w:val="center"/>
          </w:tcPr>
          <w:p>
            <w:pPr>
              <w:spacing w:line="300" w:lineRule="exact"/>
              <w:jc w:val="center"/>
              <w:rPr>
                <w:rFonts w:eastAsia="仿宋_GB2312"/>
                <w:kern w:val="0"/>
                <w:sz w:val="24"/>
              </w:rPr>
            </w:pPr>
          </w:p>
        </w:tc>
        <w:tc>
          <w:tcPr>
            <w:tcW w:w="2410" w:type="dxa"/>
            <w:vMerge w:val="continue"/>
            <w:noWrap w:val="0"/>
            <w:vAlign w:val="center"/>
          </w:tcPr>
          <w:p>
            <w:pPr>
              <w:spacing w:line="300" w:lineRule="exact"/>
              <w:jc w:val="center"/>
              <w:rPr>
                <w:rFonts w:eastAsia="仿宋_GB2312"/>
                <w:kern w:val="0"/>
                <w:sz w:val="24"/>
              </w:rPr>
            </w:pPr>
          </w:p>
        </w:tc>
        <w:tc>
          <w:tcPr>
            <w:tcW w:w="776" w:type="dxa"/>
            <w:vMerge w:val="continue"/>
            <w:noWrap w:val="0"/>
            <w:vAlign w:val="center"/>
          </w:tcPr>
          <w:p>
            <w:pPr>
              <w:spacing w:line="300" w:lineRule="exact"/>
              <w:jc w:val="center"/>
              <w:rPr>
                <w:rFonts w:eastAsia="仿宋_GB2312"/>
                <w:kern w:val="0"/>
                <w:sz w:val="24"/>
              </w:rPr>
            </w:pPr>
          </w:p>
        </w:tc>
        <w:tc>
          <w:tcPr>
            <w:tcW w:w="862" w:type="dxa"/>
            <w:noWrap w:val="0"/>
            <w:tcMar>
              <w:top w:w="15" w:type="dxa"/>
              <w:left w:w="15" w:type="dxa"/>
              <w:bottom w:w="15" w:type="dxa"/>
              <w:right w:w="15" w:type="dxa"/>
            </w:tcMar>
            <w:vAlign w:val="center"/>
          </w:tcPr>
          <w:p>
            <w:pPr>
              <w:spacing w:line="300" w:lineRule="exact"/>
              <w:jc w:val="center"/>
              <w:rPr>
                <w:rFonts w:eastAsia="仿宋_GB2312"/>
                <w:kern w:val="0"/>
                <w:sz w:val="24"/>
              </w:rPr>
            </w:pPr>
            <w:r>
              <w:rPr>
                <w:rFonts w:eastAsia="仿宋_GB2312"/>
                <w:kern w:val="0"/>
                <w:sz w:val="24"/>
              </w:rPr>
              <w:t>预算</w:t>
            </w:r>
          </w:p>
          <w:p>
            <w:pPr>
              <w:spacing w:line="300" w:lineRule="exact"/>
              <w:jc w:val="center"/>
              <w:rPr>
                <w:rFonts w:eastAsia="仿宋_GB2312"/>
                <w:kern w:val="0"/>
                <w:sz w:val="24"/>
              </w:rPr>
            </w:pPr>
            <w:r>
              <w:rPr>
                <w:rFonts w:eastAsia="仿宋_GB2312"/>
                <w:kern w:val="0"/>
                <w:sz w:val="24"/>
              </w:rPr>
              <w:t>安排</w:t>
            </w:r>
          </w:p>
        </w:tc>
        <w:tc>
          <w:tcPr>
            <w:tcW w:w="992" w:type="dxa"/>
            <w:noWrap w:val="0"/>
            <w:tcMar>
              <w:top w:w="15" w:type="dxa"/>
              <w:left w:w="15" w:type="dxa"/>
              <w:bottom w:w="15" w:type="dxa"/>
              <w:right w:w="15" w:type="dxa"/>
            </w:tcMar>
            <w:vAlign w:val="center"/>
          </w:tcPr>
          <w:p>
            <w:pPr>
              <w:spacing w:line="300" w:lineRule="exact"/>
              <w:jc w:val="center"/>
              <w:rPr>
                <w:rFonts w:eastAsia="仿宋_GB2312"/>
                <w:kern w:val="0"/>
                <w:sz w:val="24"/>
              </w:rPr>
            </w:pPr>
            <w:r>
              <w:rPr>
                <w:rFonts w:eastAsia="仿宋_GB2312"/>
                <w:kern w:val="0"/>
                <w:sz w:val="24"/>
              </w:rPr>
              <w:t>实际</w:t>
            </w:r>
          </w:p>
          <w:p>
            <w:pPr>
              <w:spacing w:line="300" w:lineRule="exact"/>
              <w:jc w:val="center"/>
              <w:rPr>
                <w:rFonts w:eastAsia="仿宋_GB2312"/>
                <w:kern w:val="0"/>
                <w:sz w:val="24"/>
              </w:rPr>
            </w:pPr>
            <w:r>
              <w:rPr>
                <w:rFonts w:eastAsia="仿宋_GB2312"/>
                <w:kern w:val="0"/>
                <w:sz w:val="24"/>
              </w:rPr>
              <w:t>支出</w:t>
            </w:r>
          </w:p>
        </w:tc>
        <w:tc>
          <w:tcPr>
            <w:tcW w:w="733" w:type="dxa"/>
            <w:vMerge w:val="continue"/>
            <w:noWrap w:val="0"/>
            <w:vAlign w:val="center"/>
          </w:tcPr>
          <w:p>
            <w:pPr>
              <w:spacing w:line="300" w:lineRule="exact"/>
              <w:jc w:val="center"/>
              <w:rPr>
                <w:rFonts w:eastAsia="仿宋_GB2312"/>
                <w:kern w:val="0"/>
                <w:sz w:val="24"/>
              </w:rPr>
            </w:pPr>
          </w:p>
        </w:tc>
        <w:tc>
          <w:tcPr>
            <w:tcW w:w="777" w:type="dxa"/>
            <w:vMerge w:val="continue"/>
            <w:noWrap w:val="0"/>
            <w:vAlign w:val="center"/>
          </w:tcPr>
          <w:p>
            <w:pPr>
              <w:spacing w:line="300" w:lineRule="exact"/>
              <w:jc w:val="center"/>
              <w:rPr>
                <w:rFonts w:eastAsia="仿宋_GB2312"/>
                <w:kern w:val="0"/>
                <w:sz w:val="24"/>
              </w:rPr>
            </w:pPr>
          </w:p>
        </w:tc>
        <w:tc>
          <w:tcPr>
            <w:tcW w:w="532" w:type="dxa"/>
            <w:vMerge w:val="continue"/>
            <w:tcBorders>
              <w:right w:val="single" w:color="auto" w:sz="2" w:space="0"/>
            </w:tcBorders>
            <w:noWrap w:val="0"/>
            <w:vAlign w:val="center"/>
          </w:tcPr>
          <w:p>
            <w:pPr>
              <w:spacing w:line="300" w:lineRule="exact"/>
              <w:jc w:val="center"/>
              <w:rPr>
                <w:rFonts w:eastAsia="仿宋_GB2312"/>
                <w:kern w:val="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9680" w:type="dxa"/>
            <w:gridSpan w:val="9"/>
            <w:tcBorders>
              <w:left w:val="single" w:color="auto" w:sz="2" w:space="0"/>
              <w:right w:val="single" w:color="auto" w:sz="2" w:space="0"/>
            </w:tcBorders>
            <w:noWrap w:val="0"/>
            <w:tcMar>
              <w:top w:w="15" w:type="dxa"/>
              <w:left w:w="15" w:type="dxa"/>
              <w:bottom w:w="15" w:type="dxa"/>
              <w:right w:w="15" w:type="dxa"/>
            </w:tcMar>
            <w:vAlign w:val="top"/>
          </w:tcPr>
          <w:p>
            <w:pPr>
              <w:spacing w:line="300" w:lineRule="exact"/>
              <w:rPr>
                <w:rFonts w:eastAsia="仿宋_GB2312"/>
                <w:kern w:val="0"/>
                <w:sz w:val="24"/>
              </w:rPr>
            </w:pPr>
            <w:r>
              <w:rPr>
                <w:rFonts w:eastAsia="仿宋_GB2312"/>
                <w:kern w:val="0"/>
                <w:sz w:val="24"/>
              </w:rPr>
              <w:t>一、项目绩效自评</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704" w:type="dxa"/>
            <w:tcBorders>
              <w:left w:val="single" w:color="auto" w:sz="2" w:space="0"/>
            </w:tcBorders>
            <w:noWrap w:val="0"/>
            <w:tcMar>
              <w:top w:w="15" w:type="dxa"/>
              <w:left w:w="15" w:type="dxa"/>
              <w:bottom w:w="15" w:type="dxa"/>
              <w:right w:w="15" w:type="dxa"/>
            </w:tcMar>
            <w:vAlign w:val="center"/>
          </w:tcPr>
          <w:p>
            <w:pPr>
              <w:spacing w:line="300" w:lineRule="exact"/>
              <w:jc w:val="center"/>
              <w:rPr>
                <w:rFonts w:hint="eastAsia" w:eastAsia="仿宋_GB2312"/>
                <w:kern w:val="0"/>
                <w:sz w:val="24"/>
                <w:lang w:val="en-US" w:eastAsia="zh-CN"/>
              </w:rPr>
            </w:pPr>
            <w:r>
              <w:rPr>
                <w:rFonts w:hint="eastAsia" w:eastAsia="仿宋_GB2312"/>
                <w:kern w:val="0"/>
                <w:sz w:val="24"/>
                <w:lang w:val="en-US" w:eastAsia="zh-CN"/>
              </w:rPr>
              <w:t>1</w:t>
            </w:r>
          </w:p>
        </w:tc>
        <w:tc>
          <w:tcPr>
            <w:tcW w:w="1894" w:type="dxa"/>
            <w:noWrap w:val="0"/>
            <w:tcMar>
              <w:top w:w="15" w:type="dxa"/>
              <w:left w:w="15" w:type="dxa"/>
              <w:bottom w:w="15" w:type="dxa"/>
              <w:right w:w="15" w:type="dxa"/>
            </w:tcMar>
            <w:vAlign w:val="center"/>
          </w:tcPr>
          <w:p>
            <w:pPr>
              <w:spacing w:line="300" w:lineRule="exact"/>
              <w:jc w:val="center"/>
              <w:rPr>
                <w:rFonts w:hint="default" w:eastAsia="仿宋_GB2312"/>
                <w:kern w:val="0"/>
                <w:sz w:val="24"/>
                <w:lang w:val="en-US" w:eastAsia="zh-CN"/>
              </w:rPr>
            </w:pPr>
            <w:r>
              <w:rPr>
                <w:rFonts w:hint="eastAsia" w:eastAsia="仿宋_GB2312"/>
                <w:kern w:val="0"/>
                <w:sz w:val="24"/>
                <w:lang w:val="en-US" w:eastAsia="zh-CN"/>
              </w:rPr>
              <w:t>卫生健康局</w:t>
            </w:r>
          </w:p>
        </w:tc>
        <w:tc>
          <w:tcPr>
            <w:tcW w:w="2410" w:type="dxa"/>
            <w:noWrap w:val="0"/>
            <w:tcMar>
              <w:top w:w="15" w:type="dxa"/>
              <w:left w:w="15" w:type="dxa"/>
              <w:bottom w:w="15" w:type="dxa"/>
              <w:right w:w="15" w:type="dxa"/>
            </w:tcMar>
            <w:vAlign w:val="center"/>
          </w:tcPr>
          <w:p>
            <w:pPr>
              <w:spacing w:line="300" w:lineRule="exact"/>
              <w:jc w:val="center"/>
              <w:rPr>
                <w:rFonts w:hint="eastAsia" w:eastAsia="仿宋_GB2312"/>
                <w:kern w:val="0"/>
                <w:sz w:val="24"/>
                <w:lang w:val="en-US" w:eastAsia="zh-CN"/>
              </w:rPr>
            </w:pPr>
            <w:r>
              <w:rPr>
                <w:rFonts w:hint="eastAsia" w:eastAsia="仿宋_GB2312"/>
                <w:kern w:val="0"/>
                <w:sz w:val="24"/>
              </w:rPr>
              <w:t>基层医疗卫生机构实施基本药物制度</w:t>
            </w:r>
            <w:r>
              <w:rPr>
                <w:rFonts w:hint="eastAsia" w:eastAsia="仿宋_GB2312"/>
                <w:kern w:val="0"/>
                <w:sz w:val="24"/>
                <w:lang w:val="en-US" w:eastAsia="zh-CN"/>
              </w:rPr>
              <w:t>补助</w:t>
            </w:r>
          </w:p>
        </w:tc>
        <w:tc>
          <w:tcPr>
            <w:tcW w:w="776" w:type="dxa"/>
            <w:noWrap w:val="0"/>
            <w:tcMar>
              <w:top w:w="15" w:type="dxa"/>
              <w:left w:w="15" w:type="dxa"/>
              <w:bottom w:w="15" w:type="dxa"/>
              <w:right w:w="15" w:type="dxa"/>
            </w:tcMar>
            <w:vAlign w:val="center"/>
          </w:tcPr>
          <w:p>
            <w:pPr>
              <w:spacing w:line="300" w:lineRule="exact"/>
              <w:jc w:val="center"/>
              <w:rPr>
                <w:rFonts w:hint="default" w:eastAsia="仿宋_GB2312"/>
                <w:kern w:val="0"/>
                <w:sz w:val="24"/>
                <w:lang w:val="en-US" w:eastAsia="zh-CN"/>
              </w:rPr>
            </w:pPr>
            <w:r>
              <w:rPr>
                <w:rFonts w:hint="eastAsia" w:eastAsia="仿宋_GB2312"/>
                <w:kern w:val="0"/>
                <w:sz w:val="24"/>
                <w:lang w:val="en-US" w:eastAsia="zh-CN"/>
              </w:rPr>
              <w:t>5374000</w:t>
            </w:r>
          </w:p>
        </w:tc>
        <w:tc>
          <w:tcPr>
            <w:tcW w:w="862" w:type="dxa"/>
            <w:noWrap w:val="0"/>
            <w:tcMar>
              <w:top w:w="15" w:type="dxa"/>
              <w:left w:w="15" w:type="dxa"/>
              <w:bottom w:w="15" w:type="dxa"/>
              <w:right w:w="15" w:type="dxa"/>
            </w:tcMar>
            <w:vAlign w:val="center"/>
          </w:tcPr>
          <w:p>
            <w:pPr>
              <w:spacing w:line="300" w:lineRule="exact"/>
              <w:jc w:val="center"/>
              <w:rPr>
                <w:rFonts w:hint="default" w:eastAsia="仿宋_GB2312"/>
                <w:kern w:val="0"/>
                <w:sz w:val="24"/>
                <w:lang w:val="en-US" w:eastAsia="zh-CN"/>
              </w:rPr>
            </w:pPr>
            <w:r>
              <w:rPr>
                <w:rFonts w:hint="eastAsia" w:eastAsia="仿宋_GB2312"/>
                <w:kern w:val="0"/>
                <w:sz w:val="24"/>
                <w:lang w:val="en-US" w:eastAsia="zh-CN"/>
              </w:rPr>
              <w:t>3200000</w:t>
            </w:r>
          </w:p>
        </w:tc>
        <w:tc>
          <w:tcPr>
            <w:tcW w:w="992" w:type="dxa"/>
            <w:noWrap w:val="0"/>
            <w:tcMar>
              <w:top w:w="15" w:type="dxa"/>
              <w:left w:w="15" w:type="dxa"/>
              <w:bottom w:w="15" w:type="dxa"/>
              <w:right w:w="15" w:type="dxa"/>
            </w:tcMar>
            <w:vAlign w:val="center"/>
          </w:tcPr>
          <w:p>
            <w:pPr>
              <w:spacing w:line="300" w:lineRule="exact"/>
              <w:jc w:val="center"/>
              <w:rPr>
                <w:rFonts w:hint="default" w:eastAsia="仿宋_GB2312"/>
                <w:kern w:val="0"/>
                <w:sz w:val="24"/>
                <w:lang w:val="en-US" w:eastAsia="zh-CN"/>
              </w:rPr>
            </w:pPr>
            <w:r>
              <w:rPr>
                <w:rFonts w:hint="eastAsia" w:eastAsia="仿宋_GB2312"/>
                <w:kern w:val="0"/>
                <w:sz w:val="24"/>
                <w:lang w:val="en-US" w:eastAsia="zh-CN"/>
              </w:rPr>
              <w:t>3200000</w:t>
            </w:r>
          </w:p>
        </w:tc>
        <w:tc>
          <w:tcPr>
            <w:tcW w:w="733" w:type="dxa"/>
            <w:noWrap w:val="0"/>
            <w:tcMar>
              <w:top w:w="15" w:type="dxa"/>
              <w:left w:w="15" w:type="dxa"/>
              <w:bottom w:w="15" w:type="dxa"/>
              <w:right w:w="15" w:type="dxa"/>
            </w:tcMar>
            <w:vAlign w:val="center"/>
          </w:tcPr>
          <w:p>
            <w:pPr>
              <w:spacing w:line="300" w:lineRule="exact"/>
              <w:jc w:val="center"/>
              <w:rPr>
                <w:rFonts w:hint="default" w:eastAsia="仿宋_GB2312"/>
                <w:kern w:val="0"/>
                <w:sz w:val="24"/>
                <w:lang w:val="en-US" w:eastAsia="zh-CN"/>
              </w:rPr>
            </w:pPr>
            <w:r>
              <w:rPr>
                <w:rFonts w:hint="eastAsia" w:eastAsia="仿宋_GB2312"/>
                <w:kern w:val="0"/>
                <w:sz w:val="24"/>
                <w:lang w:val="en-US" w:eastAsia="zh-CN"/>
              </w:rPr>
              <w:t>100</w:t>
            </w:r>
          </w:p>
        </w:tc>
        <w:tc>
          <w:tcPr>
            <w:tcW w:w="777" w:type="dxa"/>
            <w:noWrap w:val="0"/>
            <w:tcMar>
              <w:top w:w="15" w:type="dxa"/>
              <w:left w:w="15" w:type="dxa"/>
              <w:bottom w:w="15" w:type="dxa"/>
              <w:right w:w="15" w:type="dxa"/>
            </w:tcMar>
            <w:vAlign w:val="center"/>
          </w:tcPr>
          <w:p>
            <w:pPr>
              <w:spacing w:line="300" w:lineRule="exact"/>
              <w:jc w:val="center"/>
              <w:rPr>
                <w:rFonts w:hint="eastAsia" w:eastAsia="仿宋_GB2312"/>
                <w:kern w:val="0"/>
                <w:sz w:val="24"/>
                <w:lang w:val="en-US" w:eastAsia="zh-CN"/>
              </w:rPr>
            </w:pPr>
            <w:r>
              <w:rPr>
                <w:rFonts w:hint="eastAsia" w:eastAsia="仿宋_GB2312"/>
                <w:kern w:val="0"/>
                <w:sz w:val="24"/>
                <w:lang w:val="en-US" w:eastAsia="zh-CN"/>
              </w:rPr>
              <w:t>优秀</w:t>
            </w:r>
          </w:p>
        </w:tc>
        <w:tc>
          <w:tcPr>
            <w:tcW w:w="532" w:type="dxa"/>
            <w:tcBorders>
              <w:righ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704" w:type="dxa"/>
            <w:tcBorders>
              <w:left w:val="single" w:color="auto" w:sz="2" w:space="0"/>
            </w:tcBorders>
            <w:noWrap w:val="0"/>
            <w:tcMar>
              <w:top w:w="15" w:type="dxa"/>
              <w:left w:w="15" w:type="dxa"/>
              <w:bottom w:w="15" w:type="dxa"/>
              <w:right w:w="15" w:type="dxa"/>
            </w:tcMar>
            <w:vAlign w:val="center"/>
          </w:tcPr>
          <w:p>
            <w:pPr>
              <w:spacing w:line="300" w:lineRule="exact"/>
              <w:jc w:val="center"/>
              <w:rPr>
                <w:rFonts w:hint="eastAsia" w:eastAsia="仿宋_GB2312"/>
                <w:kern w:val="0"/>
                <w:sz w:val="24"/>
                <w:lang w:val="en-US" w:eastAsia="zh-CN"/>
              </w:rPr>
            </w:pPr>
            <w:r>
              <w:rPr>
                <w:rFonts w:hint="eastAsia" w:eastAsia="仿宋_GB2312"/>
                <w:kern w:val="0"/>
                <w:sz w:val="24"/>
                <w:lang w:val="en-US" w:eastAsia="zh-CN"/>
              </w:rPr>
              <w:t>2</w:t>
            </w:r>
          </w:p>
        </w:tc>
        <w:tc>
          <w:tcPr>
            <w:tcW w:w="1894" w:type="dxa"/>
            <w:noWrap w:val="0"/>
            <w:tcMar>
              <w:top w:w="15" w:type="dxa"/>
              <w:left w:w="15" w:type="dxa"/>
              <w:bottom w:w="15" w:type="dxa"/>
              <w:right w:w="15" w:type="dxa"/>
            </w:tcMar>
            <w:vAlign w:val="center"/>
          </w:tcPr>
          <w:p>
            <w:pPr>
              <w:spacing w:line="300" w:lineRule="exact"/>
              <w:jc w:val="center"/>
              <w:rPr>
                <w:rFonts w:eastAsia="仿宋_GB2312"/>
                <w:kern w:val="0"/>
                <w:sz w:val="24"/>
              </w:rPr>
            </w:pPr>
            <w:r>
              <w:rPr>
                <w:rFonts w:hint="eastAsia" w:eastAsia="仿宋_GB2312"/>
                <w:kern w:val="0"/>
                <w:sz w:val="24"/>
                <w:lang w:val="en-US" w:eastAsia="zh-CN"/>
              </w:rPr>
              <w:t>卫生健康局</w:t>
            </w:r>
          </w:p>
        </w:tc>
        <w:tc>
          <w:tcPr>
            <w:tcW w:w="2410" w:type="dxa"/>
            <w:noWrap w:val="0"/>
            <w:tcMar>
              <w:top w:w="15" w:type="dxa"/>
              <w:left w:w="15" w:type="dxa"/>
              <w:bottom w:w="15" w:type="dxa"/>
              <w:right w:w="15" w:type="dxa"/>
            </w:tcMar>
            <w:vAlign w:val="center"/>
          </w:tcPr>
          <w:p>
            <w:pPr>
              <w:spacing w:line="300" w:lineRule="exact"/>
              <w:jc w:val="center"/>
              <w:rPr>
                <w:rFonts w:hint="default" w:eastAsia="仿宋_GB2312"/>
                <w:kern w:val="0"/>
                <w:sz w:val="24"/>
                <w:lang w:val="en-US" w:eastAsia="zh-CN"/>
              </w:rPr>
            </w:pPr>
            <w:r>
              <w:rPr>
                <w:rFonts w:hint="eastAsia" w:eastAsia="仿宋_GB2312"/>
                <w:kern w:val="0"/>
                <w:sz w:val="24"/>
                <w:lang w:val="en-US" w:eastAsia="zh-CN"/>
              </w:rPr>
              <w:t>村卫生室实施国家基本药物制度补助</w:t>
            </w:r>
          </w:p>
        </w:tc>
        <w:tc>
          <w:tcPr>
            <w:tcW w:w="776" w:type="dxa"/>
            <w:noWrap w:val="0"/>
            <w:tcMar>
              <w:top w:w="15" w:type="dxa"/>
              <w:left w:w="15" w:type="dxa"/>
              <w:bottom w:w="15" w:type="dxa"/>
              <w:right w:w="15" w:type="dxa"/>
            </w:tcMar>
            <w:vAlign w:val="center"/>
          </w:tcPr>
          <w:p>
            <w:pPr>
              <w:spacing w:line="300" w:lineRule="exact"/>
              <w:jc w:val="center"/>
              <w:rPr>
                <w:rFonts w:hint="default" w:eastAsia="仿宋_GB2312"/>
                <w:kern w:val="0"/>
                <w:sz w:val="24"/>
                <w:lang w:val="en-US" w:eastAsia="zh-CN"/>
              </w:rPr>
            </w:pPr>
            <w:r>
              <w:rPr>
                <w:rFonts w:hint="eastAsia" w:eastAsia="仿宋_GB2312"/>
                <w:kern w:val="0"/>
                <w:sz w:val="24"/>
                <w:lang w:val="en-US" w:eastAsia="zh-CN"/>
              </w:rPr>
              <w:t>1178000</w:t>
            </w:r>
          </w:p>
        </w:tc>
        <w:tc>
          <w:tcPr>
            <w:tcW w:w="862" w:type="dxa"/>
            <w:noWrap w:val="0"/>
            <w:tcMar>
              <w:top w:w="15" w:type="dxa"/>
              <w:left w:w="15" w:type="dxa"/>
              <w:bottom w:w="15" w:type="dxa"/>
              <w:right w:w="15" w:type="dxa"/>
            </w:tcMar>
            <w:vAlign w:val="center"/>
          </w:tcPr>
          <w:p>
            <w:pPr>
              <w:spacing w:line="300" w:lineRule="exact"/>
              <w:jc w:val="center"/>
              <w:rPr>
                <w:rFonts w:hint="eastAsia" w:eastAsia="仿宋_GB2312"/>
                <w:kern w:val="0"/>
                <w:sz w:val="24"/>
                <w:lang w:val="en-US" w:eastAsia="zh-CN"/>
              </w:rPr>
            </w:pPr>
            <w:r>
              <w:rPr>
                <w:rFonts w:hint="eastAsia" w:eastAsia="仿宋_GB2312"/>
                <w:kern w:val="0"/>
                <w:sz w:val="24"/>
                <w:lang w:val="en-US" w:eastAsia="zh-CN"/>
              </w:rPr>
              <w:t>0</w:t>
            </w:r>
          </w:p>
        </w:tc>
        <w:tc>
          <w:tcPr>
            <w:tcW w:w="992" w:type="dxa"/>
            <w:noWrap w:val="0"/>
            <w:tcMar>
              <w:top w:w="15" w:type="dxa"/>
              <w:left w:w="15" w:type="dxa"/>
              <w:bottom w:w="15" w:type="dxa"/>
              <w:right w:w="15" w:type="dxa"/>
            </w:tcMar>
            <w:vAlign w:val="center"/>
          </w:tcPr>
          <w:p>
            <w:pPr>
              <w:spacing w:line="300" w:lineRule="exact"/>
              <w:jc w:val="center"/>
              <w:rPr>
                <w:rFonts w:hint="eastAsia" w:eastAsia="仿宋_GB2312"/>
                <w:kern w:val="0"/>
                <w:sz w:val="24"/>
                <w:lang w:val="en-US" w:eastAsia="zh-CN"/>
              </w:rPr>
            </w:pPr>
            <w:r>
              <w:rPr>
                <w:rFonts w:hint="eastAsia" w:eastAsia="仿宋_GB2312"/>
                <w:kern w:val="0"/>
                <w:sz w:val="24"/>
                <w:lang w:val="en-US" w:eastAsia="zh-CN"/>
              </w:rPr>
              <w:t>0</w:t>
            </w:r>
          </w:p>
        </w:tc>
        <w:tc>
          <w:tcPr>
            <w:tcW w:w="733" w:type="dxa"/>
            <w:noWrap w:val="0"/>
            <w:tcMar>
              <w:top w:w="15" w:type="dxa"/>
              <w:left w:w="15" w:type="dxa"/>
              <w:bottom w:w="15" w:type="dxa"/>
              <w:right w:w="15" w:type="dxa"/>
            </w:tcMar>
            <w:vAlign w:val="center"/>
          </w:tcPr>
          <w:p>
            <w:pPr>
              <w:spacing w:line="300" w:lineRule="exact"/>
              <w:jc w:val="center"/>
              <w:rPr>
                <w:rFonts w:hint="default" w:eastAsia="仿宋_GB2312"/>
                <w:kern w:val="0"/>
                <w:sz w:val="24"/>
                <w:lang w:val="en-US" w:eastAsia="zh-CN"/>
              </w:rPr>
            </w:pPr>
            <w:r>
              <w:rPr>
                <w:rFonts w:hint="eastAsia" w:eastAsia="仿宋_GB2312"/>
                <w:kern w:val="0"/>
                <w:sz w:val="24"/>
                <w:lang w:val="en-US" w:eastAsia="zh-CN"/>
              </w:rPr>
              <w:t>100</w:t>
            </w:r>
          </w:p>
        </w:tc>
        <w:tc>
          <w:tcPr>
            <w:tcW w:w="777" w:type="dxa"/>
            <w:noWrap w:val="0"/>
            <w:tcMar>
              <w:top w:w="15" w:type="dxa"/>
              <w:left w:w="15" w:type="dxa"/>
              <w:bottom w:w="15" w:type="dxa"/>
              <w:right w:w="15" w:type="dxa"/>
            </w:tcMar>
            <w:vAlign w:val="center"/>
          </w:tcPr>
          <w:p>
            <w:pPr>
              <w:spacing w:line="300" w:lineRule="exact"/>
              <w:jc w:val="center"/>
              <w:rPr>
                <w:rFonts w:eastAsia="仿宋_GB2312"/>
                <w:kern w:val="0"/>
                <w:sz w:val="24"/>
              </w:rPr>
            </w:pPr>
            <w:r>
              <w:rPr>
                <w:rFonts w:hint="eastAsia" w:eastAsia="仿宋_GB2312"/>
                <w:kern w:val="0"/>
                <w:sz w:val="24"/>
                <w:lang w:val="en-US" w:eastAsia="zh-CN"/>
              </w:rPr>
              <w:t>优秀</w:t>
            </w:r>
          </w:p>
        </w:tc>
        <w:tc>
          <w:tcPr>
            <w:tcW w:w="532" w:type="dxa"/>
            <w:tcBorders>
              <w:righ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704" w:type="dxa"/>
            <w:tcBorders>
              <w:lef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1894"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2410"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6"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86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99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33"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7"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532" w:type="dxa"/>
            <w:tcBorders>
              <w:righ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704" w:type="dxa"/>
            <w:tcBorders>
              <w:lef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1894"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2410"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6"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86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99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33"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7"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532" w:type="dxa"/>
            <w:tcBorders>
              <w:righ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704" w:type="dxa"/>
            <w:tcBorders>
              <w:lef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1894"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2410"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6"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86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99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33"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7"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532" w:type="dxa"/>
            <w:tcBorders>
              <w:righ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704" w:type="dxa"/>
            <w:tcBorders>
              <w:lef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1894"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2410"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6"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86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99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33"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7"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532" w:type="dxa"/>
            <w:tcBorders>
              <w:righ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704" w:type="dxa"/>
            <w:tcBorders>
              <w:lef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1894"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2410"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6"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86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99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33"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7"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532" w:type="dxa"/>
            <w:tcBorders>
              <w:righ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704" w:type="dxa"/>
            <w:tcBorders>
              <w:lef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1894"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2410"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6"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86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99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33"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7"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532" w:type="dxa"/>
            <w:tcBorders>
              <w:righ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704" w:type="dxa"/>
            <w:tcBorders>
              <w:lef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1894"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2410"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6"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86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99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33"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7"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532" w:type="dxa"/>
            <w:tcBorders>
              <w:righ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704" w:type="dxa"/>
            <w:tcBorders>
              <w:lef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1894"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2410"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6"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86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99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33"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7"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532" w:type="dxa"/>
            <w:tcBorders>
              <w:righ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704" w:type="dxa"/>
            <w:tcBorders>
              <w:lef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1894"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2410"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6"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86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99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33"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7"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532" w:type="dxa"/>
            <w:tcBorders>
              <w:righ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704" w:type="dxa"/>
            <w:tcBorders>
              <w:lef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1894"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2410"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6"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86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99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33"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7"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532" w:type="dxa"/>
            <w:tcBorders>
              <w:righ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704" w:type="dxa"/>
            <w:tcBorders>
              <w:lef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1894"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2410"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6"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86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99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33"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7"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532" w:type="dxa"/>
            <w:tcBorders>
              <w:righ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704" w:type="dxa"/>
            <w:tcBorders>
              <w:lef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1894"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2410"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6"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86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99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33"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7"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532" w:type="dxa"/>
            <w:tcBorders>
              <w:righ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704" w:type="dxa"/>
            <w:tcBorders>
              <w:lef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1894"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2410"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6"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86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99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33"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7"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532" w:type="dxa"/>
            <w:tcBorders>
              <w:righ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53" w:hRule="atLeast"/>
          <w:tblCellSpacing w:w="0" w:type="dxa"/>
          <w:jc w:val="center"/>
        </w:trPr>
        <w:tc>
          <w:tcPr>
            <w:tcW w:w="704" w:type="dxa"/>
            <w:tcBorders>
              <w:lef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1894"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2410"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6"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86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992"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33"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777" w:type="dxa"/>
            <w:noWrap w:val="0"/>
            <w:tcMar>
              <w:top w:w="15" w:type="dxa"/>
              <w:left w:w="15" w:type="dxa"/>
              <w:bottom w:w="15" w:type="dxa"/>
              <w:right w:w="15" w:type="dxa"/>
            </w:tcMar>
            <w:vAlign w:val="center"/>
          </w:tcPr>
          <w:p>
            <w:pPr>
              <w:spacing w:line="300" w:lineRule="exact"/>
              <w:jc w:val="center"/>
              <w:rPr>
                <w:rFonts w:eastAsia="仿宋_GB2312"/>
                <w:kern w:val="0"/>
                <w:sz w:val="24"/>
              </w:rPr>
            </w:pPr>
          </w:p>
        </w:tc>
        <w:tc>
          <w:tcPr>
            <w:tcW w:w="532" w:type="dxa"/>
            <w:tcBorders>
              <w:right w:val="single" w:color="auto" w:sz="2" w:space="0"/>
            </w:tcBorders>
            <w:noWrap w:val="0"/>
            <w:tcMar>
              <w:top w:w="15" w:type="dxa"/>
              <w:left w:w="15" w:type="dxa"/>
              <w:bottom w:w="15" w:type="dxa"/>
              <w:right w:w="15" w:type="dxa"/>
            </w:tcMar>
            <w:vAlign w:val="center"/>
          </w:tcPr>
          <w:p>
            <w:pPr>
              <w:spacing w:line="300" w:lineRule="exact"/>
              <w:jc w:val="center"/>
              <w:rPr>
                <w:rFonts w:eastAsia="仿宋_GB2312"/>
                <w:kern w:val="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42" w:hRule="atLeast"/>
          <w:tblCellSpacing w:w="0" w:type="dxa"/>
          <w:jc w:val="center"/>
        </w:trPr>
        <w:tc>
          <w:tcPr>
            <w:tcW w:w="9680" w:type="dxa"/>
            <w:gridSpan w:val="9"/>
            <w:tcBorders>
              <w:left w:val="single" w:color="auto" w:sz="2" w:space="0"/>
              <w:bottom w:val="single" w:color="auto" w:sz="2" w:space="0"/>
              <w:right w:val="single" w:color="auto" w:sz="2" w:space="0"/>
            </w:tcBorders>
            <w:noWrap w:val="0"/>
            <w:tcMar>
              <w:top w:w="15" w:type="dxa"/>
              <w:left w:w="15" w:type="dxa"/>
              <w:bottom w:w="15" w:type="dxa"/>
              <w:right w:w="15" w:type="dxa"/>
            </w:tcMar>
            <w:vAlign w:val="center"/>
          </w:tcPr>
          <w:p>
            <w:pPr>
              <w:spacing w:line="300" w:lineRule="exact"/>
              <w:rPr>
                <w:rFonts w:hint="eastAsia" w:eastAsia="仿宋_GB2312"/>
                <w:kern w:val="0"/>
                <w:sz w:val="24"/>
                <w:lang w:val="en-US" w:eastAsia="zh-CN"/>
              </w:rPr>
            </w:pPr>
            <w:r>
              <w:rPr>
                <w:rFonts w:eastAsia="仿宋_GB2312"/>
                <w:kern w:val="0"/>
                <w:sz w:val="24"/>
              </w:rPr>
              <w:t>二、部门（单位）整体支出绩效自评：</w:t>
            </w:r>
            <w:r>
              <w:rPr>
                <w:rFonts w:hint="eastAsia" w:eastAsia="仿宋_GB2312"/>
                <w:kern w:val="0"/>
                <w:sz w:val="24"/>
                <w:lang w:val="en-US" w:eastAsia="zh-CN"/>
              </w:rPr>
              <w:t>优秀</w:t>
            </w:r>
          </w:p>
          <w:p>
            <w:pPr>
              <w:spacing w:line="300" w:lineRule="exact"/>
              <w:rPr>
                <w:rFonts w:eastAsia="仿宋_GB2312"/>
                <w:kern w:val="0"/>
                <w:sz w:val="24"/>
              </w:rPr>
            </w:pPr>
          </w:p>
          <w:p>
            <w:pPr>
              <w:spacing w:line="300" w:lineRule="exact"/>
              <w:ind w:firstLine="360" w:firstLineChars="150"/>
              <w:rPr>
                <w:rFonts w:eastAsia="仿宋_GB2312"/>
                <w:kern w:val="0"/>
                <w:sz w:val="24"/>
              </w:rPr>
            </w:pPr>
            <w:r>
              <w:rPr>
                <w:rFonts w:eastAsia="仿宋_GB2312"/>
                <w:kern w:val="0"/>
                <w:sz w:val="24"/>
              </w:rPr>
              <w:t>部门（单位）：                自评分数：            自评等级：</w:t>
            </w:r>
          </w:p>
        </w:tc>
      </w:tr>
    </w:tbl>
    <w:p>
      <w:pPr>
        <w:spacing w:line="400" w:lineRule="exact"/>
        <w:jc w:val="left"/>
        <w:rPr>
          <w:rFonts w:eastAsia="仿宋_GB2312"/>
          <w:kern w:val="0"/>
          <w:sz w:val="24"/>
        </w:rPr>
      </w:pPr>
      <w:r>
        <w:rPr>
          <w:rFonts w:eastAsia="仿宋_GB2312"/>
          <w:kern w:val="0"/>
          <w:sz w:val="24"/>
        </w:rPr>
        <w:t>备注：评价等级划分如下</w:t>
      </w:r>
    </w:p>
    <w:p>
      <w:pPr>
        <w:spacing w:line="400" w:lineRule="exact"/>
        <w:jc w:val="left"/>
        <w:rPr>
          <w:rFonts w:eastAsia="仿宋_GB2312"/>
          <w:kern w:val="0"/>
          <w:sz w:val="24"/>
        </w:rPr>
      </w:pPr>
      <w:r>
        <w:rPr>
          <w:rFonts w:eastAsia="仿宋_GB2312"/>
          <w:kern w:val="0"/>
          <w:sz w:val="24"/>
        </w:rPr>
        <w:t>优秀  95分≤得分≤100分；良好  80分≤得分＜95分；一般  60分≤得分＜80分；较差  得分＜60分</w:t>
      </w:r>
    </w:p>
    <w:p/>
    <w:p/>
    <w:p>
      <w:pPr>
        <w:widowControl/>
        <w:shd w:val="clear" w:color="auto" w:fill="FFFFFF"/>
        <w:spacing w:before="100" w:beforeAutospacing="1" w:after="335" w:line="520" w:lineRule="exact"/>
        <w:contextualSpacing/>
        <w:jc w:val="center"/>
        <w:rPr>
          <w:rFonts w:hint="eastAsia" w:ascii="仿宋" w:hAnsi="仿宋" w:eastAsia="仿宋" w:cs="仿宋"/>
          <w:b/>
          <w:kern w:val="0"/>
          <w:sz w:val="36"/>
          <w:szCs w:val="30"/>
        </w:rPr>
      </w:pPr>
      <w:r>
        <w:rPr>
          <w:rFonts w:hint="eastAsia" w:ascii="仿宋" w:hAnsi="仿宋" w:eastAsia="仿宋" w:cs="仿宋"/>
          <w:b/>
          <w:kern w:val="0"/>
          <w:sz w:val="36"/>
          <w:szCs w:val="30"/>
        </w:rPr>
        <w:t>新晃县20</w:t>
      </w:r>
      <w:r>
        <w:rPr>
          <w:rFonts w:hint="eastAsia" w:ascii="仿宋" w:hAnsi="仿宋" w:eastAsia="仿宋" w:cs="仿宋"/>
          <w:b/>
          <w:kern w:val="0"/>
          <w:sz w:val="36"/>
          <w:szCs w:val="30"/>
          <w:lang w:val="en-US" w:eastAsia="zh-CN"/>
        </w:rPr>
        <w:t>20</w:t>
      </w:r>
      <w:r>
        <w:rPr>
          <w:rFonts w:hint="eastAsia" w:ascii="仿宋" w:hAnsi="仿宋" w:eastAsia="仿宋" w:cs="仿宋"/>
          <w:b/>
          <w:kern w:val="0"/>
          <w:sz w:val="36"/>
          <w:szCs w:val="30"/>
        </w:rPr>
        <w:t>年度国家基本药物制度</w:t>
      </w:r>
    </w:p>
    <w:p>
      <w:pPr>
        <w:widowControl/>
        <w:shd w:val="clear" w:color="auto" w:fill="FFFFFF"/>
        <w:spacing w:before="100" w:beforeAutospacing="1" w:after="335" w:line="520" w:lineRule="exact"/>
        <w:contextualSpacing/>
        <w:jc w:val="center"/>
        <w:rPr>
          <w:rFonts w:hint="eastAsia" w:ascii="仿宋" w:hAnsi="仿宋" w:eastAsia="仿宋" w:cs="仿宋"/>
          <w:b/>
          <w:kern w:val="0"/>
          <w:sz w:val="36"/>
          <w:szCs w:val="30"/>
        </w:rPr>
      </w:pPr>
      <w:r>
        <w:rPr>
          <w:rFonts w:hint="eastAsia" w:ascii="仿宋" w:hAnsi="仿宋" w:eastAsia="仿宋" w:cs="仿宋"/>
          <w:b/>
          <w:kern w:val="0"/>
          <w:sz w:val="36"/>
          <w:szCs w:val="30"/>
        </w:rPr>
        <w:t>补助项目绩效自评报告</w:t>
      </w:r>
    </w:p>
    <w:p>
      <w:pPr>
        <w:widowControl/>
        <w:shd w:val="clear" w:color="auto" w:fill="FFFFFF"/>
        <w:spacing w:before="100" w:beforeAutospacing="1" w:after="335" w:line="520" w:lineRule="exact"/>
        <w:ind w:firstLine="482"/>
        <w:contextualSpacing/>
        <w:jc w:val="center"/>
        <w:rPr>
          <w:rFonts w:hint="eastAsia" w:ascii="仿宋" w:hAnsi="仿宋" w:eastAsia="仿宋" w:cs="仿宋"/>
          <w:b/>
          <w:kern w:val="0"/>
          <w:sz w:val="32"/>
          <w:szCs w:val="32"/>
        </w:rPr>
      </w:pPr>
      <w:r>
        <w:rPr>
          <w:rFonts w:hint="eastAsia" w:ascii="仿宋" w:hAnsi="仿宋" w:eastAsia="仿宋" w:cs="仿宋"/>
          <w:b/>
          <w:kern w:val="0"/>
          <w:sz w:val="32"/>
          <w:szCs w:val="32"/>
        </w:rPr>
        <w:t>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w:t>
      </w:r>
      <w:r>
        <w:rPr>
          <w:rFonts w:hint="eastAsia" w:ascii="仿宋" w:hAnsi="仿宋" w:eastAsia="仿宋" w:cs="仿宋"/>
          <w:sz w:val="32"/>
          <w:szCs w:val="32"/>
          <w:lang w:val="en-US" w:eastAsia="zh-CN"/>
        </w:rPr>
        <w:t>20</w:t>
      </w:r>
      <w:r>
        <w:rPr>
          <w:rFonts w:hint="eastAsia" w:ascii="仿宋" w:hAnsi="仿宋" w:eastAsia="仿宋" w:cs="仿宋"/>
          <w:sz w:val="32"/>
          <w:szCs w:val="32"/>
        </w:rPr>
        <w:t>年，我县实施国家基本药物制度补助项目工作在县委政府正确领导和省、市卫健委的具体指导下，依据《湖南省卫生健康委关于2020年实施国家基本药物制度绩效评价方案》，制定了《20</w:t>
      </w:r>
      <w:r>
        <w:rPr>
          <w:rFonts w:hint="eastAsia" w:ascii="仿宋" w:hAnsi="仿宋" w:eastAsia="仿宋" w:cs="仿宋"/>
          <w:sz w:val="32"/>
          <w:szCs w:val="32"/>
          <w:lang w:val="en-US" w:eastAsia="zh-CN"/>
        </w:rPr>
        <w:t>20</w:t>
      </w:r>
      <w:r>
        <w:rPr>
          <w:rFonts w:hint="eastAsia" w:ascii="仿宋" w:hAnsi="仿宋" w:eastAsia="仿宋" w:cs="仿宋"/>
          <w:sz w:val="32"/>
          <w:szCs w:val="32"/>
        </w:rPr>
        <w:t>年度新晃县乡镇卫生院实施国家基本药物制度考核方案》，开展了各项具体工作，全面完成了项目工作任务。现将项目绩效自评报告如下：</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rPr>
        <w:t>一、基本情况</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150"/>
        <w:textAlignment w:val="auto"/>
        <w:rPr>
          <w:rFonts w:hint="eastAsia" w:ascii="仿宋" w:hAnsi="仿宋" w:eastAsia="仿宋" w:cs="仿宋"/>
          <w:sz w:val="32"/>
          <w:szCs w:val="32"/>
        </w:rPr>
      </w:pPr>
      <w:r>
        <w:rPr>
          <w:rFonts w:hint="eastAsia" w:ascii="仿宋" w:hAnsi="仿宋" w:eastAsia="仿宋" w:cs="仿宋"/>
          <w:sz w:val="32"/>
          <w:szCs w:val="32"/>
        </w:rPr>
        <w:t>（一）我县</w:t>
      </w:r>
      <w:r>
        <w:rPr>
          <w:rFonts w:hint="eastAsia" w:ascii="仿宋" w:hAnsi="仿宋" w:eastAsia="仿宋" w:cs="仿宋"/>
          <w:sz w:val="32"/>
          <w:szCs w:val="32"/>
          <w:lang w:val="en-US" w:eastAsia="zh-CN"/>
        </w:rPr>
        <w:t>实施基药制度的公立</w:t>
      </w:r>
      <w:r>
        <w:rPr>
          <w:rFonts w:hint="eastAsia" w:ascii="仿宋" w:hAnsi="仿宋" w:eastAsia="仿宋" w:cs="仿宋"/>
          <w:sz w:val="32"/>
          <w:szCs w:val="32"/>
        </w:rPr>
        <w:t>医疗机构</w:t>
      </w:r>
      <w:r>
        <w:rPr>
          <w:rFonts w:hint="eastAsia" w:ascii="仿宋" w:hAnsi="仿宋" w:eastAsia="仿宋" w:cs="仿宋"/>
          <w:sz w:val="32"/>
          <w:szCs w:val="32"/>
          <w:lang w:val="en-US" w:eastAsia="zh-CN"/>
        </w:rPr>
        <w:t>有115</w:t>
      </w:r>
      <w:r>
        <w:rPr>
          <w:rFonts w:hint="eastAsia" w:ascii="仿宋" w:hAnsi="仿宋" w:eastAsia="仿宋" w:cs="仿宋"/>
          <w:sz w:val="32"/>
          <w:szCs w:val="32"/>
        </w:rPr>
        <w:t>家，包括县人民医院、县中医医院、妇幼保健与计划生育服务中心</w:t>
      </w:r>
      <w:r>
        <w:rPr>
          <w:rFonts w:hint="eastAsia" w:ascii="仿宋" w:hAnsi="仿宋" w:eastAsia="仿宋" w:cs="仿宋"/>
          <w:sz w:val="32"/>
          <w:szCs w:val="32"/>
          <w:lang w:val="en-US" w:eastAsia="zh-CN"/>
        </w:rPr>
        <w:t>、</w:t>
      </w:r>
      <w:r>
        <w:rPr>
          <w:rFonts w:hint="eastAsia" w:ascii="仿宋" w:hAnsi="仿宋" w:eastAsia="仿宋" w:cs="仿宋"/>
          <w:sz w:val="32"/>
          <w:szCs w:val="32"/>
        </w:rPr>
        <w:t>2</w:t>
      </w:r>
      <w:r>
        <w:rPr>
          <w:rFonts w:hint="eastAsia" w:ascii="仿宋" w:hAnsi="仿宋" w:eastAsia="仿宋" w:cs="仿宋"/>
          <w:sz w:val="32"/>
          <w:szCs w:val="32"/>
          <w:lang w:val="en-US" w:eastAsia="zh-CN"/>
        </w:rPr>
        <w:t>2</w:t>
      </w:r>
      <w:r>
        <w:rPr>
          <w:rFonts w:hint="eastAsia" w:ascii="仿宋" w:hAnsi="仿宋" w:eastAsia="仿宋" w:cs="仿宋"/>
          <w:sz w:val="32"/>
          <w:szCs w:val="32"/>
        </w:rPr>
        <w:t>个乡镇卫生院</w:t>
      </w:r>
      <w:r>
        <w:rPr>
          <w:rFonts w:hint="eastAsia" w:ascii="仿宋" w:hAnsi="仿宋" w:eastAsia="仿宋" w:cs="仿宋"/>
          <w:sz w:val="32"/>
          <w:szCs w:val="32"/>
          <w:lang w:val="en-US" w:eastAsia="zh-CN"/>
        </w:rPr>
        <w:t>和90</w:t>
      </w:r>
      <w:r>
        <w:rPr>
          <w:rFonts w:hint="eastAsia" w:ascii="仿宋" w:hAnsi="仿宋" w:eastAsia="仿宋" w:cs="仿宋"/>
          <w:sz w:val="32"/>
          <w:szCs w:val="32"/>
        </w:rPr>
        <w:t>所村卫生室，自2012年4月30日起开始逐步配备和使用国家基本药物，并实行网上集中采购，统一配送，药品零差率销售。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制定了《新晃县2020年实施国家基本药物制度绩效评价方案》，并根据方案组织了年终绩效考核和排名，对年终考核成绩排名靠后的三家卫生院进行了通报批评和惩罚，排名前三的予以通报表扬并予以奖励。2020年乡镇卫生院基药补助总额537.4万元，其中中央补助资金131.2万元，省级补助资金86.2万元，县级补助资金320万元；村卫生室基药补助总额117.8万元，其中中央补助资金74.4万元，省级补助资金43.4万元。2021年2月前全部拨付到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三</w:t>
      </w:r>
      <w:r>
        <w:rPr>
          <w:rFonts w:hint="eastAsia" w:ascii="仿宋" w:hAnsi="仿宋" w:eastAsia="仿宋" w:cs="仿宋"/>
          <w:sz w:val="32"/>
          <w:szCs w:val="32"/>
          <w:lang w:eastAsia="zh-CN"/>
        </w:rPr>
        <w:t>）制定了《新晃县药品使用监测与预警中心建设方案》，成立新晃县药品使用监测与预警中心领导小组，县卫健局局长吴海明任组长，分管领导杨建华为副组长，医政医管股关键及药政股龙玉灿为成员，确定了辖区内负责药品使用监测的挂靠单位为新晃县人民医院，明确了药品使用监测的责任人。全年共收到县人民医院、李树卫生院、鱼市卫生院等医疗机构清单外短缺药品上报信息125条，涉及104个品种，每季度按时上报短缺药品数据并联系相关企业解决，其中急救药品如：去乙酰毛花苷、尿激酶、麻黄碱等，均联系怀化市短缺药品保障企业及时补充并配送，常用短缺药品已联系相关企业及时补充，部分常用短缺药品指导医疗机构按照《国家基本药物制度处方集》进行替代处理。</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rPr>
        <w:t>二、项目实施及管理情况</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150"/>
        <w:textAlignment w:val="auto"/>
        <w:rPr>
          <w:rFonts w:hint="eastAsia" w:ascii="仿宋" w:hAnsi="仿宋" w:eastAsia="仿宋" w:cs="仿宋"/>
          <w:sz w:val="32"/>
          <w:szCs w:val="32"/>
        </w:rPr>
      </w:pPr>
      <w:r>
        <w:rPr>
          <w:rFonts w:hint="eastAsia" w:ascii="仿宋" w:hAnsi="仿宋" w:eastAsia="仿宋" w:cs="仿宋"/>
          <w:sz w:val="32"/>
          <w:szCs w:val="32"/>
        </w:rPr>
        <w:t>（一）制定项目管理方案。根据《湖南省卫生健康委关于2020年实施国家基本药物制度绩效评价方案》及省、市有关基药会议精神，结合实际，我县先后制定出台了《20</w:t>
      </w:r>
      <w:r>
        <w:rPr>
          <w:rFonts w:hint="eastAsia" w:ascii="仿宋" w:hAnsi="仿宋" w:eastAsia="仿宋" w:cs="仿宋"/>
          <w:sz w:val="32"/>
          <w:szCs w:val="32"/>
          <w:lang w:val="en-US" w:eastAsia="zh-CN"/>
        </w:rPr>
        <w:t>20</w:t>
      </w:r>
      <w:r>
        <w:rPr>
          <w:rFonts w:hint="eastAsia" w:ascii="仿宋" w:hAnsi="仿宋" w:eastAsia="仿宋" w:cs="仿宋"/>
          <w:sz w:val="32"/>
          <w:szCs w:val="32"/>
        </w:rPr>
        <w:t>年新晃县基层医疗机构实施国家基本药物制度考核方案》、《新晃县20</w:t>
      </w:r>
      <w:r>
        <w:rPr>
          <w:rFonts w:hint="eastAsia" w:ascii="仿宋" w:hAnsi="仿宋" w:eastAsia="仿宋" w:cs="仿宋"/>
          <w:sz w:val="32"/>
          <w:szCs w:val="32"/>
          <w:lang w:val="en-US" w:eastAsia="zh-CN"/>
        </w:rPr>
        <w:t>20</w:t>
      </w:r>
      <w:r>
        <w:rPr>
          <w:rFonts w:hint="eastAsia" w:ascii="仿宋" w:hAnsi="仿宋" w:eastAsia="仿宋" w:cs="仿宋"/>
          <w:sz w:val="32"/>
          <w:szCs w:val="32"/>
        </w:rPr>
        <w:t>年短缺药品供应保障制度》、《新晃县开展基层医疗机构基本药物集中采购供应管理及杜绝网外采购行为专项整治工作实施方案》、《新晃县基层医疗机构实施国家基本药物制度</w:t>
      </w:r>
      <w:r>
        <w:rPr>
          <w:rFonts w:hint="eastAsia" w:ascii="仿宋" w:hAnsi="仿宋" w:eastAsia="仿宋" w:cs="仿宋"/>
          <w:sz w:val="32"/>
          <w:szCs w:val="32"/>
          <w:lang w:val="en-US" w:eastAsia="zh-CN"/>
        </w:rPr>
        <w:t>资金分配方案</w:t>
      </w:r>
      <w:r>
        <w:rPr>
          <w:rFonts w:hint="eastAsia" w:ascii="仿宋" w:hAnsi="仿宋" w:eastAsia="仿宋" w:cs="仿宋"/>
          <w:sz w:val="32"/>
          <w:szCs w:val="32"/>
        </w:rPr>
        <w:t>》、《关于进一步加强全县医疗机构医用耗材采购管理工作的通知》，进一步完善了实施国家基本药物制度项目管理措施。</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150"/>
        <w:textAlignment w:val="auto"/>
        <w:rPr>
          <w:rFonts w:hint="eastAsia" w:ascii="仿宋" w:hAnsi="仿宋" w:eastAsia="仿宋" w:cs="仿宋"/>
          <w:sz w:val="32"/>
          <w:szCs w:val="32"/>
        </w:rPr>
      </w:pPr>
      <w:r>
        <w:rPr>
          <w:rFonts w:hint="eastAsia" w:ascii="仿宋" w:hAnsi="仿宋" w:eastAsia="仿宋" w:cs="仿宋"/>
          <w:sz w:val="32"/>
          <w:szCs w:val="32"/>
        </w:rPr>
        <w:t>（二）召开培训会议。2020年8月召开了“新晃县实施国家基本药物制度及药事管理培训会”，县卫健局分管领导杨建华组织学习了“国家基本药物制度实施背景及总体进展”“湖南省国家基本药物制度绩效评价方案”“新晃县2020年实施国家基本药物制度绩效评价方案”等内容，县人民医院药剂科主任杨建清主持了“药事管理及临床合理用药”相关知识培训。</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150"/>
        <w:textAlignment w:val="auto"/>
        <w:rPr>
          <w:rFonts w:hint="eastAsia" w:ascii="仿宋" w:hAnsi="仿宋" w:eastAsia="仿宋" w:cs="仿宋"/>
          <w:sz w:val="32"/>
          <w:szCs w:val="32"/>
        </w:rPr>
      </w:pPr>
      <w:r>
        <w:rPr>
          <w:rFonts w:hint="eastAsia" w:ascii="仿宋" w:hAnsi="仿宋" w:eastAsia="仿宋" w:cs="仿宋"/>
          <w:sz w:val="32"/>
          <w:szCs w:val="32"/>
        </w:rPr>
        <w:t>（三）开展项目绩效自评。根据湖南省健康委《湖南省卫生健康委关于2020年实施国家基本药物制度绩效评价方案》及绩效考核评分细则，认真组织开展了项目绩效自评。</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rPr>
        <w:t>三、自评结果分析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我县20</w:t>
      </w:r>
      <w:r>
        <w:rPr>
          <w:rFonts w:hint="eastAsia" w:ascii="仿宋" w:hAnsi="仿宋" w:eastAsia="仿宋" w:cs="仿宋"/>
          <w:sz w:val="32"/>
          <w:szCs w:val="32"/>
          <w:lang w:val="en-US" w:eastAsia="zh-CN"/>
        </w:rPr>
        <w:t>19</w:t>
      </w:r>
      <w:r>
        <w:rPr>
          <w:rFonts w:hint="eastAsia" w:ascii="仿宋" w:hAnsi="仿宋" w:eastAsia="仿宋" w:cs="仿宋"/>
          <w:sz w:val="32"/>
          <w:szCs w:val="32"/>
        </w:rPr>
        <w:t>年实施国家基本药物制度补助项目工作圆满完成年初既定的工作任务，实施了制定方案、加强培训、组织考核、强化督导、资金拨付、总结上报等工作措施，取得了较好成绩，但美中不足的是虽然成立药品使用监测预警联系点，明确了责任单位和责任人，由于</w:t>
      </w:r>
      <w:r>
        <w:rPr>
          <w:rFonts w:hint="eastAsia" w:ascii="仿宋" w:hAnsi="仿宋" w:eastAsia="仿宋" w:cs="仿宋"/>
          <w:sz w:val="32"/>
          <w:szCs w:val="32"/>
          <w:lang w:val="en-US" w:eastAsia="zh-CN"/>
        </w:rPr>
        <w:t>管理不到位，2020年乡镇卫生院基药金额使用比未能达到100%达标。</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rPr>
        <w:t>四、存在问题和下一步整改方向</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150"/>
        <w:textAlignment w:val="auto"/>
        <w:rPr>
          <w:rFonts w:hint="eastAsia" w:ascii="仿宋" w:hAnsi="仿宋" w:eastAsia="仿宋" w:cs="仿宋"/>
          <w:sz w:val="32"/>
          <w:szCs w:val="32"/>
        </w:rPr>
      </w:pPr>
      <w:r>
        <w:rPr>
          <w:rFonts w:hint="eastAsia" w:ascii="仿宋" w:hAnsi="仿宋" w:eastAsia="仿宋" w:cs="仿宋"/>
          <w:sz w:val="32"/>
          <w:szCs w:val="32"/>
        </w:rPr>
        <w:t>（一）存在的问题。一是各医疗单位对药品采购管理重视不够,药品采购管理人员更换频繁,造成药品采购管理工作脱节；二是卫生院对所辖卫生室药品规范管理使用督查力度不够,造成部分村医超权限用药、用药不规范；三是对我县临床医生特别是基层医生的合理用药培训力度不够；四是部分医疗机构基药采购金额比例未达标。</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150"/>
        <w:textAlignment w:val="auto"/>
        <w:rPr>
          <w:rFonts w:hint="eastAsia" w:ascii="仿宋" w:hAnsi="仿宋" w:eastAsia="仿宋" w:cs="仿宋"/>
          <w:sz w:val="32"/>
          <w:szCs w:val="32"/>
        </w:rPr>
      </w:pPr>
      <w:r>
        <w:rPr>
          <w:rFonts w:hint="eastAsia" w:ascii="仿宋" w:hAnsi="仿宋" w:eastAsia="仿宋" w:cs="仿宋"/>
          <w:sz w:val="32"/>
          <w:szCs w:val="32"/>
        </w:rPr>
        <w:t>（二）下步整改措施。为了执行好国家基本药物制度,使我县药品采购管理和基本药物资金使用更加规范,在下步工作中将认真整改存在的问题,并采取以下措施：一是由卫健局组织,加大对全县医务人员基本药物制度和药品相关政策的学习；二是加强基本药物合理使用的培训,在卫健局统一组织培训的基础上,规定每家医疗单位必须定期对相关内容进行培训,并纳入年终考核；三是加大对医疗机构药品采购、管理使用的监督查检和考核力度,特别是村卫生室是检查的重点,使全县的药品采购管理工作更加规范；四是每年进行两次基本药品专项整治,并对药品进行抽查,防止医疗机构不按要求进行基本药品网采和销售；五是认真监管医疗机构备案采购的药品,防止医疗机构私自购进药品的情况发生；六是积极配合上级部门,并采取措施加强药品供应保障工作；七是加强对基本药品资金使用的监管和核查,防止基层卫生院滞留资金,不及时兑现给村医。</w:t>
      </w:r>
    </w:p>
    <w:p>
      <w:pPr>
        <w:keepNext w:val="0"/>
        <w:keepLines w:val="0"/>
        <w:pageBreakBefore w:val="0"/>
        <w:widowControl w:val="0"/>
        <w:kinsoku/>
        <w:wordWrap/>
        <w:overflowPunct/>
        <w:topLinePunct w:val="0"/>
        <w:autoSpaceDE/>
        <w:autoSpaceDN/>
        <w:bidi w:val="0"/>
        <w:adjustRightInd/>
        <w:snapToGrid/>
        <w:spacing w:line="560" w:lineRule="exact"/>
        <w:ind w:right="640"/>
        <w:jc w:val="righ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right="640"/>
        <w:jc w:val="righ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right="640"/>
        <w:jc w:val="righ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right="640"/>
        <w:jc w:val="right"/>
        <w:textAlignment w:val="auto"/>
        <w:rPr>
          <w:rFonts w:hint="eastAsia" w:ascii="仿宋" w:hAnsi="仿宋" w:eastAsia="仿宋" w:cs="仿宋"/>
          <w:sz w:val="32"/>
          <w:szCs w:val="32"/>
        </w:rPr>
      </w:pPr>
      <w:r>
        <w:rPr>
          <w:rFonts w:hint="eastAsia" w:ascii="仿宋" w:hAnsi="仿宋" w:eastAsia="仿宋" w:cs="仿宋"/>
          <w:sz w:val="32"/>
          <w:szCs w:val="32"/>
        </w:rPr>
        <w:t>医政医管股</w:t>
      </w:r>
    </w:p>
    <w:p>
      <w:pPr>
        <w:keepNext w:val="0"/>
        <w:keepLines w:val="0"/>
        <w:pageBreakBefore w:val="0"/>
        <w:widowControl w:val="0"/>
        <w:kinsoku/>
        <w:wordWrap/>
        <w:overflowPunct/>
        <w:topLinePunct w:val="0"/>
        <w:autoSpaceDE/>
        <w:autoSpaceDN/>
        <w:bidi w:val="0"/>
        <w:adjustRightInd/>
        <w:snapToGrid/>
        <w:spacing w:line="560" w:lineRule="exact"/>
        <w:ind w:right="160"/>
        <w:jc w:val="right"/>
        <w:textAlignment w:val="auto"/>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1</w:t>
      </w:r>
      <w:r>
        <w:rPr>
          <w:rFonts w:hint="eastAsia" w:ascii="仿宋" w:hAnsi="仿宋" w:eastAsia="仿宋" w:cs="仿宋"/>
          <w:sz w:val="32"/>
          <w:szCs w:val="32"/>
        </w:rPr>
        <w:t>年</w:t>
      </w:r>
      <w:r>
        <w:rPr>
          <w:rFonts w:hint="eastAsia" w:ascii="仿宋" w:hAnsi="仿宋" w:eastAsia="仿宋" w:cs="仿宋"/>
          <w:sz w:val="32"/>
          <w:szCs w:val="32"/>
          <w:lang w:val="en-US" w:eastAsia="zh-CN"/>
        </w:rPr>
        <w:t>8</w:t>
      </w:r>
      <w:r>
        <w:rPr>
          <w:rFonts w:hint="eastAsia" w:ascii="仿宋" w:hAnsi="仿宋" w:eastAsia="仿宋" w:cs="仿宋"/>
          <w:sz w:val="32"/>
          <w:szCs w:val="32"/>
        </w:rPr>
        <w:t>月</w:t>
      </w:r>
      <w:r>
        <w:rPr>
          <w:rFonts w:hint="eastAsia" w:ascii="仿宋" w:hAnsi="仿宋" w:eastAsia="仿宋" w:cs="仿宋"/>
          <w:sz w:val="32"/>
          <w:szCs w:val="32"/>
          <w:lang w:val="en-US" w:eastAsia="zh-CN"/>
        </w:rPr>
        <w:t>2</w:t>
      </w:r>
      <w:r>
        <w:rPr>
          <w:rFonts w:hint="eastAsia" w:ascii="仿宋" w:hAnsi="仿宋" w:eastAsia="仿宋" w:cs="仿宋"/>
          <w:sz w:val="32"/>
          <w:szCs w:val="32"/>
        </w:rPr>
        <w:t>9日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027D36"/>
    <w:rsid w:val="01027D36"/>
    <w:rsid w:val="6AF710FE"/>
    <w:rsid w:val="7E0E2A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6">
    <w:name w:val="Strong"/>
    <w:qFormat/>
    <w:uiPriority w:val="0"/>
    <w:rPr>
      <w:b/>
      <w:bCs/>
    </w:rPr>
  </w:style>
  <w:style w:type="character" w:styleId="7">
    <w:name w:val="page number"/>
    <w:basedOn w:val="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2021-08-25T07:24:00Z</dcterms:created>
  <dc:creator>龙玉灿</dc:creator>
  <cp:lastModifiedBy>Administrator</cp:lastModifiedBy>
  <dcterms:modified xsi:type="dcterms:W3CDTF">2021-08-31T02:55:38Z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807548C08E4845318857E25F784556AE</vt:lpwstr>
  </property>
</Properties>
</file>