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9926C">
      <w:pPr>
        <w:spacing w:before="240" w:line="340" w:lineRule="exact"/>
        <w:jc w:val="left"/>
        <w:rPr>
          <w:kern w:val="0"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 </w:t>
      </w:r>
    </w:p>
    <w:p w14:paraId="50F2FE82"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>
        <w:rPr>
          <w:rFonts w:hint="eastAsia" w:eastAsia="方正粗宋简体"/>
          <w:w w:val="85"/>
          <w:kern w:val="0"/>
          <w:sz w:val="44"/>
          <w:szCs w:val="44"/>
        </w:rPr>
        <w:t>2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林业局</w:t>
      </w:r>
      <w:r>
        <w:rPr>
          <w:rFonts w:hAnsi="方正粗宋简体" w:eastAsia="方正粗宋简体"/>
          <w:w w:val="85"/>
          <w:kern w:val="0"/>
          <w:sz w:val="44"/>
          <w:szCs w:val="44"/>
        </w:rPr>
        <w:t>项目支出自评报告</w:t>
      </w:r>
    </w:p>
    <w:p w14:paraId="7132C49E"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（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val="en-US" w:eastAsia="zh-CN"/>
        </w:rPr>
        <w:t>林长制工作经费</w:t>
      </w:r>
      <w:r>
        <w:rPr>
          <w:rFonts w:hAnsi="方正粗宋简体" w:eastAsia="方正粗宋简体"/>
          <w:w w:val="85"/>
          <w:kern w:val="0"/>
          <w:sz w:val="44"/>
          <w:szCs w:val="44"/>
        </w:rPr>
        <w:t>）</w:t>
      </w:r>
    </w:p>
    <w:p w14:paraId="4B9465B0">
      <w:pPr>
        <w:pStyle w:val="5"/>
        <w:widowControl w:val="0"/>
        <w:spacing w:before="0" w:beforeAutospacing="0" w:after="0" w:afterAutospacing="0" w:line="600" w:lineRule="exact"/>
        <w:ind w:firstLine="551" w:firstLineChars="196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一、项目概况</w:t>
      </w:r>
    </w:p>
    <w:p w14:paraId="5C580EA2">
      <w:pPr>
        <w:numPr>
          <w:ilvl w:val="0"/>
          <w:numId w:val="0"/>
        </w:numPr>
        <w:tabs>
          <w:tab w:val="left" w:pos="851"/>
        </w:tabs>
        <w:spacing w:line="56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eastAsia="仿宋_GB2312"/>
          <w:sz w:val="28"/>
          <w:szCs w:val="28"/>
        </w:rPr>
        <w:t>（一）项目概况</w:t>
      </w:r>
      <w:r>
        <w:rPr>
          <w:rFonts w:hint="eastAsia" w:ascii="仿宋_GB2312" w:eastAsia="仿宋_GB2312"/>
          <w:sz w:val="28"/>
          <w:szCs w:val="28"/>
        </w:rPr>
        <w:t xml:space="preserve"> 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推行林长制，落实林长责任和确保林长制主要信息向群众进行公开、公示，通过建立“林长制”来推动乡村干部全面履行森林资源保护管理责任制，创新森林资源保护管理长效机制，确保我县全部责任公示牌信息及时更新、标识完整，提高林长制信息在群众中的知晓率。林长制工作经费项目主要用于：1.成立林长制组织机构，制作林长制公示牌；2.各镇办成立林长制办公室，制作办公室门牌；3.建立林长制会议、林长巡林督查等五项制度，制作林长制制度牌。</w:t>
      </w:r>
    </w:p>
    <w:p w14:paraId="4E4D41BB">
      <w:pPr>
        <w:spacing w:line="600" w:lineRule="exact"/>
        <w:ind w:firstLine="560" w:firstLineChars="200"/>
        <w:rPr>
          <w:rFonts w:ascii="仿宋_GB2312" w:hAnsi="仿宋" w:eastAsia="仿宋_GB2312" w:cs="方正仿宋_GBK"/>
          <w:sz w:val="28"/>
          <w:szCs w:val="28"/>
        </w:rPr>
      </w:pPr>
    </w:p>
    <w:p w14:paraId="3C05AFFD">
      <w:pPr>
        <w:numPr>
          <w:ilvl w:val="0"/>
          <w:numId w:val="0"/>
        </w:numPr>
        <w:tabs>
          <w:tab w:val="left" w:pos="851"/>
        </w:tabs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</w:t>
      </w:r>
      <w:r>
        <w:rPr>
          <w:rFonts w:eastAsia="仿宋_GB2312"/>
          <w:sz w:val="28"/>
          <w:szCs w:val="28"/>
        </w:rPr>
        <w:t>绩效目标：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切实规范林长制生态护林员队伍的建设和管理，实现“山有人管、林有人护、火有人防、责有人担”的总体要求，更好保障我县森林资源安全，优化生态环境，巩固林长制成果。</w:t>
      </w:r>
    </w:p>
    <w:p w14:paraId="4879E26C">
      <w:pPr>
        <w:numPr>
          <w:ilvl w:val="0"/>
          <w:numId w:val="0"/>
        </w:numPr>
        <w:tabs>
          <w:tab w:val="left" w:pos="851"/>
        </w:tabs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阶段目标：维护好、更新好全县县级林长制责任公示牌，确保信息更新及时，内容准确无误，持续提高林长制群众知晓率、参与率和满意度。</w:t>
      </w:r>
    </w:p>
    <w:p w14:paraId="05A0FF4C">
      <w:pPr>
        <w:pStyle w:val="5"/>
        <w:widowControl w:val="0"/>
        <w:spacing w:before="0" w:beforeAutospacing="0" w:after="0" w:afterAutospacing="0" w:line="52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2AAC388F"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二、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绩效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评价工作开展情况</w:t>
      </w:r>
    </w:p>
    <w:p w14:paraId="183FB343"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eastAsia="仿宋_GB2312"/>
          <w:sz w:val="28"/>
          <w:szCs w:val="28"/>
        </w:rPr>
        <w:t>（一）</w:t>
      </w:r>
      <w:r>
        <w:rPr>
          <w:rFonts w:hint="eastAsia" w:eastAsia="仿宋_GB2312"/>
          <w:sz w:val="28"/>
          <w:szCs w:val="28"/>
        </w:rPr>
        <w:t>绩效评价</w:t>
      </w:r>
      <w:r>
        <w:rPr>
          <w:rFonts w:eastAsia="仿宋_GB2312"/>
          <w:sz w:val="28"/>
          <w:szCs w:val="28"/>
        </w:rPr>
        <w:t>目的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对象和范围：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通过绩效评价全面分析该项目资金使用、管理和项目实施情况，进一步规范专项经费使用、管理制度，强化财政资金支出绩效理念，切实提高财政资金使用效益。</w:t>
      </w:r>
    </w:p>
    <w:p w14:paraId="19CC4EF5">
      <w:pPr>
        <w:pStyle w:val="5"/>
        <w:widowControl w:val="0"/>
        <w:spacing w:before="0" w:beforeAutospacing="0" w:after="0" w:afterAutospacing="0" w:line="520" w:lineRule="exact"/>
        <w:ind w:firstLine="280" w:firstLineChars="1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绩效评价</w:t>
      </w:r>
      <w:r>
        <w:rPr>
          <w:rFonts w:ascii="Times New Roman" w:hAnsi="Times New Roman" w:eastAsia="仿宋_GB2312" w:cs="Times New Roman"/>
          <w:sz w:val="28"/>
          <w:szCs w:val="28"/>
        </w:rPr>
        <w:t>原则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评价指标体系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（附表说明）、</w:t>
      </w:r>
      <w:r>
        <w:rPr>
          <w:rFonts w:ascii="Times New Roman" w:hAnsi="Times New Roman" w:eastAsia="仿宋_GB2312" w:cs="Times New Roman"/>
          <w:sz w:val="28"/>
          <w:szCs w:val="28"/>
        </w:rPr>
        <w:t>评价方法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评价标准：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坚持实事求是、公平、公开原则；涵养水源、保持水土、恢复森林生态系统功能=持续；林农满意度≥95%</w:t>
      </w:r>
    </w:p>
    <w:p w14:paraId="5CD47CDA">
      <w:pPr>
        <w:pStyle w:val="5"/>
        <w:widowControl w:val="0"/>
        <w:spacing w:before="0" w:beforeAutospacing="0" w:after="0" w:afterAutospacing="0" w:line="520" w:lineRule="exact"/>
        <w:ind w:firstLine="420" w:firstLineChars="15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（三）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绩效评价</w:t>
      </w:r>
      <w:r>
        <w:rPr>
          <w:rFonts w:ascii="Times New Roman" w:hAnsi="Times New Roman" w:eastAsia="仿宋_GB2312" w:cs="Times New Roman"/>
          <w:sz w:val="28"/>
          <w:szCs w:val="28"/>
        </w:rPr>
        <w:t>工作工程：</w:t>
      </w:r>
      <w:r>
        <w:rPr>
          <w:rFonts w:hint="eastAsia" w:ascii="仿宋_GB2312" w:eastAsia="仿宋_GB2312"/>
          <w:color w:val="333333"/>
          <w:sz w:val="32"/>
          <w:szCs w:val="32"/>
        </w:rPr>
        <w:t>绩效评价整个过程按照认真准备，严密实施，科学分析的步骤实施。认真准备，即召开会议，安排部署评价工作，项目负责股室全面收集项目资料，准备好评价前期工作；精密实施，收集好各类资料后，指定专人进行项目报告的填写，单位组织讨论、分析、自评，完善后报县财政局。</w:t>
      </w:r>
    </w:p>
    <w:p w14:paraId="391B6C94"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三、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综合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评价情况及评价结论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（付相关评分表）</w:t>
      </w:r>
    </w:p>
    <w:p w14:paraId="437C93F9">
      <w:pPr>
        <w:pStyle w:val="5"/>
        <w:shd w:val="clear" w:color="auto" w:fill="FFFFFF"/>
        <w:spacing w:before="0" w:beforeAutospacing="0" w:after="0" w:afterAutospacing="0" w:line="315" w:lineRule="atLeast"/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该项目的实施，是惠民政策的落实、是德政之举，评价结论100分，优秀等级。</w:t>
      </w:r>
    </w:p>
    <w:p w14:paraId="547D271B"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四、绩效评价指标分析</w:t>
      </w:r>
    </w:p>
    <w:p w14:paraId="53CA12CE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（一）项目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决策</w:t>
      </w:r>
      <w:r>
        <w:rPr>
          <w:rFonts w:ascii="Times New Roman" w:hAnsi="Times New Roman" w:eastAsia="仿宋_GB2312" w:cs="Times New Roman"/>
          <w:sz w:val="28"/>
          <w:szCs w:val="28"/>
        </w:rPr>
        <w:t>情况。</w:t>
      </w:r>
    </w:p>
    <w:p w14:paraId="04C831D4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根据有关文件精神要求，以建立健全林长制体系为总抓手，全面加强林业资源保护、林业产业富民、生态价值实现，坚决打赢青山保卫战。</w:t>
      </w:r>
    </w:p>
    <w:p w14:paraId="63A73B28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过程情况：</w:t>
      </w:r>
    </w:p>
    <w:p w14:paraId="4AB74CA6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hint="default" w:ascii="仿宋_GB2312" w:hAnsi="仿宋" w:eastAsia="仿宋_GB2312" w:cs="方正仿宋_GBK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方正仿宋_GBK"/>
          <w:sz w:val="28"/>
          <w:szCs w:val="28"/>
          <w:lang w:val="en-US" w:eastAsia="zh-CN"/>
        </w:rPr>
        <w:t>该项目所有费用均按照财务制度严格执行。</w:t>
      </w:r>
    </w:p>
    <w:p w14:paraId="6C28AD4A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（三）项目产出情况：202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林长制工作经费100万元。</w:t>
      </w:r>
    </w:p>
    <w:p w14:paraId="1125DDFD">
      <w:pPr>
        <w:spacing w:line="560" w:lineRule="exact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（四）项目效益情况</w:t>
      </w:r>
    </w:p>
    <w:p w14:paraId="76094CAB">
      <w:pPr>
        <w:spacing w:line="560" w:lineRule="exact"/>
        <w:ind w:firstLine="640" w:firstLineChars="200"/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经济效益指标。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  <w:t>显著促进经济发展，</w:t>
      </w:r>
      <w:r>
        <w:rPr>
          <w:rFonts w:hint="eastAsia" w:ascii="CESI仿宋-GB2312" w:hAnsi="CESI仿宋-GB2312" w:eastAsia="CESI仿宋-GB2312" w:cs="CESI仿宋-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促进林区森林资源保护，保障经济快速健康发展。</w:t>
      </w:r>
    </w:p>
    <w:p w14:paraId="6377AE50">
      <w:pPr>
        <w:spacing w:line="560" w:lineRule="exact"/>
        <w:ind w:firstLine="640" w:firstLineChars="200"/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社会效益指标。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  <w:t>显著提高林地生产力，</w:t>
      </w:r>
      <w:r>
        <w:rPr>
          <w:rFonts w:hint="eastAsia" w:ascii="CESI仿宋-GB2312" w:hAnsi="CESI仿宋-GB2312" w:eastAsia="CESI仿宋-GB2312" w:cs="CESI仿宋-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保护森林资源，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  <w:t>增加社会务工量，提高林长制群众知晓度。</w:t>
      </w:r>
    </w:p>
    <w:p w14:paraId="39AE78D2">
      <w:pPr>
        <w:spacing w:line="560" w:lineRule="exact"/>
        <w:ind w:firstLine="640" w:firstLineChars="200"/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生态效益指标。</w:t>
      </w:r>
      <w:r>
        <w:rPr>
          <w:rFonts w:hint="eastAsia" w:ascii="CESI仿宋-GB2312" w:hAnsi="CESI仿宋-GB2312" w:eastAsia="CESI仿宋-GB2312" w:cs="CESI仿宋-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确保森林安全，保持生态平衡；提高了林分质量，改善了生态环境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  <w:t>。</w:t>
      </w:r>
    </w:p>
    <w:p w14:paraId="5069223C">
      <w:pPr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3DBC2AEA">
      <w:pPr>
        <w:pStyle w:val="5"/>
        <w:widowControl w:val="0"/>
        <w:spacing w:before="0" w:beforeAutospacing="0" w:after="0" w:afterAutospacing="0" w:line="52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五、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主要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经验及做法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存在的问题及原因分析</w:t>
      </w:r>
    </w:p>
    <w:p w14:paraId="43665BB1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无。</w:t>
      </w:r>
    </w:p>
    <w:p w14:paraId="1400695A"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六、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有关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建议</w:t>
      </w:r>
    </w:p>
    <w:p w14:paraId="4B67FF9F">
      <w:pPr>
        <w:ind w:firstLine="48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无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 w14:paraId="77D721D8">
      <w:pPr>
        <w:ind w:firstLine="48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七</w:t>
      </w:r>
      <w:r>
        <w:rPr>
          <w:rFonts w:hint="eastAsia" w:eastAsia="仿宋_GB2312"/>
          <w:b/>
          <w:sz w:val="28"/>
          <w:szCs w:val="28"/>
        </w:rPr>
        <w:t>、</w:t>
      </w:r>
      <w:r>
        <w:rPr>
          <w:rFonts w:eastAsia="仿宋_GB2312"/>
          <w:b/>
          <w:sz w:val="28"/>
          <w:szCs w:val="28"/>
        </w:rPr>
        <w:t xml:space="preserve">其他需要说明的问题  </w:t>
      </w:r>
    </w:p>
    <w:p w14:paraId="406A4074">
      <w:pPr>
        <w:ind w:firstLine="480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无。</w:t>
      </w:r>
      <w:r>
        <w:rPr>
          <w:rFonts w:eastAsia="仿宋_GB2312"/>
          <w:sz w:val="28"/>
          <w:szCs w:val="28"/>
        </w:rPr>
        <w:t xml:space="preserve">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  </w:t>
      </w:r>
    </w:p>
    <w:p w14:paraId="32B16447">
      <w:pPr>
        <w:ind w:firstLine="5600" w:firstLineChars="200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     </w:t>
      </w:r>
    </w:p>
    <w:p w14:paraId="13B8B928">
      <w:r>
        <w:rPr>
          <w:rFonts w:eastAsia="仿宋_GB2312"/>
          <w:kern w:val="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7E7EDF"/>
    <w:rsid w:val="0000507A"/>
    <w:rsid w:val="0001267C"/>
    <w:rsid w:val="00017BFC"/>
    <w:rsid w:val="000216D9"/>
    <w:rsid w:val="00042CDF"/>
    <w:rsid w:val="00057FEB"/>
    <w:rsid w:val="000E7A21"/>
    <w:rsid w:val="00161820"/>
    <w:rsid w:val="00174037"/>
    <w:rsid w:val="00181058"/>
    <w:rsid w:val="00185666"/>
    <w:rsid w:val="001A3E6D"/>
    <w:rsid w:val="001A7D3E"/>
    <w:rsid w:val="001F566E"/>
    <w:rsid w:val="0021164D"/>
    <w:rsid w:val="00250260"/>
    <w:rsid w:val="00284B96"/>
    <w:rsid w:val="002925A0"/>
    <w:rsid w:val="002D4DE7"/>
    <w:rsid w:val="002E6DE3"/>
    <w:rsid w:val="00341D3F"/>
    <w:rsid w:val="0035372A"/>
    <w:rsid w:val="003660CD"/>
    <w:rsid w:val="00374611"/>
    <w:rsid w:val="00395E73"/>
    <w:rsid w:val="003E4703"/>
    <w:rsid w:val="003F2152"/>
    <w:rsid w:val="003F2EC1"/>
    <w:rsid w:val="00406A67"/>
    <w:rsid w:val="004328BA"/>
    <w:rsid w:val="00475543"/>
    <w:rsid w:val="00494E17"/>
    <w:rsid w:val="004C43B3"/>
    <w:rsid w:val="00505EDC"/>
    <w:rsid w:val="00565F77"/>
    <w:rsid w:val="00575698"/>
    <w:rsid w:val="005935CC"/>
    <w:rsid w:val="005B288E"/>
    <w:rsid w:val="005D0D68"/>
    <w:rsid w:val="006109DE"/>
    <w:rsid w:val="006236CB"/>
    <w:rsid w:val="00690910"/>
    <w:rsid w:val="00690CDC"/>
    <w:rsid w:val="00693B1C"/>
    <w:rsid w:val="006B3ADE"/>
    <w:rsid w:val="006D7E98"/>
    <w:rsid w:val="006E0604"/>
    <w:rsid w:val="0070159D"/>
    <w:rsid w:val="00720EE4"/>
    <w:rsid w:val="00761A2D"/>
    <w:rsid w:val="00767AEF"/>
    <w:rsid w:val="00781718"/>
    <w:rsid w:val="007E7EDF"/>
    <w:rsid w:val="00803892"/>
    <w:rsid w:val="00821946"/>
    <w:rsid w:val="008542C9"/>
    <w:rsid w:val="00860711"/>
    <w:rsid w:val="0088620B"/>
    <w:rsid w:val="008A4548"/>
    <w:rsid w:val="008C6B90"/>
    <w:rsid w:val="008E13BC"/>
    <w:rsid w:val="008F1EE9"/>
    <w:rsid w:val="008F48F3"/>
    <w:rsid w:val="0092352C"/>
    <w:rsid w:val="00942460"/>
    <w:rsid w:val="00982EEB"/>
    <w:rsid w:val="00985172"/>
    <w:rsid w:val="009B6328"/>
    <w:rsid w:val="009C1B2D"/>
    <w:rsid w:val="009F6F7B"/>
    <w:rsid w:val="00A031A6"/>
    <w:rsid w:val="00A43D5F"/>
    <w:rsid w:val="00AD3647"/>
    <w:rsid w:val="00B838F7"/>
    <w:rsid w:val="00B974C5"/>
    <w:rsid w:val="00BA48BC"/>
    <w:rsid w:val="00BC6561"/>
    <w:rsid w:val="00C100E6"/>
    <w:rsid w:val="00C30342"/>
    <w:rsid w:val="00C4695A"/>
    <w:rsid w:val="00D11B8D"/>
    <w:rsid w:val="00DD2455"/>
    <w:rsid w:val="00E65049"/>
    <w:rsid w:val="00E74ACD"/>
    <w:rsid w:val="00E94DB0"/>
    <w:rsid w:val="00EB67BB"/>
    <w:rsid w:val="00EE321E"/>
    <w:rsid w:val="00EF1BE7"/>
    <w:rsid w:val="00F14DE1"/>
    <w:rsid w:val="00F20672"/>
    <w:rsid w:val="00F27904"/>
    <w:rsid w:val="00FA57C5"/>
    <w:rsid w:val="00FC2AA9"/>
    <w:rsid w:val="00FC3BC8"/>
    <w:rsid w:val="00FD1D0F"/>
    <w:rsid w:val="00FD700F"/>
    <w:rsid w:val="00FE1238"/>
    <w:rsid w:val="31B056AB"/>
    <w:rsid w:val="712A1CD1"/>
    <w:rsid w:val="78D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DDAE52-7873-4691-943B-5148F47F15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1650</Words>
  <Characters>1718</Characters>
  <Lines>12</Lines>
  <Paragraphs>3</Paragraphs>
  <TotalTime>23</TotalTime>
  <ScaleCrop>false</ScaleCrop>
  <LinksUpToDate>false</LinksUpToDate>
  <CharactersWithSpaces>1791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子落</cp:lastModifiedBy>
  <cp:lastPrinted>2025-03-14T07:23:53Z</cp:lastPrinted>
  <dcterms:modified xsi:type="dcterms:W3CDTF">2025-03-14T07:23:57Z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A3C716660FB548F6A5E456462FE75F29_12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