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 w:val="0"/>
        <w:spacing w:before="0" w:beforeAutospacing="0" w:after="0" w:afterAutospacing="0" w:line="800" w:lineRule="exact"/>
        <w:jc w:val="center"/>
        <w:rPr>
          <w:rStyle w:val="9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</w:pPr>
      <w:r>
        <w:rPr>
          <w:rStyle w:val="9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20</w:t>
      </w:r>
      <w:r>
        <w:rPr>
          <w:rStyle w:val="9"/>
          <w:rFonts w:hint="eastAsia"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2</w:t>
      </w:r>
      <w:r>
        <w:rPr>
          <w:rStyle w:val="9"/>
          <w:rFonts w:hint="eastAsia" w:ascii="Times New Roman" w:hAnsi="Times New Roman" w:eastAsia="方正粗宋简体" w:cs="Times New Roman"/>
          <w:b w:val="0"/>
          <w:bCs w:val="0"/>
          <w:spacing w:val="-20"/>
          <w:sz w:val="44"/>
          <w:szCs w:val="44"/>
          <w:lang w:val="en-US" w:eastAsia="zh-CN"/>
        </w:rPr>
        <w:t>3</w:t>
      </w:r>
      <w:r>
        <w:rPr>
          <w:rStyle w:val="9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年度</w:t>
      </w:r>
      <w:r>
        <w:rPr>
          <w:rStyle w:val="9"/>
          <w:rFonts w:hint="eastAsia"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林业局</w:t>
      </w:r>
      <w:r>
        <w:rPr>
          <w:rStyle w:val="9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整体支出绩效自评报告</w:t>
      </w:r>
    </w:p>
    <w:p>
      <w:pPr>
        <w:spacing w:before="240" w:line="560" w:lineRule="exact"/>
        <w:ind w:firstLine="420" w:firstLineChars="200"/>
        <w:jc w:val="left"/>
        <w:rPr>
          <w:kern w:val="0"/>
        </w:rPr>
      </w:pPr>
      <w:r>
        <w:t xml:space="preserve">   </w:t>
      </w:r>
      <w:r>
        <w:rPr>
          <w:rFonts w:eastAsia="仿宋_GB2312"/>
          <w:kern w:val="0"/>
          <w:sz w:val="32"/>
          <w:szCs w:val="32"/>
        </w:rPr>
        <w:t>一、部门（单位）基本概况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新晃县林业局是县政府主管全县林业工作的职能部门，负责全县林业发展和森林资源培育保护，行使林业行政执法职能。</w:t>
      </w:r>
      <w:r>
        <w:rPr>
          <w:rFonts w:hint="eastAsia" w:ascii="仿宋_GB2312" w:hAnsi="宋体" w:eastAsia="仿宋_GB2312"/>
          <w:sz w:val="32"/>
          <w:szCs w:val="32"/>
        </w:rPr>
        <w:t>林业局内设机构包括：办公室、营林科技站、资源林政站、林业要素市场管理中心、生态公益林管理办公室、黄家垅森林公园、山林纠纷调处办公室及一个二级机构林业执法大队。截止202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年12月31日止系统共有人员16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人，其中在职人员9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人，退休人员7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人。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</w:t>
      </w:r>
      <w:r>
        <w:rPr>
          <w:rFonts w:eastAsia="仿宋_GB2312"/>
          <w:kern w:val="0"/>
          <w:sz w:val="32"/>
          <w:szCs w:val="32"/>
        </w:rPr>
        <w:t>年度</w:t>
      </w:r>
      <w:r>
        <w:rPr>
          <w:rFonts w:hint="eastAsia" w:eastAsia="仿宋_GB2312"/>
          <w:kern w:val="0"/>
          <w:sz w:val="32"/>
          <w:szCs w:val="32"/>
        </w:rPr>
        <w:t>我局</w:t>
      </w:r>
      <w:r>
        <w:rPr>
          <w:rFonts w:eastAsia="仿宋_GB2312"/>
          <w:kern w:val="0"/>
          <w:sz w:val="32"/>
          <w:szCs w:val="32"/>
        </w:rPr>
        <w:t>财政收</w:t>
      </w:r>
      <w:r>
        <w:rPr>
          <w:rFonts w:hint="eastAsia" w:eastAsia="仿宋_GB2312"/>
          <w:kern w:val="0"/>
          <w:sz w:val="32"/>
          <w:szCs w:val="32"/>
        </w:rPr>
        <w:t>入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6442.3</w:t>
      </w:r>
      <w:r>
        <w:rPr>
          <w:rFonts w:hint="eastAsia" w:eastAsia="仿宋_GB2312"/>
          <w:kern w:val="0"/>
          <w:sz w:val="32"/>
          <w:szCs w:val="32"/>
        </w:rPr>
        <w:t>万元，全部为财政拨款收入，全年</w:t>
      </w:r>
      <w:r>
        <w:rPr>
          <w:rFonts w:eastAsia="仿宋_GB2312"/>
          <w:kern w:val="0"/>
          <w:sz w:val="32"/>
          <w:szCs w:val="32"/>
        </w:rPr>
        <w:t>支</w:t>
      </w:r>
      <w:r>
        <w:rPr>
          <w:rFonts w:hint="eastAsia" w:eastAsia="仿宋_GB2312"/>
          <w:kern w:val="0"/>
          <w:sz w:val="32"/>
          <w:szCs w:val="32"/>
        </w:rPr>
        <w:t>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6442.3</w:t>
      </w:r>
      <w:r>
        <w:rPr>
          <w:rFonts w:hint="eastAsia" w:eastAsia="仿宋_GB2312"/>
          <w:kern w:val="0"/>
          <w:sz w:val="32"/>
          <w:szCs w:val="32"/>
        </w:rPr>
        <w:t>万元。</w:t>
      </w:r>
      <w:r>
        <w:rPr>
          <w:rFonts w:eastAsia="仿宋_GB2312"/>
          <w:kern w:val="0"/>
          <w:sz w:val="32"/>
          <w:szCs w:val="32"/>
        </w:rPr>
        <w:t>年末固定资产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516.3</w:t>
      </w:r>
      <w:r>
        <w:rPr>
          <w:rFonts w:hint="eastAsia" w:eastAsia="仿宋_GB2312"/>
          <w:kern w:val="0"/>
          <w:sz w:val="32"/>
          <w:szCs w:val="32"/>
        </w:rPr>
        <w:t>万元，其中房物及构筑物340.11万元、设备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168.07</w:t>
      </w:r>
      <w:r>
        <w:rPr>
          <w:rFonts w:hint="eastAsia" w:eastAsia="仿宋_GB2312"/>
          <w:kern w:val="0"/>
          <w:sz w:val="32"/>
          <w:szCs w:val="32"/>
        </w:rPr>
        <w:t>万元、家具用具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8.12</w:t>
      </w:r>
      <w:r>
        <w:rPr>
          <w:rFonts w:hint="eastAsia" w:eastAsia="仿宋_GB2312"/>
          <w:kern w:val="0"/>
          <w:sz w:val="32"/>
          <w:szCs w:val="32"/>
        </w:rPr>
        <w:t>万元。单位共有车辆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eastAsia="仿宋_GB2312"/>
          <w:kern w:val="0"/>
          <w:sz w:val="32"/>
          <w:szCs w:val="32"/>
        </w:rPr>
        <w:t>台。</w:t>
      </w:r>
    </w:p>
    <w:p>
      <w:pPr>
        <w:spacing w:line="560" w:lineRule="exact"/>
        <w:ind w:firstLine="640" w:firstLineChars="200"/>
        <w:jc w:val="left"/>
        <w:rPr>
          <w:rFonts w:ascii="仿宋_GB2312" w:hAnsi="微软雅黑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我局始终认真执行县财政国库集中支付核算制度，严格执行国家有关财政法规、财经纪律，坚持政府采购制度，国库集中支付制度。依法依规依程序，做到公开公平公正。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二、部门（单位）整体支出绩效状况</w:t>
      </w:r>
    </w:p>
    <w:p>
      <w:pPr>
        <w:pStyle w:val="6"/>
        <w:shd w:val="clear" w:color="auto" w:fill="FFFFFF"/>
        <w:spacing w:before="0" w:beforeAutospacing="0" w:after="0" w:afterAutospacing="0" w:line="480" w:lineRule="auto"/>
        <w:ind w:firstLine="640" w:firstLineChars="200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年年初批复我单位预算收入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4965.35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 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年决算收入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6442.3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万元，全部为财政拨款。202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年决算总支出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6442.3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万元，其中基本支出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2938.81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万元：1、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人员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1861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万元；2、日常公用经费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1077.81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万元。“三公经费”支出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9.28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万元：公务用车运行费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4.38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万元，公务接待费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4.9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</w:t>
      </w:r>
      <w:bookmarkStart w:id="0" w:name="_GoBack"/>
      <w:bookmarkEnd w:id="0"/>
      <w:r>
        <w:rPr>
          <w:rFonts w:hint="eastAsia" w:ascii="仿宋_GB2312" w:hAnsi="微软雅黑" w:eastAsia="仿宋_GB2312"/>
          <w:color w:val="333333"/>
          <w:sz w:val="32"/>
          <w:szCs w:val="32"/>
        </w:rPr>
        <w:t>元，全年无因公出国(境)费用。项目支出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3503.49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万元，主要用于退耕还林、造林绿化、长江防护林工程等项目。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eastAsia="仿宋_GB2312" w:cs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cs="仿宋_GB2312" w:hAnsiTheme="minorEastAsia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 w:hAnsiTheme="minorEastAsia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 w:hAnsiTheme="minorEastAsia"/>
          <w:kern w:val="0"/>
          <w:sz w:val="32"/>
          <w:szCs w:val="32"/>
        </w:rPr>
        <w:t>年我局整体绩效目标：履行生态建设、林政资源管理、森林防火、林业产业、病虫害防治、野生动植物保护、林场管理、林业改革、林木采伐管理、生态公益林管理、林业执法。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color w:val="000000"/>
          <w:sz w:val="32"/>
          <w:szCs w:val="32"/>
          <w:lang w:val="en-US" w:eastAsia="zh-CN"/>
        </w:rPr>
        <w:t>2023年是全面贯彻落实党的二十大精神开局之年，是实施“十四五”规划承上启下的关键之年。一年来，我局在县委、县政府的正确领导下，在上级林业主管部门的大力支持下，紧紧围绕县委、县政府中心工作，坚持以习近平生态文明思想为指导，坚持“绿水青山就是金山银山”生态发展理念，以推深做实林长制真抓实干为抓手，突出国家森林城市创建及平安林区建设，统筹保护和发展，守安全显特色，各项工作取得显著成果，实现了我县林业高质量发展。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三、存在的问题及原因</w:t>
      </w:r>
    </w:p>
    <w:p>
      <w:pPr>
        <w:spacing w:line="560" w:lineRule="exact"/>
        <w:ind w:firstLine="640" w:firstLineChars="200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从财政批复我局部门预算看，部门预算基本围绕保人员经费、公用经费包干进行。从实际工资运行和决算情况看，除基本支出外，单位每年要负担一些财政无预算的刚性支出，资金缺口大，单位只能靠挤占基本支出和项目经费，单位运转困难。同时，也造成单位难以按照部门预算使用资金</w:t>
      </w:r>
    </w:p>
    <w:p>
      <w:pPr>
        <w:spacing w:line="560" w:lineRule="exact"/>
        <w:ind w:firstLine="643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四</w:t>
      </w:r>
      <w:r>
        <w:rPr>
          <w:rFonts w:eastAsia="仿宋_GB2312"/>
          <w:kern w:val="0"/>
          <w:sz w:val="32"/>
          <w:szCs w:val="32"/>
        </w:rPr>
        <w:t>、提高财政资金绩效的措施与建议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1.科学合理编制预算，严格执行预算 。加强预算编制的前瞻性，按政策规定及本部门的发展规划，结合上一年度预算执行情况和本年度预算收支变化因素，科学、合理编制本年预算草案，避免项目支出与基本支出划分不准或预 算支出与实际执行出现偏差，加强预算支出的审核、跟踪及预算执行情况分析，提高预算编制严谨性和可控性。　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2.规范账务处理，提高财务信息质量 。严格按照《会计法》、《行政单位会计制度》、《行政单位财务规则》等规定执行财务核算，并结合实际情况，完整、准确地披露相关信息，做到决算与预算相衔接。</w:t>
      </w:r>
    </w:p>
    <w:p>
      <w:pPr>
        <w:widowControl/>
        <w:shd w:val="clear" w:color="auto" w:fill="FFFFFF"/>
        <w:spacing w:line="600" w:lineRule="exact"/>
        <w:ind w:firstLine="640" w:firstLineChars="200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五、附件（佐证依据）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部门认为需要作为评价报告附件的有关文件、资料等，以进一步解释和证明报告所反映的相关内容。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    部门（签章）</w:t>
      </w:r>
      <w:r>
        <w:rPr>
          <w:rFonts w:hint="eastAsia" w:eastAsia="仿宋_GB2312"/>
          <w:kern w:val="0"/>
          <w:sz w:val="32"/>
          <w:szCs w:val="32"/>
        </w:rPr>
        <w:t>新晃县林业局</w:t>
      </w:r>
    </w:p>
    <w:p>
      <w:r>
        <w:rPr>
          <w:rFonts w:eastAsia="仿宋_GB2312"/>
          <w:kern w:val="0"/>
          <w:sz w:val="32"/>
          <w:szCs w:val="32"/>
        </w:rPr>
        <w:t xml:space="preserve">                                </w:t>
      </w:r>
      <w:r>
        <w:rPr>
          <w:rFonts w:hint="eastAsia"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8</w:t>
      </w:r>
      <w:r>
        <w:rPr>
          <w:rFonts w:eastAsia="仿宋_GB2312"/>
          <w:kern w:val="0"/>
          <w:sz w:val="32"/>
          <w:szCs w:val="32"/>
        </w:rPr>
        <w:t>日</w:t>
      </w:r>
      <w:r>
        <w:rPr>
          <w:kern w:val="0"/>
          <w:sz w:val="24"/>
        </w:rPr>
        <w:br w:type="page"/>
      </w: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F65BFE"/>
    <w:rsid w:val="00042EA7"/>
    <w:rsid w:val="000D27A6"/>
    <w:rsid w:val="00120B30"/>
    <w:rsid w:val="00132B23"/>
    <w:rsid w:val="001C3C2F"/>
    <w:rsid w:val="0021164D"/>
    <w:rsid w:val="00224E12"/>
    <w:rsid w:val="002C5EC6"/>
    <w:rsid w:val="002F160D"/>
    <w:rsid w:val="00385AB4"/>
    <w:rsid w:val="003E4718"/>
    <w:rsid w:val="004076CD"/>
    <w:rsid w:val="00413D09"/>
    <w:rsid w:val="004425AE"/>
    <w:rsid w:val="004448DC"/>
    <w:rsid w:val="004E17ED"/>
    <w:rsid w:val="004F2410"/>
    <w:rsid w:val="00553F27"/>
    <w:rsid w:val="00631FF6"/>
    <w:rsid w:val="006447D4"/>
    <w:rsid w:val="00644C17"/>
    <w:rsid w:val="00671DDE"/>
    <w:rsid w:val="00672ACE"/>
    <w:rsid w:val="006B133E"/>
    <w:rsid w:val="006B2B2F"/>
    <w:rsid w:val="00723FE2"/>
    <w:rsid w:val="00767363"/>
    <w:rsid w:val="0076799D"/>
    <w:rsid w:val="0082775D"/>
    <w:rsid w:val="008335E8"/>
    <w:rsid w:val="0085046F"/>
    <w:rsid w:val="00894B8E"/>
    <w:rsid w:val="00941886"/>
    <w:rsid w:val="009A4011"/>
    <w:rsid w:val="009A667C"/>
    <w:rsid w:val="009B397F"/>
    <w:rsid w:val="00A111C4"/>
    <w:rsid w:val="00A4347A"/>
    <w:rsid w:val="00A50A68"/>
    <w:rsid w:val="00A55045"/>
    <w:rsid w:val="00A812BA"/>
    <w:rsid w:val="00AC6132"/>
    <w:rsid w:val="00B546B7"/>
    <w:rsid w:val="00B729F6"/>
    <w:rsid w:val="00BE1E61"/>
    <w:rsid w:val="00C52B64"/>
    <w:rsid w:val="00C63A01"/>
    <w:rsid w:val="00CC6395"/>
    <w:rsid w:val="00D10127"/>
    <w:rsid w:val="00D265D1"/>
    <w:rsid w:val="00DC68F3"/>
    <w:rsid w:val="00DD7D43"/>
    <w:rsid w:val="00E8428F"/>
    <w:rsid w:val="00E97AEB"/>
    <w:rsid w:val="00ED39CD"/>
    <w:rsid w:val="00ED66D1"/>
    <w:rsid w:val="00F65BFE"/>
    <w:rsid w:val="00F7565D"/>
    <w:rsid w:val="00FA7F0A"/>
    <w:rsid w:val="651C3EDF"/>
    <w:rsid w:val="6B7C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行距: 固定值 28.9 磅"/>
    <w:basedOn w:val="1"/>
    <w:autoRedefine/>
    <w:qFormat/>
    <w:uiPriority w:val="99"/>
    <w:rPr>
      <w:rFonts w:hint="eastAsia"/>
      <w:sz w:val="32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autoRedefine/>
    <w:qFormat/>
    <w:uiPriority w:val="0"/>
    <w:rPr>
      <w:b/>
      <w:bCs/>
    </w:rPr>
  </w:style>
  <w:style w:type="character" w:customStyle="1" w:styleId="10">
    <w:name w:val="页眉 Char"/>
    <w:basedOn w:val="8"/>
    <w:link w:val="5"/>
    <w:autoRedefine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autoRedefine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218</Words>
  <Characters>1245</Characters>
  <Lines>10</Lines>
  <Paragraphs>2</Paragraphs>
  <TotalTime>2</TotalTime>
  <ScaleCrop>false</ScaleCrop>
  <LinksUpToDate>false</LinksUpToDate>
  <CharactersWithSpaces>1461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2020-09-15T07:32:00Z</dcterms:created>
  <dc:creator>Administrator</dc:creator>
  <cp:lastModifiedBy>子落</cp:lastModifiedBy>
  <cp:lastPrinted>2024-04-07T06:30:18Z</cp:lastPrinted>
  <dcterms:modified xsi:type="dcterms:W3CDTF">2024-04-07T06:30:25Z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8CC0427A2C9345838A19FFD898EC00AC_12</vt:lpwstr>
  </property>
</Properties>
</file>