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before="0" w:beforeAutospacing="0" w:after="0" w:afterAutospacing="0" w:line="315" w:lineRule="atLeast"/>
        <w:ind w:firstLine="420"/>
        <w:jc w:val="center"/>
        <w:rPr>
          <w:rFonts w:asciiTheme="majorEastAsia" w:hAnsiTheme="majorEastAsia" w:eastAsiaTheme="majorEastAsia"/>
          <w:b/>
          <w:color w:val="494949"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color w:val="494949"/>
          <w:sz w:val="44"/>
          <w:szCs w:val="44"/>
        </w:rPr>
        <w:t>202</w:t>
      </w:r>
      <w:r>
        <w:rPr>
          <w:rFonts w:hint="eastAsia" w:asciiTheme="majorEastAsia" w:hAnsiTheme="majorEastAsia" w:eastAsiaTheme="majorEastAsia"/>
          <w:b/>
          <w:color w:val="494949"/>
          <w:sz w:val="44"/>
          <w:szCs w:val="44"/>
          <w:lang w:val="en-US" w:eastAsia="zh-CN"/>
        </w:rPr>
        <w:t>3</w:t>
      </w:r>
      <w:r>
        <w:rPr>
          <w:rFonts w:hint="eastAsia" w:asciiTheme="majorEastAsia" w:hAnsiTheme="majorEastAsia" w:eastAsiaTheme="majorEastAsia"/>
          <w:b/>
          <w:color w:val="494949"/>
          <w:sz w:val="44"/>
          <w:szCs w:val="44"/>
        </w:rPr>
        <w:t>年度新晃县项目支出绩效自评报告</w:t>
      </w:r>
    </w:p>
    <w:p>
      <w:pPr>
        <w:pStyle w:val="4"/>
        <w:shd w:val="clear" w:color="auto" w:fill="FFFFFF"/>
        <w:spacing w:before="0" w:beforeAutospacing="0" w:after="0" w:afterAutospacing="0" w:line="315" w:lineRule="atLeast"/>
        <w:ind w:firstLine="420"/>
        <w:jc w:val="center"/>
        <w:rPr>
          <w:rFonts w:asciiTheme="majorEastAsia" w:hAnsiTheme="majorEastAsia" w:eastAsiaTheme="majorEastAsia"/>
          <w:b/>
          <w:color w:val="494949"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color w:val="494949"/>
          <w:sz w:val="44"/>
          <w:szCs w:val="44"/>
        </w:rPr>
        <w:t>（生态公益林）</w:t>
      </w:r>
    </w:p>
    <w:p>
      <w:pPr>
        <w:pStyle w:val="4"/>
        <w:shd w:val="clear" w:color="auto" w:fill="FFFFFF"/>
        <w:spacing w:before="0" w:beforeAutospacing="0" w:after="0" w:afterAutospacing="0" w:line="315" w:lineRule="atLeast"/>
        <w:ind w:firstLine="420"/>
        <w:rPr>
          <w:rFonts w:ascii="楷体_GB2312" w:hAnsi="微软雅黑" w:eastAsia="楷体_GB2312"/>
          <w:b/>
          <w:color w:val="494949"/>
          <w:sz w:val="32"/>
          <w:szCs w:val="32"/>
        </w:rPr>
      </w:pPr>
      <w:r>
        <w:rPr>
          <w:rFonts w:hint="eastAsia" w:ascii="楷体_GB2312" w:hAnsi="微软雅黑" w:eastAsia="楷体_GB2312"/>
          <w:b/>
          <w:color w:val="494949"/>
          <w:sz w:val="32"/>
          <w:szCs w:val="32"/>
        </w:rPr>
        <w:t>一、基本情况</w:t>
      </w:r>
    </w:p>
    <w:p>
      <w:pPr>
        <w:pStyle w:val="4"/>
        <w:shd w:val="clear" w:color="auto" w:fill="FFFFFF"/>
        <w:spacing w:before="0" w:beforeAutospacing="0" w:after="0" w:afterAutospacing="0" w:line="315" w:lineRule="atLeast"/>
        <w:ind w:firstLine="420"/>
        <w:rPr>
          <w:rFonts w:ascii="仿宋_GB2312" w:hAnsi="微软雅黑" w:eastAsia="仿宋_GB2312"/>
          <w:color w:val="494949"/>
          <w:sz w:val="32"/>
          <w:szCs w:val="32"/>
        </w:rPr>
      </w:pPr>
      <w:r>
        <w:rPr>
          <w:rFonts w:hint="eastAsia" w:ascii="仿宋_GB2312" w:hAnsi="微软雅黑" w:eastAsia="仿宋_GB2312"/>
          <w:color w:val="494949"/>
          <w:sz w:val="32"/>
          <w:szCs w:val="32"/>
        </w:rPr>
        <w:t>（一）项目概况。</w:t>
      </w:r>
    </w:p>
    <w:p>
      <w:pPr>
        <w:spacing w:line="600" w:lineRule="exact"/>
        <w:ind w:firstLine="640" w:firstLineChars="200"/>
        <w:rPr>
          <w:rFonts w:ascii="仿宋_GB2312" w:hAnsi="仿宋" w:eastAsia="仿宋_GB2312" w:cs="方正仿宋_GBK"/>
          <w:sz w:val="28"/>
          <w:szCs w:val="28"/>
        </w:rPr>
      </w:pPr>
      <w:r>
        <w:rPr>
          <w:rFonts w:hint="eastAsia" w:ascii="仿宋_GB2312" w:hAnsi="微软雅黑" w:eastAsia="仿宋_GB2312"/>
          <w:color w:val="494949"/>
          <w:sz w:val="32"/>
          <w:szCs w:val="32"/>
        </w:rPr>
        <w:t>根据</w:t>
      </w:r>
      <w:r>
        <w:rPr>
          <w:rFonts w:hint="eastAsia" w:ascii="仿宋_GB2312" w:hAnsi="微软雅黑" w:eastAsia="仿宋_GB2312"/>
          <w:sz w:val="32"/>
          <w:szCs w:val="32"/>
        </w:rPr>
        <w:t>《关于202</w:t>
      </w:r>
      <w:r>
        <w:rPr>
          <w:rFonts w:hint="eastAsia" w:ascii="仿宋_GB2312" w:hAnsi="微软雅黑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微软雅黑" w:eastAsia="仿宋_GB2312"/>
          <w:sz w:val="32"/>
          <w:szCs w:val="32"/>
        </w:rPr>
        <w:t>年森林资源管护补助资金有关事项的预通知》完</w:t>
      </w:r>
      <w:r>
        <w:rPr>
          <w:rFonts w:hint="eastAsia" w:ascii="仿宋_GB2312" w:hAnsi="微软雅黑" w:eastAsia="仿宋_GB2312"/>
          <w:color w:val="494949"/>
          <w:sz w:val="32"/>
          <w:szCs w:val="32"/>
        </w:rPr>
        <w:t>成辖区内公益林停伐范围管护，护林员管理及培训，提升森林管护能力及水平，持续提升森林生态功能，将全部补助资金用于管护补助支出。202</w:t>
      </w:r>
      <w:r>
        <w:rPr>
          <w:rFonts w:hint="eastAsia" w:ascii="仿宋_GB2312" w:hAnsi="微软雅黑" w:eastAsia="仿宋_GB2312"/>
          <w:color w:val="494949"/>
          <w:sz w:val="32"/>
          <w:szCs w:val="32"/>
          <w:lang w:val="en-US" w:eastAsia="zh-CN"/>
        </w:rPr>
        <w:t>3</w:t>
      </w:r>
      <w:r>
        <w:rPr>
          <w:rFonts w:hint="eastAsia" w:ascii="仿宋_GB2312" w:hAnsi="微软雅黑" w:eastAsia="仿宋_GB2312"/>
          <w:color w:val="494949"/>
          <w:sz w:val="32"/>
          <w:szCs w:val="32"/>
        </w:rPr>
        <w:t>年计划投入资金</w:t>
      </w:r>
      <w:r>
        <w:rPr>
          <w:rFonts w:hint="eastAsia" w:ascii="仿宋_GB2312" w:hAnsi="微软雅黑" w:eastAsia="仿宋_GB2312"/>
          <w:color w:val="FF0000"/>
          <w:sz w:val="32"/>
          <w:szCs w:val="32"/>
          <w:lang w:val="en-US" w:eastAsia="zh-CN"/>
        </w:rPr>
        <w:t>691.28</w:t>
      </w:r>
      <w:r>
        <w:rPr>
          <w:rFonts w:hint="eastAsia" w:ascii="仿宋_GB2312" w:hAnsi="微软雅黑" w:eastAsia="仿宋_GB2312"/>
          <w:color w:val="494949"/>
          <w:sz w:val="32"/>
          <w:szCs w:val="32"/>
        </w:rPr>
        <w:t>万元，实际收到资金</w:t>
      </w:r>
      <w:r>
        <w:rPr>
          <w:rFonts w:hint="eastAsia" w:ascii="仿宋_GB2312" w:hAnsi="微软雅黑" w:eastAsia="仿宋_GB2312"/>
          <w:color w:val="494949"/>
          <w:sz w:val="32"/>
          <w:szCs w:val="32"/>
          <w:lang w:val="en-US" w:eastAsia="zh-CN"/>
        </w:rPr>
        <w:t>691.28</w:t>
      </w:r>
      <w:r>
        <w:rPr>
          <w:rFonts w:hint="eastAsia" w:ascii="仿宋_GB2312" w:hAnsi="微软雅黑" w:eastAsia="仿宋_GB2312"/>
          <w:color w:val="494949"/>
          <w:sz w:val="32"/>
          <w:szCs w:val="32"/>
        </w:rPr>
        <w:t>万元，</w:t>
      </w:r>
      <w:r>
        <w:rPr>
          <w:rFonts w:hint="eastAsia" w:eastAsia="仿宋_GB2312"/>
          <w:sz w:val="28"/>
          <w:szCs w:val="28"/>
        </w:rPr>
        <w:t>使用</w:t>
      </w:r>
      <w:r>
        <w:rPr>
          <w:rFonts w:hint="eastAsia" w:eastAsia="仿宋_GB2312"/>
          <w:sz w:val="28"/>
          <w:szCs w:val="28"/>
          <w:lang w:val="en-US" w:eastAsia="zh-CN"/>
        </w:rPr>
        <w:t>691.28</w:t>
      </w:r>
      <w:r>
        <w:rPr>
          <w:rFonts w:hint="eastAsia" w:eastAsia="仿宋_GB2312"/>
          <w:sz w:val="28"/>
          <w:szCs w:val="28"/>
        </w:rPr>
        <w:t>万元。</w:t>
      </w:r>
    </w:p>
    <w:p>
      <w:pPr>
        <w:pStyle w:val="4"/>
        <w:shd w:val="clear" w:color="auto" w:fill="FFFFFF"/>
        <w:spacing w:before="0" w:beforeAutospacing="0" w:after="0" w:afterAutospacing="0" w:line="315" w:lineRule="atLeast"/>
        <w:ind w:firstLine="420"/>
        <w:rPr>
          <w:rFonts w:ascii="仿宋_GB2312" w:hAnsi="微软雅黑" w:eastAsia="仿宋_GB2312"/>
          <w:color w:val="494949"/>
          <w:sz w:val="32"/>
          <w:szCs w:val="32"/>
        </w:rPr>
      </w:pPr>
    </w:p>
    <w:p>
      <w:pPr>
        <w:pStyle w:val="4"/>
        <w:shd w:val="clear" w:color="auto" w:fill="FFFFFF"/>
        <w:spacing w:before="0" w:beforeAutospacing="0" w:after="0" w:afterAutospacing="0" w:line="315" w:lineRule="atLeast"/>
        <w:ind w:firstLine="420"/>
        <w:rPr>
          <w:rFonts w:ascii="仿宋_GB2312" w:hAnsi="微软雅黑" w:eastAsia="仿宋_GB2312"/>
          <w:color w:val="494949"/>
          <w:sz w:val="32"/>
          <w:szCs w:val="32"/>
        </w:rPr>
      </w:pPr>
      <w:r>
        <w:rPr>
          <w:rFonts w:hint="eastAsia" w:ascii="仿宋_GB2312" w:hAnsi="微软雅黑" w:eastAsia="仿宋_GB2312"/>
          <w:color w:val="494949"/>
          <w:sz w:val="32"/>
          <w:szCs w:val="32"/>
        </w:rPr>
        <w:t>（二）项目绩效目标。</w:t>
      </w:r>
    </w:p>
    <w:p>
      <w:pPr>
        <w:pStyle w:val="4"/>
        <w:shd w:val="clear" w:color="auto" w:fill="FFFFFF"/>
        <w:spacing w:before="0" w:beforeAutospacing="0" w:after="0" w:afterAutospacing="0" w:line="315" w:lineRule="atLeast"/>
        <w:ind w:firstLine="420"/>
        <w:rPr>
          <w:rFonts w:ascii="仿宋_GB2312" w:hAnsi="微软雅黑" w:eastAsia="仿宋_GB2312"/>
          <w:color w:val="494949"/>
          <w:sz w:val="32"/>
          <w:szCs w:val="32"/>
        </w:rPr>
      </w:pPr>
      <w:r>
        <w:rPr>
          <w:rFonts w:hint="eastAsia" w:ascii="仿宋_GB2312" w:hAnsi="微软雅黑" w:eastAsia="仿宋_GB2312"/>
          <w:color w:val="494949"/>
          <w:sz w:val="32"/>
          <w:szCs w:val="32"/>
        </w:rPr>
        <w:t>总体目标：完成辖区内公益林管护及补偿资金发放，护林员管理及培训，提升森林管护能力及水平，持续提升森林生态功能。</w:t>
      </w:r>
    </w:p>
    <w:p>
      <w:pPr>
        <w:pStyle w:val="4"/>
        <w:shd w:val="clear" w:color="auto" w:fill="FFFFFF"/>
        <w:spacing w:before="0" w:beforeAutospacing="0" w:after="0" w:afterAutospacing="0" w:line="315" w:lineRule="atLeast"/>
        <w:ind w:firstLine="420"/>
        <w:rPr>
          <w:rFonts w:ascii="楷体_GB2312" w:hAnsi="微软雅黑" w:eastAsia="楷体_GB2312"/>
          <w:b/>
          <w:color w:val="494949"/>
          <w:sz w:val="32"/>
          <w:szCs w:val="32"/>
        </w:rPr>
      </w:pPr>
      <w:r>
        <w:rPr>
          <w:rFonts w:hint="eastAsia" w:ascii="楷体_GB2312" w:hAnsi="微软雅黑" w:eastAsia="楷体_GB2312"/>
          <w:b/>
          <w:color w:val="494949"/>
          <w:sz w:val="32"/>
          <w:szCs w:val="32"/>
        </w:rPr>
        <w:t>二、绩效评价工作开展情况</w:t>
      </w:r>
    </w:p>
    <w:p>
      <w:pPr>
        <w:pStyle w:val="4"/>
        <w:shd w:val="clear" w:color="auto" w:fill="FFFFFF"/>
        <w:spacing w:before="0" w:beforeAutospacing="0" w:after="0" w:afterAutospacing="0" w:line="315" w:lineRule="atLeast"/>
        <w:ind w:firstLine="420"/>
        <w:rPr>
          <w:rFonts w:ascii="仿宋_GB2312" w:hAnsi="微软雅黑" w:eastAsia="仿宋_GB2312"/>
          <w:color w:val="494949"/>
          <w:sz w:val="32"/>
          <w:szCs w:val="32"/>
        </w:rPr>
      </w:pPr>
      <w:r>
        <w:rPr>
          <w:rFonts w:hint="eastAsia" w:ascii="仿宋_GB2312" w:hAnsi="微软雅黑" w:eastAsia="仿宋_GB2312"/>
          <w:color w:val="494949"/>
          <w:sz w:val="32"/>
          <w:szCs w:val="32"/>
        </w:rPr>
        <w:t>（一）绩效评价目的、对象和范围：促进护林工作正常开展。</w:t>
      </w:r>
    </w:p>
    <w:p>
      <w:pPr>
        <w:pStyle w:val="4"/>
        <w:shd w:val="clear" w:color="auto" w:fill="FFFFFF"/>
        <w:spacing w:before="0" w:beforeAutospacing="0" w:after="0" w:afterAutospacing="0" w:line="315" w:lineRule="atLeast"/>
        <w:ind w:firstLine="420"/>
        <w:rPr>
          <w:rFonts w:ascii="仿宋_GB2312" w:hAnsi="微软雅黑" w:eastAsia="仿宋_GB2312"/>
          <w:color w:val="494949"/>
          <w:sz w:val="32"/>
          <w:szCs w:val="32"/>
        </w:rPr>
      </w:pPr>
      <w:r>
        <w:rPr>
          <w:rFonts w:hint="eastAsia" w:ascii="仿宋_GB2312" w:hAnsi="微软雅黑" w:eastAsia="仿宋_GB2312"/>
          <w:color w:val="494949"/>
          <w:sz w:val="32"/>
          <w:szCs w:val="32"/>
        </w:rPr>
        <w:t>（二）绩效评价原则：坚持实事求是、公平、公开原则；评价标准：管护及补偿=399326亩；增加林农收入≥300元/年/户；涵养水源、保持水土、恢复森林生态系统功能=持续；公益林补偿区林农满意度≥95%。</w:t>
      </w:r>
    </w:p>
    <w:p>
      <w:pPr>
        <w:pStyle w:val="4"/>
        <w:shd w:val="clear" w:color="auto" w:fill="FFFFFF"/>
        <w:spacing w:before="0" w:beforeAutospacing="0" w:after="0" w:afterAutospacing="0" w:line="315" w:lineRule="atLeast"/>
        <w:ind w:firstLine="420"/>
        <w:rPr>
          <w:rFonts w:ascii="仿宋_GB2312" w:hAnsi="微软雅黑" w:eastAsia="仿宋_GB2312"/>
          <w:color w:val="494949"/>
          <w:sz w:val="32"/>
          <w:szCs w:val="32"/>
        </w:rPr>
      </w:pPr>
      <w:r>
        <w:rPr>
          <w:rFonts w:hint="eastAsia" w:ascii="仿宋_GB2312" w:hAnsi="微软雅黑" w:eastAsia="仿宋_GB2312"/>
          <w:color w:val="494949"/>
          <w:sz w:val="32"/>
          <w:szCs w:val="32"/>
        </w:rPr>
        <w:t>（三）绩效评价工作过程</w:t>
      </w:r>
    </w:p>
    <w:p>
      <w:pPr>
        <w:pStyle w:val="4"/>
        <w:shd w:val="clear" w:color="auto" w:fill="FFFFFF"/>
        <w:spacing w:before="0" w:beforeAutospacing="0" w:after="0" w:afterAutospacing="0" w:line="315" w:lineRule="atLeast"/>
        <w:ind w:firstLine="420"/>
        <w:rPr>
          <w:rFonts w:ascii="仿宋_GB2312" w:hAnsi="微软雅黑" w:eastAsia="仿宋_GB2312"/>
          <w:color w:val="494949"/>
          <w:sz w:val="32"/>
          <w:szCs w:val="32"/>
        </w:rPr>
      </w:pPr>
      <w:r>
        <w:rPr>
          <w:rFonts w:hint="eastAsia" w:ascii="仿宋_GB2312" w:hAnsi="微软雅黑" w:eastAsia="仿宋_GB2312"/>
          <w:color w:val="494949"/>
          <w:sz w:val="32"/>
          <w:szCs w:val="32"/>
        </w:rPr>
        <w:t>1.前期准备：村（社区）加强宣传，摸底排查符合建档立卡公益林护林员人员，在做好宣传发动工作的基础上，由本人申请、村“两委”推荐、村级确定初步推荐人选，乡人民政府考察，据实填写考察意见建议、带贫情况等，并在村组两级进行公示。</w:t>
      </w:r>
    </w:p>
    <w:p>
      <w:pPr>
        <w:pStyle w:val="4"/>
        <w:shd w:val="clear" w:color="auto" w:fill="FFFFFF"/>
        <w:spacing w:before="0" w:beforeAutospacing="0" w:after="0" w:afterAutospacing="0" w:line="315" w:lineRule="atLeast"/>
        <w:ind w:firstLine="420"/>
        <w:rPr>
          <w:rFonts w:ascii="仿宋_GB2312" w:hAnsi="微软雅黑" w:eastAsia="仿宋_GB2312"/>
          <w:color w:val="494949"/>
          <w:sz w:val="32"/>
          <w:szCs w:val="32"/>
        </w:rPr>
      </w:pPr>
      <w:r>
        <w:rPr>
          <w:rFonts w:hint="eastAsia" w:ascii="仿宋_GB2312" w:hAnsi="微软雅黑" w:eastAsia="仿宋_GB2312"/>
          <w:color w:val="494949"/>
          <w:sz w:val="32"/>
          <w:szCs w:val="32"/>
        </w:rPr>
        <w:t>2.村组公示无异后，由各乡镇人民政府根据各村上报的推荐人选进行实地调查，审核后将符合条件的人选汇总上报乡人民政府，到县林业局备案。</w:t>
      </w:r>
    </w:p>
    <w:p>
      <w:pPr>
        <w:pStyle w:val="4"/>
        <w:shd w:val="clear" w:color="auto" w:fill="FFFFFF"/>
        <w:spacing w:before="0" w:beforeAutospacing="0" w:after="0" w:afterAutospacing="0" w:line="315" w:lineRule="atLeast"/>
        <w:ind w:firstLine="420"/>
        <w:rPr>
          <w:rFonts w:ascii="楷体_GB2312" w:hAnsi="微软雅黑" w:eastAsia="楷体_GB2312"/>
          <w:b/>
          <w:color w:val="494949"/>
          <w:sz w:val="32"/>
          <w:szCs w:val="32"/>
        </w:rPr>
      </w:pPr>
      <w:r>
        <w:rPr>
          <w:rFonts w:hint="eastAsia" w:ascii="楷体_GB2312" w:hAnsi="微软雅黑" w:eastAsia="楷体_GB2312"/>
          <w:b/>
          <w:color w:val="494949"/>
          <w:sz w:val="32"/>
          <w:szCs w:val="32"/>
        </w:rPr>
        <w:t>三、综合评价情况及评价结论</w:t>
      </w:r>
    </w:p>
    <w:p>
      <w:pPr>
        <w:pStyle w:val="4"/>
        <w:shd w:val="clear" w:color="auto" w:fill="FFFFFF"/>
        <w:spacing w:before="0" w:beforeAutospacing="0" w:after="0" w:afterAutospacing="0" w:line="315" w:lineRule="atLeast"/>
        <w:ind w:firstLine="420"/>
        <w:rPr>
          <w:rFonts w:ascii="仿宋_GB2312" w:hAnsi="微软雅黑" w:eastAsia="仿宋_GB2312"/>
          <w:color w:val="494949"/>
          <w:sz w:val="32"/>
          <w:szCs w:val="32"/>
        </w:rPr>
      </w:pPr>
      <w:r>
        <w:rPr>
          <w:rFonts w:hint="eastAsia" w:ascii="仿宋_GB2312" w:hAnsi="微软雅黑" w:eastAsia="仿宋_GB2312"/>
          <w:color w:val="494949"/>
          <w:sz w:val="32"/>
          <w:szCs w:val="32"/>
        </w:rPr>
        <w:t>综合分析评价：通过公益护林员补助资金项目实施，完成辖区内国家级公益林管护，护林员管理及培训，提升森林管护能力及水平，持续提升森林生态功能。项目实施后，有效推进我县的林业发展，扎实推进脱贫户稳定持续增收。该项目的实施，是惠民政策的落实、是德政之举，评价结论100分，优秀等级。</w:t>
      </w:r>
    </w:p>
    <w:p>
      <w:pPr>
        <w:pStyle w:val="4"/>
        <w:shd w:val="clear" w:color="auto" w:fill="FFFFFF"/>
        <w:spacing w:before="0" w:beforeAutospacing="0" w:after="0" w:afterAutospacing="0" w:line="315" w:lineRule="atLeast"/>
        <w:ind w:firstLine="420"/>
        <w:rPr>
          <w:rFonts w:ascii="楷体_GB2312" w:hAnsi="微软雅黑" w:eastAsia="楷体_GB2312"/>
          <w:b/>
          <w:color w:val="494949"/>
          <w:sz w:val="32"/>
          <w:szCs w:val="32"/>
        </w:rPr>
      </w:pPr>
      <w:r>
        <w:rPr>
          <w:rFonts w:hint="eastAsia" w:ascii="楷体_GB2312" w:hAnsi="微软雅黑" w:eastAsia="楷体_GB2312"/>
          <w:b/>
          <w:color w:val="494949"/>
          <w:sz w:val="32"/>
          <w:szCs w:val="32"/>
        </w:rPr>
        <w:t>四、绩效评价指标分析</w:t>
      </w:r>
    </w:p>
    <w:p>
      <w:pPr>
        <w:pStyle w:val="4"/>
        <w:numPr>
          <w:ilvl w:val="0"/>
          <w:numId w:val="1"/>
        </w:numPr>
        <w:shd w:val="clear" w:color="auto" w:fill="FFFFFF"/>
        <w:spacing w:before="0" w:beforeAutospacing="0" w:after="0" w:afterAutospacing="0" w:line="315" w:lineRule="atLeast"/>
        <w:ind w:firstLine="420"/>
        <w:rPr>
          <w:rFonts w:ascii="仿宋_GB2312" w:hAnsi="微软雅黑" w:eastAsia="仿宋_GB2312"/>
          <w:color w:val="494949"/>
          <w:sz w:val="32"/>
          <w:szCs w:val="32"/>
        </w:rPr>
      </w:pPr>
      <w:r>
        <w:rPr>
          <w:rFonts w:hint="eastAsia" w:ascii="仿宋_GB2312" w:hAnsi="微软雅黑" w:eastAsia="仿宋_GB2312"/>
          <w:color w:val="494949"/>
          <w:sz w:val="32"/>
          <w:szCs w:val="32"/>
        </w:rPr>
        <w:t>项目决策情况</w:t>
      </w:r>
    </w:p>
    <w:p>
      <w:pPr>
        <w:pStyle w:val="4"/>
        <w:shd w:val="clear" w:color="auto" w:fill="FFFFFF"/>
        <w:spacing w:before="0" w:beforeAutospacing="0" w:after="0" w:afterAutospacing="0" w:line="315" w:lineRule="atLeast"/>
        <w:ind w:left="420" w:leftChars="200"/>
        <w:rPr>
          <w:rFonts w:ascii="仿宋_GB2312" w:hAnsi="微软雅黑" w:eastAsia="仿宋_GB2312"/>
          <w:color w:val="494949"/>
          <w:sz w:val="32"/>
          <w:szCs w:val="32"/>
        </w:rPr>
      </w:pPr>
      <w:r>
        <w:rPr>
          <w:rFonts w:hint="eastAsia" w:ascii="仿宋_GB2312" w:hAnsi="微软雅黑" w:eastAsia="仿宋_GB2312"/>
          <w:color w:val="494949"/>
          <w:sz w:val="32"/>
          <w:szCs w:val="32"/>
        </w:rPr>
        <w:t>中央财政森林生态效益补偿资金严格按照《 林业改革资金管理办法》的规定进行使用。</w:t>
      </w:r>
    </w:p>
    <w:p>
      <w:pPr>
        <w:pStyle w:val="4"/>
        <w:shd w:val="clear" w:color="auto" w:fill="FFFFFF"/>
        <w:spacing w:before="0" w:beforeAutospacing="0" w:after="0" w:afterAutospacing="0" w:line="315" w:lineRule="atLeast"/>
        <w:ind w:left="420" w:leftChars="200"/>
        <w:rPr>
          <w:rFonts w:ascii="仿宋_GB2312" w:hAnsi="微软雅黑" w:eastAsia="仿宋_GB2312"/>
          <w:color w:val="494949"/>
          <w:sz w:val="32"/>
          <w:szCs w:val="32"/>
        </w:rPr>
      </w:pPr>
      <w:r>
        <w:rPr>
          <w:rFonts w:hint="eastAsia" w:ascii="仿宋_GB2312" w:hAnsi="微软雅黑" w:eastAsia="仿宋_GB2312"/>
          <w:color w:val="494949"/>
          <w:sz w:val="32"/>
          <w:szCs w:val="32"/>
        </w:rPr>
        <w:t>（二）项目过程情况</w:t>
      </w:r>
    </w:p>
    <w:p>
      <w:pPr>
        <w:pStyle w:val="4"/>
        <w:shd w:val="clear" w:color="auto" w:fill="FFFFFF"/>
        <w:spacing w:before="0" w:beforeAutospacing="0" w:after="0" w:afterAutospacing="0" w:line="315" w:lineRule="atLeast"/>
        <w:ind w:firstLine="420"/>
        <w:rPr>
          <w:rFonts w:ascii="仿宋_GB2312" w:hAnsi="微软雅黑" w:eastAsia="仿宋_GB2312"/>
          <w:color w:val="494949"/>
          <w:sz w:val="32"/>
          <w:szCs w:val="32"/>
        </w:rPr>
      </w:pPr>
      <w:r>
        <w:rPr>
          <w:rFonts w:hint="eastAsia" w:ascii="仿宋_GB2312" w:hAnsi="微软雅黑" w:eastAsia="仿宋_GB2312"/>
          <w:color w:val="494949"/>
          <w:sz w:val="32"/>
          <w:szCs w:val="32"/>
        </w:rPr>
        <w:t>集体、个人国家级、省级补偿标准为15.5元/亩、国有国家级、省级补偿标准为</w:t>
      </w:r>
      <w:r>
        <w:rPr>
          <w:rFonts w:hint="eastAsia" w:ascii="仿宋_GB2312" w:hAnsi="微软雅黑" w:eastAsia="仿宋_GB2312"/>
          <w:color w:val="494949"/>
          <w:sz w:val="32"/>
          <w:szCs w:val="32"/>
          <w:lang w:val="en-US" w:eastAsia="zh-CN"/>
        </w:rPr>
        <w:t>14.75</w:t>
      </w:r>
      <w:r>
        <w:rPr>
          <w:rFonts w:hint="eastAsia" w:ascii="仿宋_GB2312" w:hAnsi="微软雅黑" w:eastAsia="仿宋_GB2312"/>
          <w:color w:val="494949"/>
          <w:sz w:val="32"/>
          <w:szCs w:val="32"/>
        </w:rPr>
        <w:t>元/亩。2、集体、单位、国有林场补偿资金由财政统一拨入单位帐户，个人补偿资金财政通过“一卡通”打入林农帐户。权属为集体所有未确权到户的林权所有者补偿费，资金使用方案由村民大会或者村民代表会议按“一事一议”决定。</w:t>
      </w:r>
    </w:p>
    <w:p>
      <w:pPr>
        <w:pStyle w:val="4"/>
        <w:shd w:val="clear" w:color="auto" w:fill="FFFFFF"/>
        <w:spacing w:before="0" w:beforeAutospacing="0" w:after="0" w:afterAutospacing="0" w:line="315" w:lineRule="atLeast"/>
        <w:ind w:firstLine="420"/>
        <w:rPr>
          <w:rFonts w:ascii="仿宋_GB2312" w:hAnsi="微软雅黑" w:eastAsia="仿宋_GB2312"/>
          <w:color w:val="494949"/>
          <w:sz w:val="32"/>
          <w:szCs w:val="32"/>
        </w:rPr>
      </w:pPr>
      <w:r>
        <w:rPr>
          <w:rFonts w:hint="eastAsia" w:ascii="仿宋_GB2312" w:hAnsi="微软雅黑" w:eastAsia="仿宋_GB2312"/>
          <w:color w:val="494949"/>
          <w:sz w:val="32"/>
          <w:szCs w:val="32"/>
        </w:rPr>
        <w:t>（三）项目产出情况</w:t>
      </w:r>
    </w:p>
    <w:p>
      <w:pPr>
        <w:pStyle w:val="4"/>
        <w:shd w:val="clear" w:color="auto" w:fill="FFFFFF"/>
        <w:spacing w:before="0" w:beforeAutospacing="0" w:after="0" w:afterAutospacing="0" w:line="315" w:lineRule="atLeast"/>
        <w:ind w:firstLine="420"/>
        <w:rPr>
          <w:rFonts w:ascii="仿宋_GB2312" w:hAnsi="微软雅黑" w:eastAsia="仿宋_GB2312"/>
          <w:color w:val="494949"/>
          <w:sz w:val="32"/>
          <w:szCs w:val="32"/>
        </w:rPr>
      </w:pPr>
      <w:r>
        <w:rPr>
          <w:rFonts w:hint="eastAsia" w:ascii="仿宋_GB2312" w:hAnsi="微软雅黑" w:eastAsia="仿宋_GB2312"/>
          <w:color w:val="494949"/>
          <w:sz w:val="32"/>
          <w:szCs w:val="32"/>
        </w:rPr>
        <w:t>1.产出指标完成情况：202</w:t>
      </w:r>
      <w:r>
        <w:rPr>
          <w:rFonts w:hint="eastAsia" w:ascii="仿宋_GB2312" w:hAnsi="微软雅黑" w:eastAsia="仿宋_GB2312"/>
          <w:color w:val="494949"/>
          <w:sz w:val="32"/>
          <w:szCs w:val="32"/>
          <w:lang w:val="en-US" w:eastAsia="zh-CN"/>
        </w:rPr>
        <w:t>3</w:t>
      </w:r>
      <w:r>
        <w:rPr>
          <w:rFonts w:hint="eastAsia" w:ascii="仿宋_GB2312" w:hAnsi="微软雅黑" w:eastAsia="仿宋_GB2312"/>
          <w:color w:val="494949"/>
          <w:sz w:val="32"/>
          <w:szCs w:val="32"/>
        </w:rPr>
        <w:t>年在县委、县政府的高度重视下，项目各成员单位的积极努力下，全县共完成完成生态效益补偿</w:t>
      </w:r>
      <w:r>
        <w:rPr>
          <w:rFonts w:hint="eastAsia" w:ascii="仿宋_GB2312" w:hAnsi="微软雅黑" w:eastAsia="仿宋_GB2312"/>
          <w:color w:val="FF0000"/>
          <w:sz w:val="32"/>
          <w:szCs w:val="32"/>
          <w:lang w:val="en-US" w:eastAsia="zh-CN"/>
        </w:rPr>
        <w:t>691.28</w:t>
      </w:r>
      <w:bookmarkStart w:id="0" w:name="_GoBack"/>
      <w:bookmarkEnd w:id="0"/>
      <w:r>
        <w:rPr>
          <w:rFonts w:hint="eastAsia" w:ascii="仿宋_GB2312" w:hAnsi="微软雅黑" w:eastAsia="仿宋_GB2312"/>
          <w:color w:val="FF0000"/>
          <w:sz w:val="32"/>
          <w:szCs w:val="32"/>
        </w:rPr>
        <w:t>万</w:t>
      </w:r>
      <w:r>
        <w:rPr>
          <w:rFonts w:hint="eastAsia" w:ascii="仿宋_GB2312" w:hAnsi="微软雅黑" w:eastAsia="仿宋_GB2312"/>
          <w:color w:val="494949"/>
          <w:sz w:val="32"/>
          <w:szCs w:val="32"/>
        </w:rPr>
        <w:t>元农户补偿费兑付和生态公益林管护工作，完成率100%，公益护林员聘用6</w:t>
      </w:r>
      <w:r>
        <w:rPr>
          <w:rFonts w:hint="eastAsia" w:ascii="仿宋_GB2312" w:hAnsi="微软雅黑" w:eastAsia="仿宋_GB2312"/>
          <w:color w:val="494949"/>
          <w:sz w:val="32"/>
          <w:szCs w:val="32"/>
          <w:lang w:val="en-US" w:eastAsia="zh-CN"/>
        </w:rPr>
        <w:t>5</w:t>
      </w:r>
      <w:r>
        <w:rPr>
          <w:rFonts w:hint="eastAsia" w:ascii="仿宋_GB2312" w:hAnsi="微软雅黑" w:eastAsia="仿宋_GB2312"/>
          <w:color w:val="494949"/>
          <w:sz w:val="32"/>
          <w:szCs w:val="32"/>
        </w:rPr>
        <w:t>人，质量达标率为100%，每带动一户补助标准为10000元/年。</w:t>
      </w:r>
    </w:p>
    <w:p>
      <w:pPr>
        <w:pStyle w:val="4"/>
        <w:shd w:val="clear" w:color="auto" w:fill="FFFFFF"/>
        <w:spacing w:before="0" w:beforeAutospacing="0" w:after="0" w:afterAutospacing="0" w:line="315" w:lineRule="atLeast"/>
        <w:ind w:firstLine="420"/>
        <w:rPr>
          <w:rFonts w:ascii="仿宋_GB2312" w:hAnsi="微软雅黑" w:eastAsia="仿宋_GB2312"/>
          <w:color w:val="494949"/>
          <w:sz w:val="32"/>
          <w:szCs w:val="32"/>
        </w:rPr>
      </w:pPr>
      <w:r>
        <w:rPr>
          <w:rFonts w:hint="eastAsia" w:ascii="仿宋_GB2312" w:hAnsi="微软雅黑" w:eastAsia="仿宋_GB2312"/>
          <w:color w:val="494949"/>
          <w:sz w:val="32"/>
          <w:szCs w:val="32"/>
        </w:rPr>
        <w:t>2.满意度指标完成情况：受益人口满意度为&gt;=95%。</w:t>
      </w:r>
    </w:p>
    <w:p>
      <w:pPr>
        <w:pStyle w:val="4"/>
        <w:shd w:val="clear" w:color="auto" w:fill="FFFFFF"/>
        <w:spacing w:before="0" w:beforeAutospacing="0" w:after="0" w:afterAutospacing="0" w:line="315" w:lineRule="atLeast"/>
        <w:ind w:firstLine="420"/>
        <w:rPr>
          <w:rFonts w:ascii="仿宋_GB2312" w:hAnsi="微软雅黑" w:eastAsia="仿宋_GB2312"/>
          <w:color w:val="494949"/>
          <w:sz w:val="32"/>
          <w:szCs w:val="32"/>
        </w:rPr>
      </w:pPr>
      <w:r>
        <w:rPr>
          <w:rFonts w:hint="eastAsia" w:ascii="仿宋_GB2312" w:hAnsi="微软雅黑" w:eastAsia="仿宋_GB2312"/>
          <w:color w:val="494949"/>
          <w:sz w:val="32"/>
          <w:szCs w:val="32"/>
        </w:rPr>
        <w:t>（四）项目效益情况</w:t>
      </w:r>
    </w:p>
    <w:p>
      <w:pPr>
        <w:pStyle w:val="4"/>
        <w:shd w:val="clear" w:color="auto" w:fill="FFFFFF"/>
        <w:spacing w:before="0" w:beforeAutospacing="0" w:after="0" w:afterAutospacing="0" w:line="315" w:lineRule="atLeast"/>
        <w:ind w:firstLine="420"/>
        <w:rPr>
          <w:rFonts w:ascii="仿宋_GB2312" w:hAnsi="微软雅黑" w:eastAsia="仿宋_GB2312"/>
          <w:color w:val="494949"/>
          <w:sz w:val="32"/>
          <w:szCs w:val="32"/>
        </w:rPr>
      </w:pPr>
      <w:r>
        <w:rPr>
          <w:rFonts w:hint="eastAsia" w:ascii="仿宋_GB2312" w:hAnsi="微软雅黑" w:eastAsia="仿宋_GB2312"/>
          <w:color w:val="494949"/>
          <w:sz w:val="32"/>
          <w:szCs w:val="32"/>
        </w:rPr>
        <w:t>我县区划并补偿的生态公益林，既满足我县生态体系建设，又满足我县生态环境需求，发挥森林生态效益、社会效益、经济效益。</w:t>
      </w:r>
    </w:p>
    <w:p>
      <w:pPr>
        <w:pStyle w:val="4"/>
        <w:shd w:val="clear" w:color="auto" w:fill="FFFFFF"/>
        <w:spacing w:before="0" w:beforeAutospacing="0" w:after="0" w:afterAutospacing="0" w:line="315" w:lineRule="atLeast"/>
        <w:ind w:firstLine="420"/>
        <w:rPr>
          <w:rFonts w:ascii="仿宋_GB2312" w:hAnsi="微软雅黑" w:eastAsia="仿宋_GB2312"/>
          <w:color w:val="494949"/>
          <w:sz w:val="32"/>
          <w:szCs w:val="32"/>
        </w:rPr>
      </w:pPr>
      <w:r>
        <w:rPr>
          <w:rFonts w:hint="eastAsia" w:ascii="仿宋_GB2312" w:hAnsi="微软雅黑" w:eastAsia="仿宋_GB2312"/>
          <w:color w:val="494949"/>
          <w:sz w:val="32"/>
          <w:szCs w:val="32"/>
        </w:rPr>
        <w:t>在生态效益方面：生态公益林能涵养水源、保水保肥、减累灾害，提高农业产量等主要部分。同时，还美化环境，增进人们身心健康，确保优良的生态环境赐于人类健康、幸福、静谧、详和的绿色。</w:t>
      </w:r>
    </w:p>
    <w:p>
      <w:pPr>
        <w:pStyle w:val="4"/>
        <w:shd w:val="clear" w:color="auto" w:fill="FFFFFF"/>
        <w:spacing w:before="0" w:beforeAutospacing="0" w:after="0" w:afterAutospacing="0" w:line="315" w:lineRule="atLeast"/>
        <w:ind w:firstLine="420"/>
        <w:rPr>
          <w:rFonts w:ascii="仿宋_GB2312" w:hAnsi="微软雅黑" w:eastAsia="仿宋_GB2312"/>
          <w:color w:val="494949"/>
          <w:sz w:val="32"/>
          <w:szCs w:val="32"/>
        </w:rPr>
      </w:pPr>
      <w:r>
        <w:rPr>
          <w:rFonts w:hint="eastAsia" w:ascii="仿宋_GB2312" w:hAnsi="微软雅黑" w:eastAsia="仿宋_GB2312"/>
          <w:color w:val="494949"/>
          <w:sz w:val="32"/>
          <w:szCs w:val="32"/>
        </w:rPr>
        <w:t>⑴蓄水效益。按亩蓄水2立方米，全县省级生态公益林7.1528万亩，年蓄水量达14万立方米，可大量节约农田取水和水利设施建设费，同时减少自然灾害的发生，调节水的小循环，改善水文状况。</w:t>
      </w:r>
    </w:p>
    <w:p>
      <w:pPr>
        <w:pStyle w:val="4"/>
        <w:shd w:val="clear" w:color="auto" w:fill="FFFFFF"/>
        <w:spacing w:before="0" w:beforeAutospacing="0" w:after="0" w:afterAutospacing="0" w:line="315" w:lineRule="atLeast"/>
        <w:ind w:firstLine="420"/>
        <w:rPr>
          <w:rFonts w:ascii="仿宋_GB2312" w:hAnsi="微软雅黑" w:eastAsia="仿宋_GB2312"/>
          <w:color w:val="494949"/>
          <w:sz w:val="32"/>
          <w:szCs w:val="32"/>
        </w:rPr>
      </w:pPr>
      <w:r>
        <w:rPr>
          <w:rFonts w:hint="eastAsia" w:ascii="仿宋_GB2312" w:hAnsi="微软雅黑" w:eastAsia="仿宋_GB2312"/>
          <w:color w:val="494949"/>
          <w:sz w:val="32"/>
          <w:szCs w:val="32"/>
        </w:rPr>
        <w:t>⑵减少水土流失面积。实行林业生态体系建设后，全县的水土流失面积可由373平方公里减至32平方公里，减少了341平方公里，占91.46%，有力地减少了地表径流，抑制水土流失，防止山洪暴发，遏制河流淤积阻塞，确保我县实现“绿荫护夏，红叶迎秋，万壑鸟鸣，四季花香”的优良生态环境。</w:t>
      </w:r>
    </w:p>
    <w:p>
      <w:pPr>
        <w:pStyle w:val="4"/>
        <w:shd w:val="clear" w:color="auto" w:fill="FFFFFF"/>
        <w:spacing w:before="0" w:beforeAutospacing="0" w:after="0" w:afterAutospacing="0" w:line="315" w:lineRule="atLeast"/>
        <w:ind w:firstLine="420"/>
        <w:rPr>
          <w:rFonts w:ascii="仿宋_GB2312" w:hAnsi="微软雅黑" w:eastAsia="仿宋_GB2312"/>
          <w:color w:val="494949"/>
          <w:sz w:val="32"/>
          <w:szCs w:val="32"/>
        </w:rPr>
      </w:pPr>
      <w:r>
        <w:rPr>
          <w:rFonts w:hint="eastAsia" w:ascii="仿宋_GB2312" w:hAnsi="微软雅黑" w:eastAsia="仿宋_GB2312"/>
          <w:color w:val="494949"/>
          <w:sz w:val="32"/>
          <w:szCs w:val="32"/>
        </w:rPr>
        <w:t>在社会效益方面：林业生态体系建成后，空气得到净化，气候得到良好的调节，生态环境的恶化得到控制，给社会提供了良好的环境，有益于人民的身心健康，增强人民的生态优先意识。</w:t>
      </w:r>
    </w:p>
    <w:p>
      <w:pPr>
        <w:pStyle w:val="4"/>
        <w:shd w:val="clear" w:color="auto" w:fill="FFFFFF"/>
        <w:spacing w:before="0" w:beforeAutospacing="0" w:after="0" w:afterAutospacing="0" w:line="315" w:lineRule="atLeast"/>
        <w:ind w:firstLine="420"/>
        <w:rPr>
          <w:rFonts w:ascii="楷体_GB2312" w:hAnsi="微软雅黑" w:eastAsia="楷体_GB2312"/>
          <w:b/>
          <w:color w:val="494949"/>
          <w:sz w:val="32"/>
          <w:szCs w:val="32"/>
        </w:rPr>
      </w:pPr>
      <w:r>
        <w:rPr>
          <w:rFonts w:hint="eastAsia" w:ascii="楷体_GB2312" w:hAnsi="微软雅黑" w:eastAsia="楷体_GB2312"/>
          <w:b/>
          <w:color w:val="494949"/>
          <w:sz w:val="32"/>
          <w:szCs w:val="32"/>
        </w:rPr>
        <w:t>五、主要经验及做法存在的问题及原因分析</w:t>
      </w:r>
    </w:p>
    <w:p>
      <w:pPr>
        <w:pStyle w:val="4"/>
        <w:shd w:val="clear" w:color="auto" w:fill="FFFFFF"/>
        <w:spacing w:before="0" w:beforeAutospacing="0" w:after="0" w:afterAutospacing="0" w:line="315" w:lineRule="atLeast"/>
        <w:ind w:firstLine="420"/>
        <w:rPr>
          <w:rFonts w:ascii="仿宋_GB2312" w:hAnsi="微软雅黑" w:eastAsia="仿宋_GB2312"/>
          <w:color w:val="494949"/>
          <w:sz w:val="32"/>
          <w:szCs w:val="32"/>
        </w:rPr>
      </w:pPr>
      <w:r>
        <w:rPr>
          <w:rFonts w:hint="eastAsia" w:ascii="仿宋_GB2312" w:hAnsi="微软雅黑" w:eastAsia="仿宋_GB2312"/>
          <w:color w:val="494949"/>
          <w:sz w:val="32"/>
          <w:szCs w:val="32"/>
        </w:rPr>
        <w:t>1、机构健全。各区县（市）成立了生态公益林保护的领导管理机构，保障了公益林管理政策各项工作全面有效落实；乡（镇、街道）相应成立了工作领导小组，林业站负责日常工作；各有关村和经营单位配备管护人员，负责巡山护林，公益林宣传和保护，形成了一个完整的管护网络。</w:t>
      </w:r>
    </w:p>
    <w:p>
      <w:pPr>
        <w:ind w:firstLine="640" w:firstLineChars="200"/>
        <w:rPr>
          <w:rFonts w:ascii="仿宋_GB2312" w:hAnsi="微软雅黑" w:eastAsia="仿宋_GB2312"/>
          <w:color w:val="494949"/>
          <w:sz w:val="32"/>
          <w:szCs w:val="32"/>
        </w:rPr>
      </w:pPr>
      <w:r>
        <w:rPr>
          <w:rFonts w:hint="eastAsia" w:ascii="仿宋_GB2312" w:hAnsi="微软雅黑" w:eastAsia="仿宋_GB2312"/>
          <w:color w:val="494949"/>
          <w:sz w:val="32"/>
          <w:szCs w:val="32"/>
        </w:rPr>
        <w:t>2、签订管理责任状与管护合同。为确保生态公益管护到位率100%，层层签订责任状，做到责任到人，管理不留空位。县林业局还与各生态公益林经营管理单位和林农签订《生态公益林区划与限伐、禁伐合同》，明确范围和公益林经营者的责任；乡（镇、街道）与公益林管护人员签订管护合同，明确护林员的职责，范围，规定做好公益林保护宣传、森林防火、制止乱砍滥伐，乱捕滥猎、乱挖滥占、并协助做好营造、抚育、保险定损、案件查处等。</w:t>
      </w:r>
    </w:p>
    <w:p>
      <w:pPr>
        <w:ind w:firstLine="640" w:firstLineChars="200"/>
        <w:rPr>
          <w:rFonts w:ascii="仿宋_GB2312" w:hAnsi="微软雅黑" w:eastAsia="仿宋_GB2312"/>
          <w:color w:val="494949"/>
          <w:sz w:val="32"/>
          <w:szCs w:val="32"/>
        </w:rPr>
      </w:pPr>
      <w:r>
        <w:rPr>
          <w:rFonts w:hint="eastAsia" w:ascii="仿宋_GB2312" w:hAnsi="微软雅黑" w:eastAsia="仿宋_GB2312"/>
          <w:color w:val="494949"/>
          <w:sz w:val="32"/>
          <w:szCs w:val="32"/>
        </w:rPr>
        <w:t>几年来，我们虽然做了大量的工作，取得了一定的成绩，但也遇到了不少问题。一是生态公益林涉及面广，管护难度大。我县与贵州的玉屏县、三穗县、天柱县相邻，不少的生态公益林区与贵州相接，比较容易受到破坏，看管难度较大；二是护林人员素质不高，护林成效有限。一部分护林人员都是聘请村里、组里的人员担任，责任心不是很强。</w:t>
      </w:r>
    </w:p>
    <w:p>
      <w:pPr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微软雅黑" w:eastAsia="仿宋_GB2312"/>
          <w:color w:val="494949"/>
          <w:sz w:val="32"/>
          <w:szCs w:val="32"/>
        </w:rPr>
        <w:t>根据以上存在的问题，我们采取了以下措施，保证生态公益林管护的质量。首先针对与贵州相邻的生态公益林管护难的问题，采取增加管护人员，加强执法力度等措施，保证生态公益林管护到位；二是针对护林人员素质不高的问题，我们采用集中培训和发放学习资料等措施来提高他们的素质，几年来共培训350余人次，发放学习资料700余份。实行护林奖罚制度，增强他们的护林责任心。</w:t>
      </w:r>
    </w:p>
    <w:p>
      <w:pPr>
        <w:ind w:firstLine="643" w:firstLineChars="200"/>
        <w:rPr>
          <w:rFonts w:ascii="楷体_GB2312" w:hAnsi="微软雅黑" w:eastAsia="楷体_GB2312"/>
          <w:b/>
          <w:color w:val="494949"/>
          <w:sz w:val="32"/>
          <w:szCs w:val="32"/>
        </w:rPr>
      </w:pPr>
      <w:r>
        <w:rPr>
          <w:rFonts w:hint="eastAsia" w:ascii="楷体_GB2312" w:hAnsi="微软雅黑" w:eastAsia="楷体_GB2312"/>
          <w:b/>
          <w:color w:val="494949"/>
          <w:sz w:val="32"/>
          <w:szCs w:val="32"/>
        </w:rPr>
        <w:t>六、有关建议：</w:t>
      </w:r>
    </w:p>
    <w:p>
      <w:pPr>
        <w:ind w:firstLine="640" w:firstLineChars="200"/>
        <w:rPr>
          <w:rFonts w:ascii="仿宋_GB2312" w:hAnsi="微软雅黑" w:eastAsia="仿宋_GB2312"/>
          <w:color w:val="494949"/>
          <w:sz w:val="32"/>
          <w:szCs w:val="32"/>
        </w:rPr>
      </w:pPr>
      <w:r>
        <w:rPr>
          <w:rFonts w:hint="eastAsia" w:ascii="仿宋_GB2312" w:hAnsi="微软雅黑" w:eastAsia="仿宋_GB2312"/>
          <w:color w:val="494949"/>
          <w:sz w:val="32"/>
          <w:szCs w:val="32"/>
        </w:rPr>
        <w:t>1、提高生态公益林补偿标准。每年每亩15.5元的标准确实太低。林农砍一棵胸径12公分的杉树就可以纯收入30元以上，建议提高补偿标准至少达每年每亩50元以上。</w:t>
      </w:r>
    </w:p>
    <w:p>
      <w:pPr>
        <w:ind w:firstLine="640" w:firstLineChars="200"/>
        <w:rPr>
          <w:rFonts w:ascii="仿宋_GB2312" w:hAnsi="微软雅黑" w:eastAsia="仿宋_GB2312"/>
          <w:color w:val="494949"/>
          <w:sz w:val="32"/>
          <w:szCs w:val="32"/>
        </w:rPr>
      </w:pPr>
      <w:r>
        <w:rPr>
          <w:rFonts w:hint="eastAsia" w:ascii="仿宋_GB2312" w:hAnsi="微软雅黑" w:eastAsia="仿宋_GB2312"/>
          <w:color w:val="494949"/>
          <w:sz w:val="32"/>
          <w:szCs w:val="32"/>
        </w:rPr>
        <w:t>2、适当补贴部分工作经费和提高森林防火、森林病虫害防治等项目的投入。生态公益林的保护管理是一个系统工程，涉及面广，工作难度大，加上地方财政困难，要县局独立承担这么大的开支确实有困难，请求上级财政提高管护投入。</w:t>
      </w:r>
    </w:p>
    <w:p>
      <w:pPr>
        <w:pStyle w:val="4"/>
        <w:shd w:val="clear" w:color="auto" w:fill="FFFFFF"/>
        <w:spacing w:before="0" w:beforeAutospacing="0" w:after="0" w:afterAutospacing="0" w:line="315" w:lineRule="atLeast"/>
        <w:ind w:firstLine="321" w:firstLineChars="100"/>
        <w:rPr>
          <w:rFonts w:ascii="楷体_GB2312" w:hAnsi="微软雅黑" w:eastAsia="楷体_GB2312"/>
          <w:b/>
          <w:color w:val="494949"/>
          <w:sz w:val="32"/>
          <w:szCs w:val="32"/>
        </w:rPr>
      </w:pPr>
      <w:r>
        <w:rPr>
          <w:rFonts w:hint="eastAsia" w:ascii="楷体_GB2312" w:hAnsi="微软雅黑" w:eastAsia="楷体_GB2312"/>
          <w:b/>
          <w:color w:val="494949"/>
          <w:sz w:val="32"/>
          <w:szCs w:val="32"/>
        </w:rPr>
        <w:t>七、其他需要说明的问题</w:t>
      </w:r>
    </w:p>
    <w:p>
      <w:pPr>
        <w:pStyle w:val="4"/>
        <w:shd w:val="clear" w:color="auto" w:fill="FFFFFF"/>
        <w:tabs>
          <w:tab w:val="left" w:pos="1575"/>
        </w:tabs>
        <w:spacing w:before="0" w:beforeAutospacing="0" w:after="0" w:afterAutospacing="0" w:line="315" w:lineRule="atLeast"/>
        <w:ind w:firstLine="420"/>
        <w:rPr>
          <w:rFonts w:ascii="仿宋_GB2312" w:hAnsi="微软雅黑" w:eastAsia="仿宋_GB2312"/>
          <w:color w:val="494949"/>
          <w:sz w:val="32"/>
          <w:szCs w:val="32"/>
        </w:rPr>
      </w:pPr>
      <w:r>
        <w:rPr>
          <w:rFonts w:hint="eastAsia" w:ascii="仿宋_GB2312" w:hAnsi="微软雅黑" w:eastAsia="仿宋_GB2312"/>
          <w:color w:val="494949"/>
          <w:sz w:val="32"/>
          <w:szCs w:val="32"/>
        </w:rPr>
        <w:t>无</w:t>
      </w:r>
      <w:r>
        <w:rPr>
          <w:rFonts w:ascii="仿宋_GB2312" w:hAnsi="微软雅黑" w:eastAsia="仿宋_GB2312"/>
          <w:color w:val="494949"/>
          <w:sz w:val="32"/>
          <w:szCs w:val="32"/>
        </w:rPr>
        <w:tab/>
      </w:r>
    </w:p>
    <w:p>
      <w:pPr>
        <w:rPr>
          <w:rFonts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9C185D5"/>
    <w:multiLevelType w:val="singleLevel"/>
    <w:tmpl w:val="49C185D5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DQ2MjIxNTdjNDY0Yjg3NjdjNjlhMzY4NThlYWIwYzgifQ=="/>
  </w:docVars>
  <w:rsids>
    <w:rsidRoot w:val="004464C0"/>
    <w:rsid w:val="00003FD7"/>
    <w:rsid w:val="0000717F"/>
    <w:rsid w:val="000077B8"/>
    <w:rsid w:val="00011E5A"/>
    <w:rsid w:val="000121B3"/>
    <w:rsid w:val="000225B6"/>
    <w:rsid w:val="00022661"/>
    <w:rsid w:val="00022C8F"/>
    <w:rsid w:val="00026742"/>
    <w:rsid w:val="00032949"/>
    <w:rsid w:val="00034554"/>
    <w:rsid w:val="00035C0E"/>
    <w:rsid w:val="0004711C"/>
    <w:rsid w:val="00050EFA"/>
    <w:rsid w:val="000516FA"/>
    <w:rsid w:val="00057C8F"/>
    <w:rsid w:val="0007015B"/>
    <w:rsid w:val="0008371C"/>
    <w:rsid w:val="00085E4B"/>
    <w:rsid w:val="000915B5"/>
    <w:rsid w:val="0009233E"/>
    <w:rsid w:val="00096BD3"/>
    <w:rsid w:val="000A0328"/>
    <w:rsid w:val="000A0A70"/>
    <w:rsid w:val="000B2B06"/>
    <w:rsid w:val="000B2B84"/>
    <w:rsid w:val="000B3132"/>
    <w:rsid w:val="000B4670"/>
    <w:rsid w:val="000C37E1"/>
    <w:rsid w:val="000E18EE"/>
    <w:rsid w:val="000E2FD4"/>
    <w:rsid w:val="000E5EED"/>
    <w:rsid w:val="000E653A"/>
    <w:rsid w:val="000E7C82"/>
    <w:rsid w:val="000F6ED2"/>
    <w:rsid w:val="001110C5"/>
    <w:rsid w:val="001133E5"/>
    <w:rsid w:val="00113659"/>
    <w:rsid w:val="00115DE8"/>
    <w:rsid w:val="00124FAE"/>
    <w:rsid w:val="001265C8"/>
    <w:rsid w:val="00130590"/>
    <w:rsid w:val="0013393B"/>
    <w:rsid w:val="00147A48"/>
    <w:rsid w:val="0015062F"/>
    <w:rsid w:val="001532AF"/>
    <w:rsid w:val="00154036"/>
    <w:rsid w:val="0016202F"/>
    <w:rsid w:val="00172652"/>
    <w:rsid w:val="00181524"/>
    <w:rsid w:val="00182FF4"/>
    <w:rsid w:val="0018410D"/>
    <w:rsid w:val="00184959"/>
    <w:rsid w:val="00185E0D"/>
    <w:rsid w:val="00191A77"/>
    <w:rsid w:val="001960B3"/>
    <w:rsid w:val="0019705C"/>
    <w:rsid w:val="001A1EAA"/>
    <w:rsid w:val="001A56B9"/>
    <w:rsid w:val="001A788A"/>
    <w:rsid w:val="001B22D0"/>
    <w:rsid w:val="001B317A"/>
    <w:rsid w:val="001B7268"/>
    <w:rsid w:val="001B7496"/>
    <w:rsid w:val="001C26EC"/>
    <w:rsid w:val="001C4B1E"/>
    <w:rsid w:val="001D134A"/>
    <w:rsid w:val="001D3758"/>
    <w:rsid w:val="001D62A1"/>
    <w:rsid w:val="001D6F01"/>
    <w:rsid w:val="001E19C7"/>
    <w:rsid w:val="001E22DA"/>
    <w:rsid w:val="001E7566"/>
    <w:rsid w:val="001F6EDE"/>
    <w:rsid w:val="002149CA"/>
    <w:rsid w:val="00215F72"/>
    <w:rsid w:val="00216ACA"/>
    <w:rsid w:val="002177A8"/>
    <w:rsid w:val="002242BF"/>
    <w:rsid w:val="00226AA1"/>
    <w:rsid w:val="00227092"/>
    <w:rsid w:val="00240315"/>
    <w:rsid w:val="00245881"/>
    <w:rsid w:val="00252CBC"/>
    <w:rsid w:val="00257A60"/>
    <w:rsid w:val="00261C15"/>
    <w:rsid w:val="00262D5A"/>
    <w:rsid w:val="00274C4B"/>
    <w:rsid w:val="00280E70"/>
    <w:rsid w:val="0028323E"/>
    <w:rsid w:val="002911DE"/>
    <w:rsid w:val="00292E94"/>
    <w:rsid w:val="00295EC9"/>
    <w:rsid w:val="00296450"/>
    <w:rsid w:val="002A2703"/>
    <w:rsid w:val="002A5FCB"/>
    <w:rsid w:val="002B5548"/>
    <w:rsid w:val="002B7A33"/>
    <w:rsid w:val="002B7B34"/>
    <w:rsid w:val="002B7F6F"/>
    <w:rsid w:val="002C31FD"/>
    <w:rsid w:val="002C6B8D"/>
    <w:rsid w:val="002D3FED"/>
    <w:rsid w:val="002F261F"/>
    <w:rsid w:val="002F3179"/>
    <w:rsid w:val="003000C1"/>
    <w:rsid w:val="00300846"/>
    <w:rsid w:val="00305EAE"/>
    <w:rsid w:val="0031601A"/>
    <w:rsid w:val="00322289"/>
    <w:rsid w:val="00324C88"/>
    <w:rsid w:val="003257F5"/>
    <w:rsid w:val="00325EF0"/>
    <w:rsid w:val="0033502B"/>
    <w:rsid w:val="00335274"/>
    <w:rsid w:val="0033578E"/>
    <w:rsid w:val="00337133"/>
    <w:rsid w:val="00337E8C"/>
    <w:rsid w:val="00340EC1"/>
    <w:rsid w:val="003504A2"/>
    <w:rsid w:val="00351F8C"/>
    <w:rsid w:val="003552B1"/>
    <w:rsid w:val="00356972"/>
    <w:rsid w:val="00357AA5"/>
    <w:rsid w:val="00360EE7"/>
    <w:rsid w:val="003631F7"/>
    <w:rsid w:val="003673E8"/>
    <w:rsid w:val="003750DF"/>
    <w:rsid w:val="003859FA"/>
    <w:rsid w:val="003A5EF1"/>
    <w:rsid w:val="003A6C45"/>
    <w:rsid w:val="003B28F2"/>
    <w:rsid w:val="003B2B2C"/>
    <w:rsid w:val="003B5221"/>
    <w:rsid w:val="003C1355"/>
    <w:rsid w:val="003C75C3"/>
    <w:rsid w:val="003C7EA1"/>
    <w:rsid w:val="003D0087"/>
    <w:rsid w:val="003D6FD6"/>
    <w:rsid w:val="003E0726"/>
    <w:rsid w:val="003E2E9D"/>
    <w:rsid w:val="003F2186"/>
    <w:rsid w:val="003F4E31"/>
    <w:rsid w:val="003F5323"/>
    <w:rsid w:val="003F5F8B"/>
    <w:rsid w:val="00402B61"/>
    <w:rsid w:val="00404FEC"/>
    <w:rsid w:val="0040658D"/>
    <w:rsid w:val="004119D2"/>
    <w:rsid w:val="00415C40"/>
    <w:rsid w:val="0042558C"/>
    <w:rsid w:val="00425C9B"/>
    <w:rsid w:val="00426C2B"/>
    <w:rsid w:val="004357F6"/>
    <w:rsid w:val="0043609C"/>
    <w:rsid w:val="00442468"/>
    <w:rsid w:val="00443B01"/>
    <w:rsid w:val="004464C0"/>
    <w:rsid w:val="00451276"/>
    <w:rsid w:val="004612C6"/>
    <w:rsid w:val="00461546"/>
    <w:rsid w:val="00463907"/>
    <w:rsid w:val="00463E59"/>
    <w:rsid w:val="00467665"/>
    <w:rsid w:val="004725BB"/>
    <w:rsid w:val="00472A12"/>
    <w:rsid w:val="0047696F"/>
    <w:rsid w:val="004773E3"/>
    <w:rsid w:val="00477B1D"/>
    <w:rsid w:val="00481E57"/>
    <w:rsid w:val="0048215A"/>
    <w:rsid w:val="00486DAE"/>
    <w:rsid w:val="004877C2"/>
    <w:rsid w:val="00491B8D"/>
    <w:rsid w:val="00494B03"/>
    <w:rsid w:val="0049695B"/>
    <w:rsid w:val="0049762C"/>
    <w:rsid w:val="004A0657"/>
    <w:rsid w:val="004A27C0"/>
    <w:rsid w:val="004A4AAD"/>
    <w:rsid w:val="004A5CBC"/>
    <w:rsid w:val="004A686E"/>
    <w:rsid w:val="004B3657"/>
    <w:rsid w:val="004B62CD"/>
    <w:rsid w:val="004C06D5"/>
    <w:rsid w:val="004C0F86"/>
    <w:rsid w:val="004C1A51"/>
    <w:rsid w:val="004C6345"/>
    <w:rsid w:val="004C647D"/>
    <w:rsid w:val="004D11AA"/>
    <w:rsid w:val="004D2432"/>
    <w:rsid w:val="004E16A6"/>
    <w:rsid w:val="004E509C"/>
    <w:rsid w:val="004F1896"/>
    <w:rsid w:val="004F1D8B"/>
    <w:rsid w:val="004F4885"/>
    <w:rsid w:val="004F6868"/>
    <w:rsid w:val="00503494"/>
    <w:rsid w:val="005076D2"/>
    <w:rsid w:val="00510044"/>
    <w:rsid w:val="0051380E"/>
    <w:rsid w:val="005157A3"/>
    <w:rsid w:val="005157D9"/>
    <w:rsid w:val="00516A31"/>
    <w:rsid w:val="0052016A"/>
    <w:rsid w:val="00521EEE"/>
    <w:rsid w:val="005242A8"/>
    <w:rsid w:val="00524A30"/>
    <w:rsid w:val="00537B0E"/>
    <w:rsid w:val="00540531"/>
    <w:rsid w:val="0054125C"/>
    <w:rsid w:val="005426BE"/>
    <w:rsid w:val="005434B3"/>
    <w:rsid w:val="00544B36"/>
    <w:rsid w:val="005468F3"/>
    <w:rsid w:val="00546E69"/>
    <w:rsid w:val="005502AF"/>
    <w:rsid w:val="005577DC"/>
    <w:rsid w:val="00561224"/>
    <w:rsid w:val="00580CDD"/>
    <w:rsid w:val="005853AB"/>
    <w:rsid w:val="00596CE0"/>
    <w:rsid w:val="005A22BC"/>
    <w:rsid w:val="005A79E9"/>
    <w:rsid w:val="005A7C18"/>
    <w:rsid w:val="005B3A54"/>
    <w:rsid w:val="005B62AB"/>
    <w:rsid w:val="005C7B3D"/>
    <w:rsid w:val="005D0074"/>
    <w:rsid w:val="005D3009"/>
    <w:rsid w:val="005D555C"/>
    <w:rsid w:val="005E0A72"/>
    <w:rsid w:val="005F0A90"/>
    <w:rsid w:val="005F5A8B"/>
    <w:rsid w:val="00610D7D"/>
    <w:rsid w:val="00613551"/>
    <w:rsid w:val="00621523"/>
    <w:rsid w:val="00623F82"/>
    <w:rsid w:val="00624BF5"/>
    <w:rsid w:val="00626E95"/>
    <w:rsid w:val="00627229"/>
    <w:rsid w:val="00630443"/>
    <w:rsid w:val="006375BC"/>
    <w:rsid w:val="00637E5D"/>
    <w:rsid w:val="006416B5"/>
    <w:rsid w:val="00641E36"/>
    <w:rsid w:val="00642FDF"/>
    <w:rsid w:val="0065386B"/>
    <w:rsid w:val="00657508"/>
    <w:rsid w:val="006600C4"/>
    <w:rsid w:val="00661698"/>
    <w:rsid w:val="00671901"/>
    <w:rsid w:val="00676BFB"/>
    <w:rsid w:val="00682906"/>
    <w:rsid w:val="00684BA2"/>
    <w:rsid w:val="00697830"/>
    <w:rsid w:val="006A180F"/>
    <w:rsid w:val="006A4321"/>
    <w:rsid w:val="006A55FE"/>
    <w:rsid w:val="006B3476"/>
    <w:rsid w:val="006B5AAC"/>
    <w:rsid w:val="006B5F7C"/>
    <w:rsid w:val="006B6213"/>
    <w:rsid w:val="006C2989"/>
    <w:rsid w:val="006C5479"/>
    <w:rsid w:val="006C701F"/>
    <w:rsid w:val="006D4387"/>
    <w:rsid w:val="006D487B"/>
    <w:rsid w:val="006E0E88"/>
    <w:rsid w:val="006F0405"/>
    <w:rsid w:val="006F3F8F"/>
    <w:rsid w:val="006F57D2"/>
    <w:rsid w:val="0070178D"/>
    <w:rsid w:val="007124FB"/>
    <w:rsid w:val="0071684B"/>
    <w:rsid w:val="007203D4"/>
    <w:rsid w:val="00726AF2"/>
    <w:rsid w:val="007411FF"/>
    <w:rsid w:val="007428ED"/>
    <w:rsid w:val="007617C1"/>
    <w:rsid w:val="0076412B"/>
    <w:rsid w:val="0076453A"/>
    <w:rsid w:val="007741A4"/>
    <w:rsid w:val="00775227"/>
    <w:rsid w:val="007766B2"/>
    <w:rsid w:val="00783F36"/>
    <w:rsid w:val="00784DB1"/>
    <w:rsid w:val="00785368"/>
    <w:rsid w:val="007A20AA"/>
    <w:rsid w:val="007A6957"/>
    <w:rsid w:val="007B6602"/>
    <w:rsid w:val="007B7B50"/>
    <w:rsid w:val="007C2851"/>
    <w:rsid w:val="007C374B"/>
    <w:rsid w:val="007C4852"/>
    <w:rsid w:val="007C550A"/>
    <w:rsid w:val="007D09B3"/>
    <w:rsid w:val="007D3615"/>
    <w:rsid w:val="007D3632"/>
    <w:rsid w:val="007E161D"/>
    <w:rsid w:val="007E79EA"/>
    <w:rsid w:val="007F0346"/>
    <w:rsid w:val="007F3F7F"/>
    <w:rsid w:val="007F56EA"/>
    <w:rsid w:val="007F6205"/>
    <w:rsid w:val="00803234"/>
    <w:rsid w:val="00803281"/>
    <w:rsid w:val="008053A3"/>
    <w:rsid w:val="00813DF1"/>
    <w:rsid w:val="00814F78"/>
    <w:rsid w:val="00815D4C"/>
    <w:rsid w:val="0082125A"/>
    <w:rsid w:val="00822BF1"/>
    <w:rsid w:val="00826F5B"/>
    <w:rsid w:val="00831947"/>
    <w:rsid w:val="00841272"/>
    <w:rsid w:val="008435B0"/>
    <w:rsid w:val="00847560"/>
    <w:rsid w:val="00850A05"/>
    <w:rsid w:val="008510D2"/>
    <w:rsid w:val="00854666"/>
    <w:rsid w:val="00860CE9"/>
    <w:rsid w:val="008671BB"/>
    <w:rsid w:val="00872708"/>
    <w:rsid w:val="00876FED"/>
    <w:rsid w:val="008804C2"/>
    <w:rsid w:val="00896055"/>
    <w:rsid w:val="008A25C1"/>
    <w:rsid w:val="008A5DBF"/>
    <w:rsid w:val="008A76AD"/>
    <w:rsid w:val="008A7CF0"/>
    <w:rsid w:val="008B13C3"/>
    <w:rsid w:val="008C0713"/>
    <w:rsid w:val="008C7392"/>
    <w:rsid w:val="008D081F"/>
    <w:rsid w:val="008D6B84"/>
    <w:rsid w:val="008E7C7B"/>
    <w:rsid w:val="008F20E2"/>
    <w:rsid w:val="008F4477"/>
    <w:rsid w:val="008F4D86"/>
    <w:rsid w:val="00906DBC"/>
    <w:rsid w:val="00911D59"/>
    <w:rsid w:val="00914BBF"/>
    <w:rsid w:val="00915FDE"/>
    <w:rsid w:val="00924798"/>
    <w:rsid w:val="00930347"/>
    <w:rsid w:val="009341A1"/>
    <w:rsid w:val="00944193"/>
    <w:rsid w:val="009458C5"/>
    <w:rsid w:val="009504C7"/>
    <w:rsid w:val="0095440B"/>
    <w:rsid w:val="00955544"/>
    <w:rsid w:val="00961F65"/>
    <w:rsid w:val="00965387"/>
    <w:rsid w:val="00971B80"/>
    <w:rsid w:val="009752F8"/>
    <w:rsid w:val="0097691B"/>
    <w:rsid w:val="009817B7"/>
    <w:rsid w:val="009854B4"/>
    <w:rsid w:val="00995D14"/>
    <w:rsid w:val="0099614A"/>
    <w:rsid w:val="009A09FD"/>
    <w:rsid w:val="009A28E3"/>
    <w:rsid w:val="009A4137"/>
    <w:rsid w:val="009B0362"/>
    <w:rsid w:val="009B3916"/>
    <w:rsid w:val="009B52F6"/>
    <w:rsid w:val="009C453B"/>
    <w:rsid w:val="009C537B"/>
    <w:rsid w:val="009D0AA5"/>
    <w:rsid w:val="009D2AA7"/>
    <w:rsid w:val="009E0E42"/>
    <w:rsid w:val="009E2AEE"/>
    <w:rsid w:val="00A04681"/>
    <w:rsid w:val="00A05CC9"/>
    <w:rsid w:val="00A10D38"/>
    <w:rsid w:val="00A13C9B"/>
    <w:rsid w:val="00A15828"/>
    <w:rsid w:val="00A31935"/>
    <w:rsid w:val="00A42C9A"/>
    <w:rsid w:val="00A44FCB"/>
    <w:rsid w:val="00A53D5C"/>
    <w:rsid w:val="00A5534F"/>
    <w:rsid w:val="00A666DE"/>
    <w:rsid w:val="00A706DB"/>
    <w:rsid w:val="00A73917"/>
    <w:rsid w:val="00A76F98"/>
    <w:rsid w:val="00A76FF4"/>
    <w:rsid w:val="00A81A19"/>
    <w:rsid w:val="00A82466"/>
    <w:rsid w:val="00A9054D"/>
    <w:rsid w:val="00A961CB"/>
    <w:rsid w:val="00A9796A"/>
    <w:rsid w:val="00AA001E"/>
    <w:rsid w:val="00AA23D9"/>
    <w:rsid w:val="00AA26B4"/>
    <w:rsid w:val="00AB709D"/>
    <w:rsid w:val="00AB7F5B"/>
    <w:rsid w:val="00AC31C1"/>
    <w:rsid w:val="00AC4632"/>
    <w:rsid w:val="00AC48A9"/>
    <w:rsid w:val="00AD0252"/>
    <w:rsid w:val="00AD310C"/>
    <w:rsid w:val="00AD5D76"/>
    <w:rsid w:val="00AE0B22"/>
    <w:rsid w:val="00AE192C"/>
    <w:rsid w:val="00AE2DFA"/>
    <w:rsid w:val="00AF2D81"/>
    <w:rsid w:val="00B10071"/>
    <w:rsid w:val="00B16BE3"/>
    <w:rsid w:val="00B201BF"/>
    <w:rsid w:val="00B20D04"/>
    <w:rsid w:val="00B24ED9"/>
    <w:rsid w:val="00B31B4F"/>
    <w:rsid w:val="00B31E46"/>
    <w:rsid w:val="00B37E45"/>
    <w:rsid w:val="00B37FA2"/>
    <w:rsid w:val="00B411AD"/>
    <w:rsid w:val="00B42102"/>
    <w:rsid w:val="00B454A8"/>
    <w:rsid w:val="00B455FA"/>
    <w:rsid w:val="00B457EF"/>
    <w:rsid w:val="00B53D6F"/>
    <w:rsid w:val="00B57EC9"/>
    <w:rsid w:val="00B61B2D"/>
    <w:rsid w:val="00B65DB5"/>
    <w:rsid w:val="00B72DFB"/>
    <w:rsid w:val="00B7380A"/>
    <w:rsid w:val="00B75141"/>
    <w:rsid w:val="00B809A9"/>
    <w:rsid w:val="00B85711"/>
    <w:rsid w:val="00B85E3C"/>
    <w:rsid w:val="00B86DD4"/>
    <w:rsid w:val="00B9467A"/>
    <w:rsid w:val="00BA0BAC"/>
    <w:rsid w:val="00BA5085"/>
    <w:rsid w:val="00BB7077"/>
    <w:rsid w:val="00BC303B"/>
    <w:rsid w:val="00BC4200"/>
    <w:rsid w:val="00BC54FC"/>
    <w:rsid w:val="00BC5E88"/>
    <w:rsid w:val="00BC6C97"/>
    <w:rsid w:val="00BC6F35"/>
    <w:rsid w:val="00BC7CAF"/>
    <w:rsid w:val="00BD0840"/>
    <w:rsid w:val="00BD7DC0"/>
    <w:rsid w:val="00BE515A"/>
    <w:rsid w:val="00BE7E1C"/>
    <w:rsid w:val="00BF2230"/>
    <w:rsid w:val="00C01F45"/>
    <w:rsid w:val="00C17027"/>
    <w:rsid w:val="00C179A9"/>
    <w:rsid w:val="00C206F9"/>
    <w:rsid w:val="00C21178"/>
    <w:rsid w:val="00C25FE6"/>
    <w:rsid w:val="00C3012F"/>
    <w:rsid w:val="00C36E41"/>
    <w:rsid w:val="00C37212"/>
    <w:rsid w:val="00C46768"/>
    <w:rsid w:val="00C52755"/>
    <w:rsid w:val="00C549ED"/>
    <w:rsid w:val="00C552F4"/>
    <w:rsid w:val="00C55574"/>
    <w:rsid w:val="00C56864"/>
    <w:rsid w:val="00C62B04"/>
    <w:rsid w:val="00C64A51"/>
    <w:rsid w:val="00C65763"/>
    <w:rsid w:val="00C738F5"/>
    <w:rsid w:val="00C7528B"/>
    <w:rsid w:val="00C752F9"/>
    <w:rsid w:val="00C777B2"/>
    <w:rsid w:val="00C85B8F"/>
    <w:rsid w:val="00C87443"/>
    <w:rsid w:val="00C879E5"/>
    <w:rsid w:val="00CB067C"/>
    <w:rsid w:val="00CB0FF8"/>
    <w:rsid w:val="00CB7011"/>
    <w:rsid w:val="00CC48E1"/>
    <w:rsid w:val="00CD04EB"/>
    <w:rsid w:val="00CD1AC6"/>
    <w:rsid w:val="00CD1E89"/>
    <w:rsid w:val="00CD36D1"/>
    <w:rsid w:val="00CE11C6"/>
    <w:rsid w:val="00CE7CE4"/>
    <w:rsid w:val="00CF3D0A"/>
    <w:rsid w:val="00CF7E3F"/>
    <w:rsid w:val="00D0517F"/>
    <w:rsid w:val="00D068FB"/>
    <w:rsid w:val="00D16AE1"/>
    <w:rsid w:val="00D17EC8"/>
    <w:rsid w:val="00D250E1"/>
    <w:rsid w:val="00D27E56"/>
    <w:rsid w:val="00D3420F"/>
    <w:rsid w:val="00D44371"/>
    <w:rsid w:val="00D54B9F"/>
    <w:rsid w:val="00D60710"/>
    <w:rsid w:val="00D63509"/>
    <w:rsid w:val="00D648B6"/>
    <w:rsid w:val="00D65649"/>
    <w:rsid w:val="00D72D36"/>
    <w:rsid w:val="00D72DAB"/>
    <w:rsid w:val="00D81212"/>
    <w:rsid w:val="00D8257B"/>
    <w:rsid w:val="00D8275B"/>
    <w:rsid w:val="00D827F9"/>
    <w:rsid w:val="00D82A15"/>
    <w:rsid w:val="00D876B5"/>
    <w:rsid w:val="00D94F27"/>
    <w:rsid w:val="00D971F8"/>
    <w:rsid w:val="00DA29E3"/>
    <w:rsid w:val="00DA3239"/>
    <w:rsid w:val="00DA4EC8"/>
    <w:rsid w:val="00DB0243"/>
    <w:rsid w:val="00DB0528"/>
    <w:rsid w:val="00DB2CA8"/>
    <w:rsid w:val="00DB2CF8"/>
    <w:rsid w:val="00DB3166"/>
    <w:rsid w:val="00DC35EE"/>
    <w:rsid w:val="00DC68AA"/>
    <w:rsid w:val="00DD52DD"/>
    <w:rsid w:val="00DD5975"/>
    <w:rsid w:val="00DD6127"/>
    <w:rsid w:val="00DE5C17"/>
    <w:rsid w:val="00DF1507"/>
    <w:rsid w:val="00DF2C33"/>
    <w:rsid w:val="00DF54D5"/>
    <w:rsid w:val="00DF742E"/>
    <w:rsid w:val="00E00B7E"/>
    <w:rsid w:val="00E22DB1"/>
    <w:rsid w:val="00E23682"/>
    <w:rsid w:val="00E265A7"/>
    <w:rsid w:val="00E4400A"/>
    <w:rsid w:val="00E5270E"/>
    <w:rsid w:val="00E57F3E"/>
    <w:rsid w:val="00E62A77"/>
    <w:rsid w:val="00E77662"/>
    <w:rsid w:val="00E81EE1"/>
    <w:rsid w:val="00EA6922"/>
    <w:rsid w:val="00EB233E"/>
    <w:rsid w:val="00EB2394"/>
    <w:rsid w:val="00EB6412"/>
    <w:rsid w:val="00EB6D47"/>
    <w:rsid w:val="00EC6F85"/>
    <w:rsid w:val="00ED2CD1"/>
    <w:rsid w:val="00ED353F"/>
    <w:rsid w:val="00ED64BE"/>
    <w:rsid w:val="00ED7EBA"/>
    <w:rsid w:val="00EE0727"/>
    <w:rsid w:val="00EE32F8"/>
    <w:rsid w:val="00EE4415"/>
    <w:rsid w:val="00EE6ECB"/>
    <w:rsid w:val="00EE7004"/>
    <w:rsid w:val="00EE781C"/>
    <w:rsid w:val="00EF1451"/>
    <w:rsid w:val="00EF3362"/>
    <w:rsid w:val="00EF3F80"/>
    <w:rsid w:val="00EF6ADC"/>
    <w:rsid w:val="00EF6F6B"/>
    <w:rsid w:val="00F040A5"/>
    <w:rsid w:val="00F17C6C"/>
    <w:rsid w:val="00F21D4A"/>
    <w:rsid w:val="00F22E26"/>
    <w:rsid w:val="00F24968"/>
    <w:rsid w:val="00F33381"/>
    <w:rsid w:val="00F4690B"/>
    <w:rsid w:val="00F64171"/>
    <w:rsid w:val="00F81EFE"/>
    <w:rsid w:val="00F905D7"/>
    <w:rsid w:val="00FA2160"/>
    <w:rsid w:val="00FA216B"/>
    <w:rsid w:val="00FA5245"/>
    <w:rsid w:val="00FB2251"/>
    <w:rsid w:val="00FC5FBB"/>
    <w:rsid w:val="00FD657D"/>
    <w:rsid w:val="00FE4DCA"/>
    <w:rsid w:val="00FE6C71"/>
    <w:rsid w:val="00FF25F6"/>
    <w:rsid w:val="00FF393D"/>
    <w:rsid w:val="00FF55BC"/>
    <w:rsid w:val="00FF69CF"/>
    <w:rsid w:val="08FC43BA"/>
    <w:rsid w:val="11EB1FA0"/>
    <w:rsid w:val="193E0FB4"/>
    <w:rsid w:val="1FCE0F2F"/>
    <w:rsid w:val="223A5CF9"/>
    <w:rsid w:val="2653235E"/>
    <w:rsid w:val="58775B45"/>
    <w:rsid w:val="5E391380"/>
    <w:rsid w:val="78961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7">
    <w:name w:val="0"/>
    <w:basedOn w:val="1"/>
    <w:autoRedefine/>
    <w:uiPriority w:val="0"/>
    <w:pPr>
      <w:widowControl/>
      <w:snapToGrid w:val="0"/>
    </w:pPr>
    <w:rPr>
      <w:kern w:val="0"/>
      <w:szCs w:val="21"/>
    </w:rPr>
  </w:style>
  <w:style w:type="character" w:customStyle="1" w:styleId="8">
    <w:name w:val="页眉 Char"/>
    <w:basedOn w:val="6"/>
    <w:link w:val="3"/>
    <w:semiHidden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6"/>
    <w:link w:val="2"/>
    <w:semiHidden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368</Words>
  <Characters>2102</Characters>
  <Lines>17</Lines>
  <Paragraphs>4</Paragraphs>
  <TotalTime>226</TotalTime>
  <ScaleCrop>false</ScaleCrop>
  <LinksUpToDate>false</LinksUpToDate>
  <CharactersWithSpaces>2466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2023-05-05T00:52:00Z</dcterms:created>
  <dc:creator>lenovo</dc:creator>
  <cp:lastModifiedBy>子落</cp:lastModifiedBy>
  <cp:lastPrinted>2023-05-23T00:54:00Z</cp:lastPrinted>
  <dcterms:modified xsi:type="dcterms:W3CDTF">2024-04-07T03:09:48Z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A9DD570F6D3348ECB4C301CA616A1526_12</vt:lpwstr>
  </property>
</Properties>
</file>