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170EF">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default" w:ascii="仿宋_GB2312" w:hAnsi="仿宋_GB2312" w:eastAsia="仿宋_GB2312" w:cs="仿宋_GB2312"/>
          <w:sz w:val="32"/>
          <w:szCs w:val="32"/>
          <w:lang w:val="en-US" w:eastAsia="zh-CN"/>
        </w:rPr>
        <w:t>附件 1-</w:t>
      </w:r>
      <w:r>
        <w:rPr>
          <w:rFonts w:hint="eastAsia" w:ascii="仿宋_GB2312" w:hAnsi="仿宋_GB2312" w:eastAsia="仿宋_GB2312" w:cs="仿宋_GB2312"/>
          <w:sz w:val="32"/>
          <w:szCs w:val="32"/>
          <w:lang w:val="en-US" w:eastAsia="zh-CN"/>
        </w:rPr>
        <w:t>3</w:t>
      </w:r>
    </w:p>
    <w:p w14:paraId="6735018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44"/>
          <w:szCs w:val="44"/>
          <w:lang w:val="en-US" w:eastAsia="zh-CN"/>
        </w:rPr>
      </w:pPr>
    </w:p>
    <w:p w14:paraId="42357F1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2024年度新晃县水利局整体支出绩效</w:t>
      </w:r>
    </w:p>
    <w:p w14:paraId="45611458">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自评报告</w:t>
      </w:r>
    </w:p>
    <w:p w14:paraId="5C065A8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p>
    <w:p w14:paraId="186F908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一、部门基本概况</w:t>
      </w:r>
      <w:bookmarkStart w:id="2" w:name="_GoBack"/>
      <w:bookmarkEnd w:id="2"/>
    </w:p>
    <w:p w14:paraId="697CDC9C">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（一）基本情况</w:t>
      </w:r>
    </w:p>
    <w:p w14:paraId="220C2866">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1、主要职能</w:t>
      </w:r>
    </w:p>
    <w:p w14:paraId="4496088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负责保障水资源的合理开发利用。拟订水利政策和规划，起草有关地方性法规、规章草案，组织编制全县水资源规划、重要江河湖泊流域综合规划、防洪规划等重大水利规划。</w:t>
      </w:r>
    </w:p>
    <w:p w14:paraId="194A5D3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生活、生产经营和生态环境用水的统筹和保障。组织实施最严格水资源管理制度，实施水资源的统一监督管理，拟订全县水利和跨区域水中长期供求规划、水量分配方案并监督实施。负责重要流域、区域以及重大调水工程的水资源调度。组织实施取水许可、水资源论证和防洪论证制度，开展水资源有偿使用工作。指导全县水利行业供水和乡镇供水工作。</w:t>
      </w:r>
    </w:p>
    <w:p w14:paraId="4A233C1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规定制定水利工程建设和运行管理有关制度并组织实施，负责提出水利固定资产投资规模、方向、具体安排建议并组织指导实施，按县政府规定权限审批、核准规划内和年度计划规模内固定资产投资项目，提出水利资金安排建议并负责项目实施的监督管理。</w:t>
      </w:r>
    </w:p>
    <w:p w14:paraId="624560D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负责水资源保护工作。组织编制实施水资源保护规划。指导饮用水水源保护有关工作。指导地下水开发利用、地下水资源管理保护。</w:t>
      </w:r>
    </w:p>
    <w:p w14:paraId="4385A92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负责节约用水工作。拟订节约用水政策，组织编制节约用水规划并监督实施，组织制定有关标准。组织实施用水总量控制等管理制度，指导和推动节水型社会建设工作。</w:t>
      </w:r>
    </w:p>
    <w:p w14:paraId="0E1248F2">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利设施、水域及其岸线的管理、保护与综合利用。指导江河湖泊及河口的治理、开发和保护。指导河湖水生态保护与修复、河湖生态流量水量管理以及河湖水系连通工作。承担河（湖）长制组织实施具体工作。</w:t>
      </w:r>
    </w:p>
    <w:p w14:paraId="0AFFFB0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负责监督水利工程建设与运行管理。组织指导水利基础设施网络建设和运行管理。指导水利建设市场的监督管理，组织实施水利工程建设的监督。</w:t>
      </w:r>
    </w:p>
    <w:p w14:paraId="5DAF0BA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负责水土保持工作。拟订水土保持规划并监督实施，组织实施水土流失的综合防治、监测预报并定期公告。负责建设项目水土保持</w:t>
      </w:r>
      <w:r>
        <w:rPr>
          <w:rFonts w:hint="eastAsia" w:ascii="仿宋_GB2312" w:hAnsi="仿宋_GB2312" w:eastAsia="仿宋_GB2312" w:cs="仿宋_GB2312"/>
          <w:sz w:val="32"/>
          <w:szCs w:val="32"/>
          <w:lang w:eastAsia="zh-CN"/>
        </w:rPr>
        <w:t>审批及</w:t>
      </w:r>
      <w:r>
        <w:rPr>
          <w:rFonts w:hint="eastAsia" w:ascii="仿宋_GB2312" w:hAnsi="仿宋_GB2312" w:eastAsia="仿宋_GB2312" w:cs="仿宋_GB2312"/>
          <w:sz w:val="32"/>
          <w:szCs w:val="32"/>
        </w:rPr>
        <w:t>监督管理工作，指导重点水土保持建设项目的实施。</w:t>
      </w:r>
    </w:p>
    <w:p w14:paraId="64E0E10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农村水利工作。组织开展大中型灌排工程建设与改造。开展农村饮水安全工程建设管理及节水灌溉有关工作。开展农村水利改革创新和社会化服务体系建设。指导农村水能资源开发、小水电改造和水电农村电气化工作。</w:t>
      </w:r>
    </w:p>
    <w:p w14:paraId="2A062E6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负责水利工程移民管理工作。拟订大中型水库移民有关政策并监督实施，组织实施水利工程移民安置验收、监督评估等制度。指导监督水库移民后期扶持政策的实施。协调推动水库移民对口支援等工作。</w:t>
      </w:r>
    </w:p>
    <w:p w14:paraId="553EB21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负责协调重大涉水违法事件的查处，协调、仲裁跨乡（镇）水事纠纷；指导水政监察和水行政执法。依法负责水利行业安全生产工作，组织指导水库、水电站大坝等水利工程设施的安全监管。</w:t>
      </w:r>
    </w:p>
    <w:p w14:paraId="5F54C85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开展水利科技和外事工作。组织开展水利行业质量监督工作，指导和监督实施水利行业的地方技术标准、规程规范。 </w:t>
      </w:r>
    </w:p>
    <w:p w14:paraId="76562F0F">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落实综合防灾减灾规划相关要求，组织编制洪水干旱灾害防治规划和防护标准并指导实施。组织编制重要江河湖泊和重要水工程的防御洪水抗御旱灾调度及应急水量调度方案，按程序报批并组织实施。承担防御洪水应急抢险的技术支撑工作。承担台风防御期间重要水工程调度工作。</w:t>
      </w:r>
    </w:p>
    <w:p w14:paraId="66BC463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本部门所有行政审批事项的统一受理、登记、申报资料初审及办结事项的缴费、制证（文）、盖章、发证（文）等服务工作，并派员进驻县政务服务中心办公；牵头协调需送其他科室审核，或需经现场勘查、专家论证、集体研究的行政审批事项，督促相关科室在承诺期限内完成相关审核工作；承办本部门组织或参与其他部门组织的并联审批，并按权限签署审查意见；负责本部门进驻县政务服务中心的行政审批服务事项及人员的动态管理；负责本部门行政审批专用章的保管和使用。</w:t>
      </w:r>
    </w:p>
    <w:p w14:paraId="46968F1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完成县委和县政府交办的其他任务。</w:t>
      </w:r>
    </w:p>
    <w:p w14:paraId="6B28F20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6BE7471D">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2、机构情况</w:t>
      </w:r>
    </w:p>
    <w:p w14:paraId="3F1C54E0">
      <w:pPr>
        <w:snapToGrid w:val="0"/>
        <w:spacing w:line="520" w:lineRule="exac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全局有6个二级事业单位</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水管站、监管站、水旱灾害防御股、建设站、设计室、狮子岩水闸管理所</w:t>
      </w:r>
    </w:p>
    <w:p w14:paraId="018669E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3、人员情况</w:t>
      </w:r>
    </w:p>
    <w:p w14:paraId="7E75041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新晃县水利局是一个全额拨款的行政事业单位，现有编制</w:t>
      </w:r>
      <w:r>
        <w:rPr>
          <w:rFonts w:hint="eastAsia" w:ascii="仿宋_GB2312" w:hAnsi="仿宋_GB2312" w:eastAsia="仿宋_GB2312" w:cs="仿宋_GB2312"/>
          <w:color w:val="auto"/>
          <w:sz w:val="32"/>
          <w:szCs w:val="32"/>
          <w:lang w:val="en-US" w:eastAsia="zh-CN"/>
        </w:rPr>
        <w:t>45</w:t>
      </w:r>
      <w:r>
        <w:rPr>
          <w:rFonts w:hint="eastAsia" w:ascii="仿宋_GB2312" w:hAnsi="仿宋_GB2312" w:eastAsia="仿宋_GB2312" w:cs="仿宋_GB2312"/>
          <w:color w:val="auto"/>
          <w:sz w:val="32"/>
          <w:szCs w:val="32"/>
        </w:rPr>
        <w:t>人，其中行政编制6人，事业编制</w:t>
      </w: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rPr>
        <w:t>人，工勤编制1人。现有在职人员</w:t>
      </w:r>
      <w:r>
        <w:rPr>
          <w:rFonts w:hint="eastAsia" w:ascii="仿宋_GB2312" w:hAnsi="仿宋_GB2312" w:eastAsia="仿宋_GB2312" w:cs="仿宋_GB2312"/>
          <w:color w:val="auto"/>
          <w:sz w:val="32"/>
          <w:szCs w:val="32"/>
          <w:lang w:val="en-US" w:eastAsia="zh-CN"/>
        </w:rPr>
        <w:t>41</w:t>
      </w:r>
      <w:r>
        <w:rPr>
          <w:rFonts w:hint="eastAsia" w:ascii="仿宋_GB2312" w:hAnsi="仿宋_GB2312" w:eastAsia="仿宋_GB2312" w:cs="仿宋_GB2312"/>
          <w:color w:val="auto"/>
          <w:sz w:val="32"/>
          <w:szCs w:val="32"/>
        </w:rPr>
        <w:t>人，其中行政人员</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人，事业人员</w:t>
      </w:r>
      <w:r>
        <w:rPr>
          <w:rFonts w:hint="eastAsia" w:ascii="仿宋_GB2312" w:hAnsi="仿宋_GB2312" w:eastAsia="仿宋_GB2312" w:cs="仿宋_GB2312"/>
          <w:color w:val="auto"/>
          <w:sz w:val="32"/>
          <w:szCs w:val="32"/>
          <w:lang w:val="en-US" w:eastAsia="zh-CN"/>
        </w:rPr>
        <w:t>36</w:t>
      </w:r>
      <w:r>
        <w:rPr>
          <w:rFonts w:hint="eastAsia" w:ascii="仿宋_GB2312" w:hAnsi="仿宋_GB2312" w:eastAsia="仿宋_GB2312" w:cs="仿宋_GB2312"/>
          <w:color w:val="auto"/>
          <w:sz w:val="32"/>
          <w:szCs w:val="32"/>
        </w:rPr>
        <w:t>人，工勤人员1人。退休人员</w:t>
      </w: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w:t>
      </w:r>
    </w:p>
    <w:p w14:paraId="32214C31">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w:t>
      </w:r>
      <w:r>
        <w:rPr>
          <w:rFonts w:hint="eastAsia" w:ascii="楷体_GB2312" w:hAnsi="楷体_GB2312" w:eastAsia="楷体_GB2312" w:cs="楷体_GB2312"/>
          <w:b/>
          <w:bCs/>
          <w:color w:val="auto"/>
          <w:sz w:val="32"/>
          <w:szCs w:val="32"/>
          <w:lang w:val="en-US" w:eastAsia="zh-CN"/>
        </w:rPr>
        <w:t>2024年度财政收支</w:t>
      </w:r>
      <w:r>
        <w:rPr>
          <w:rFonts w:hint="eastAsia" w:ascii="楷体_GB2312" w:hAnsi="楷体_GB2312" w:eastAsia="楷体_GB2312" w:cs="楷体_GB2312"/>
          <w:b/>
          <w:bCs/>
          <w:color w:val="auto"/>
          <w:sz w:val="32"/>
          <w:szCs w:val="32"/>
        </w:rPr>
        <w:t>情况</w:t>
      </w:r>
      <w:r>
        <w:rPr>
          <w:rFonts w:hint="eastAsia" w:ascii="楷体_GB2312" w:hAnsi="楷体_GB2312" w:eastAsia="楷体_GB2312" w:cs="楷体_GB2312"/>
          <w:b/>
          <w:bCs/>
          <w:color w:val="auto"/>
          <w:sz w:val="32"/>
          <w:szCs w:val="32"/>
          <w:lang w:eastAsia="zh-CN"/>
        </w:rPr>
        <w:t>。</w:t>
      </w:r>
    </w:p>
    <w:p w14:paraId="7D7F8C0A">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2024年总出支出10940.35万元，其中：基本支出985.60万元，项目支出9954.75万元。</w:t>
      </w:r>
    </w:p>
    <w:p w14:paraId="09FF64A7">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1、基本支出情况</w:t>
      </w:r>
    </w:p>
    <w:p w14:paraId="186646A8">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基本支出985.6万元，占总支出9.01%，主要包含（工资福利支出674.03万元，商品和服务支出93.45万元，对个人和家庭补助支出92.43万元，资本性支出0.30万元，对企业的费用补贴125.39万元。</w:t>
      </w:r>
    </w:p>
    <w:p w14:paraId="010CE811">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项目支出情况</w:t>
      </w:r>
    </w:p>
    <w:p w14:paraId="0E86B47C">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2024年项目整体支出9954.75万元，占总支出的90.99%。商品服务支出668.46万元，对其他和家庭的补助9.42万元，基本建设支出2400.79万元，资本性支出5333.31万元，其他支出1542.77万元。</w:t>
      </w:r>
    </w:p>
    <w:p w14:paraId="3BA18F6F">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年未</w:t>
      </w:r>
      <w:r>
        <w:rPr>
          <w:rFonts w:hint="eastAsia" w:ascii="仿宋_GB2312" w:hAnsi="仿宋_GB2312" w:eastAsia="仿宋_GB2312" w:cs="仿宋_GB2312"/>
          <w:b/>
          <w:bCs/>
          <w:color w:val="auto"/>
          <w:sz w:val="32"/>
          <w:szCs w:val="32"/>
        </w:rPr>
        <w:t>固定资产</w:t>
      </w:r>
      <w:r>
        <w:rPr>
          <w:rFonts w:hint="eastAsia" w:ascii="仿宋_GB2312" w:hAnsi="仿宋_GB2312" w:eastAsia="仿宋_GB2312" w:cs="仿宋_GB2312"/>
          <w:b/>
          <w:bCs/>
          <w:color w:val="auto"/>
          <w:sz w:val="32"/>
          <w:szCs w:val="32"/>
          <w:lang w:eastAsia="zh-CN"/>
        </w:rPr>
        <w:t>状况</w:t>
      </w:r>
      <w:r>
        <w:rPr>
          <w:rFonts w:hint="eastAsia" w:ascii="仿宋_GB2312" w:hAnsi="仿宋_GB2312" w:eastAsia="仿宋_GB2312" w:cs="仿宋_GB2312"/>
          <w:color w:val="auto"/>
          <w:sz w:val="32"/>
          <w:szCs w:val="32"/>
        </w:rPr>
        <w:t>：固定资产</w:t>
      </w:r>
      <w:r>
        <w:rPr>
          <w:rFonts w:hint="eastAsia" w:ascii="仿宋_GB2312" w:hAnsi="仿宋_GB2312" w:eastAsia="仿宋_GB2312" w:cs="仿宋_GB2312"/>
          <w:color w:val="auto"/>
          <w:sz w:val="32"/>
          <w:szCs w:val="32"/>
          <w:lang w:val="en-US" w:eastAsia="zh-CN"/>
        </w:rPr>
        <w:t>5168320.2</w:t>
      </w:r>
      <w:r>
        <w:rPr>
          <w:rFonts w:hint="eastAsia" w:ascii="仿宋_GB2312" w:hAnsi="仿宋_GB2312" w:eastAsia="仿宋_GB2312" w:cs="仿宋_GB2312"/>
          <w:color w:val="auto"/>
          <w:sz w:val="32"/>
          <w:szCs w:val="32"/>
        </w:rPr>
        <w:t>元比上年固定资产</w:t>
      </w:r>
      <w:r>
        <w:rPr>
          <w:rFonts w:hint="eastAsia" w:ascii="仿宋_GB2312" w:hAnsi="仿宋_GB2312" w:eastAsia="仿宋_GB2312" w:cs="仿宋_GB2312"/>
          <w:color w:val="auto"/>
          <w:sz w:val="32"/>
          <w:szCs w:val="32"/>
          <w:lang w:val="en-US" w:eastAsia="zh-CN"/>
        </w:rPr>
        <w:t>5264840.2</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lang w:val="en-US" w:eastAsia="zh-CN"/>
        </w:rPr>
        <w:t>减少96520</w:t>
      </w:r>
      <w:r>
        <w:rPr>
          <w:rFonts w:hint="eastAsia" w:ascii="仿宋_GB2312" w:hAnsi="仿宋_GB2312" w:eastAsia="仿宋_GB2312" w:cs="仿宋_GB2312"/>
          <w:color w:val="auto"/>
          <w:sz w:val="32"/>
          <w:szCs w:val="32"/>
        </w:rPr>
        <w:t>元，原因是增加办公设备</w:t>
      </w:r>
      <w:r>
        <w:rPr>
          <w:rFonts w:hint="eastAsia" w:ascii="仿宋_GB2312" w:hAnsi="仿宋_GB2312" w:eastAsia="仿宋_GB2312" w:cs="仿宋_GB2312"/>
          <w:color w:val="auto"/>
          <w:sz w:val="32"/>
          <w:szCs w:val="32"/>
          <w:lang w:val="en-US" w:eastAsia="zh-CN"/>
        </w:rPr>
        <w:t>2980元，减少防汛抗旱车一台处置9.95万元</w:t>
      </w:r>
      <w:r>
        <w:rPr>
          <w:rFonts w:hint="eastAsia" w:ascii="仿宋_GB2312" w:hAnsi="仿宋_GB2312" w:eastAsia="仿宋_GB2312" w:cs="仿宋_GB2312"/>
          <w:color w:val="auto"/>
          <w:sz w:val="32"/>
          <w:szCs w:val="32"/>
        </w:rPr>
        <w:t>。固定资产</w:t>
      </w:r>
      <w:r>
        <w:rPr>
          <w:rFonts w:hint="eastAsia" w:ascii="仿宋_GB2312" w:hAnsi="仿宋_GB2312" w:eastAsia="仿宋_GB2312" w:cs="仿宋_GB2312"/>
          <w:color w:val="auto"/>
          <w:sz w:val="32"/>
          <w:szCs w:val="32"/>
          <w:lang w:eastAsia="zh-CN"/>
        </w:rPr>
        <w:t>原值其中：</w:t>
      </w:r>
      <w:r>
        <w:rPr>
          <w:rFonts w:hint="eastAsia" w:ascii="仿宋_GB2312" w:hAnsi="仿宋_GB2312" w:eastAsia="仿宋_GB2312" w:cs="仿宋_GB2312"/>
          <w:color w:val="auto"/>
          <w:sz w:val="32"/>
          <w:szCs w:val="32"/>
        </w:rPr>
        <w:t xml:space="preserve">土地、房屋及构筑物 </w:t>
      </w:r>
      <w:r>
        <w:rPr>
          <w:rFonts w:hint="eastAsia" w:ascii="仿宋_GB2312" w:hAnsi="仿宋_GB2312" w:eastAsia="仿宋_GB2312" w:cs="仿宋_GB2312"/>
          <w:color w:val="auto"/>
          <w:sz w:val="32"/>
          <w:szCs w:val="32"/>
          <w:lang w:val="en-US" w:eastAsia="zh-CN"/>
        </w:rPr>
        <w:t>406.33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；通用</w:t>
      </w:r>
      <w:r>
        <w:rPr>
          <w:rFonts w:hint="eastAsia" w:ascii="仿宋_GB2312" w:hAnsi="仿宋_GB2312" w:eastAsia="仿宋_GB2312" w:cs="仿宋_GB2312"/>
          <w:color w:val="auto"/>
          <w:sz w:val="32"/>
          <w:szCs w:val="32"/>
        </w:rPr>
        <w:t xml:space="preserve">设备 </w:t>
      </w:r>
      <w:r>
        <w:rPr>
          <w:rFonts w:hint="eastAsia" w:ascii="仿宋_GB2312" w:hAnsi="仿宋_GB2312" w:eastAsia="仿宋_GB2312" w:cs="仿宋_GB2312"/>
          <w:color w:val="auto"/>
          <w:sz w:val="32"/>
          <w:szCs w:val="32"/>
          <w:lang w:val="en-US" w:eastAsia="zh-CN"/>
        </w:rPr>
        <w:t>100.67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家具、用具</w:t>
      </w:r>
      <w:r>
        <w:rPr>
          <w:rFonts w:hint="eastAsia" w:ascii="仿宋_GB2312" w:hAnsi="仿宋_GB2312" w:eastAsia="仿宋_GB2312" w:cs="仿宋_GB2312"/>
          <w:color w:val="auto"/>
          <w:sz w:val="32"/>
          <w:szCs w:val="32"/>
          <w:lang w:val="en-US" w:eastAsia="zh-CN"/>
        </w:rPr>
        <w:t>9.83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w:t>
      </w:r>
    </w:p>
    <w:p w14:paraId="550D59BA">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我局始终认真执行县财政国库集中支付核算制度，严格执行国家有关财政法规、财经纪律，坚持政府采购制度，国库集中支付制度。</w:t>
      </w:r>
    </w:p>
    <w:p w14:paraId="2545EA77">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二、部门(单位)整体支出绩效状况</w:t>
      </w:r>
    </w:p>
    <w:p w14:paraId="7FAF9C71">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shd w:val="clear" w:color="auto" w:fill="FFFFFF"/>
          <w:lang w:eastAsia="zh-CN"/>
        </w:rPr>
      </w:pPr>
      <w:r>
        <w:rPr>
          <w:rFonts w:hint="eastAsia" w:ascii="楷体_GB2312" w:hAnsi="楷体_GB2312" w:eastAsia="楷体_GB2312" w:cs="楷体_GB2312"/>
          <w:b/>
          <w:bCs/>
          <w:color w:val="auto"/>
          <w:sz w:val="32"/>
          <w:szCs w:val="32"/>
          <w:shd w:val="clear" w:color="auto" w:fill="FFFFFF"/>
          <w:lang w:val="en-US" w:eastAsia="zh-CN"/>
        </w:rPr>
        <w:t>(一)</w:t>
      </w:r>
      <w:r>
        <w:rPr>
          <w:rFonts w:hint="eastAsia" w:ascii="楷体_GB2312" w:hAnsi="楷体_GB2312" w:eastAsia="楷体_GB2312" w:cs="楷体_GB2312"/>
          <w:b/>
          <w:bCs/>
          <w:color w:val="auto"/>
          <w:sz w:val="32"/>
          <w:szCs w:val="32"/>
          <w:shd w:val="clear" w:color="auto" w:fill="FFFFFF"/>
        </w:rPr>
        <w:t>年度履职目标</w:t>
      </w:r>
      <w:r>
        <w:rPr>
          <w:rFonts w:hint="eastAsia" w:ascii="楷体_GB2312" w:hAnsi="楷体_GB2312" w:eastAsia="楷体_GB2312" w:cs="楷体_GB2312"/>
          <w:b/>
          <w:bCs/>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eastAsia="zh-CN"/>
        </w:rPr>
        <w:t>发展水利建设，完善水利设施，保障农村供水，助力乡村振兴。加强山洪灾害建设，确保防汛安全，促进依法行政，完善行政审批。进一步提升河湖管护能效，持续改善河湖面貌，建设美丽河湖、健康河湖、幸福河湖。完成小水电监管工作及安全生产。</w:t>
      </w:r>
    </w:p>
    <w:p w14:paraId="10ECB3B3">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shd w:val="clear" w:color="auto" w:fill="FFFFFF"/>
          <w:lang w:val="en-US" w:eastAsia="zh-CN"/>
        </w:rPr>
        <w:t>（二）年度主要任务：</w:t>
      </w:r>
      <w:r>
        <w:rPr>
          <w:rFonts w:hint="eastAsia" w:ascii="仿宋_GB2312" w:hAnsi="仿宋_GB2312" w:eastAsia="仿宋_GB2312" w:cs="仿宋_GB2312"/>
          <w:color w:val="auto"/>
          <w:kern w:val="0"/>
          <w:sz w:val="32"/>
          <w:szCs w:val="32"/>
          <w:lang w:eastAsia="zh-CN"/>
        </w:rPr>
        <w:t>深入学习</w:t>
      </w:r>
      <w:r>
        <w:rPr>
          <w:rFonts w:hint="eastAsia" w:ascii="仿宋_GB2312" w:hAnsi="仿宋_GB2312" w:eastAsia="仿宋_GB2312" w:cs="仿宋_GB2312"/>
          <w:color w:val="auto"/>
          <w:kern w:val="0"/>
          <w:sz w:val="32"/>
          <w:szCs w:val="32"/>
          <w:highlight w:val="none"/>
          <w:lang w:eastAsia="zh-CN"/>
        </w:rPr>
        <w:t>习</w:t>
      </w:r>
      <w:r>
        <w:rPr>
          <w:rFonts w:hint="eastAsia" w:ascii="仿宋_GB2312" w:hAnsi="仿宋_GB2312" w:eastAsia="仿宋_GB2312" w:cs="仿宋_GB2312"/>
          <w:color w:val="auto"/>
          <w:kern w:val="0"/>
          <w:sz w:val="32"/>
          <w:szCs w:val="32"/>
          <w:lang w:eastAsia="zh-CN"/>
        </w:rPr>
        <w:t>近平总书记的重要论述，开展水利系统党建工作，</w:t>
      </w:r>
      <w:r>
        <w:rPr>
          <w:rFonts w:hint="eastAsia" w:ascii="仿宋_GB2312" w:hAnsi="仿宋_GB2312" w:eastAsia="仿宋_GB2312" w:cs="仿宋_GB2312"/>
          <w:color w:val="auto"/>
          <w:spacing w:val="0"/>
          <w:w w:val="100"/>
          <w:sz w:val="32"/>
          <w:szCs w:val="32"/>
        </w:rPr>
        <w:t>从严从实推动“三整顿两提升”干部作风建设专项活动，大力推进清廉水利工程建设</w:t>
      </w:r>
      <w:r>
        <w:rPr>
          <w:rFonts w:hint="eastAsia" w:ascii="仿宋_GB2312" w:hAnsi="仿宋_GB2312" w:eastAsia="仿宋_GB2312" w:cs="仿宋_GB2312"/>
          <w:color w:val="auto"/>
          <w:kern w:val="0"/>
          <w:sz w:val="32"/>
          <w:szCs w:val="32"/>
          <w:lang w:eastAsia="zh-CN"/>
        </w:rPr>
        <w:t>；推进我局</w:t>
      </w:r>
      <w:r>
        <w:rPr>
          <w:rFonts w:hint="eastAsia" w:ascii="仿宋_GB2312" w:hAnsi="仿宋_GB2312" w:eastAsia="仿宋_GB2312" w:cs="仿宋_GB2312"/>
          <w:color w:val="auto"/>
          <w:kern w:val="0"/>
          <w:sz w:val="32"/>
          <w:szCs w:val="32"/>
          <w:lang w:val="en-US" w:eastAsia="zh-CN"/>
        </w:rPr>
        <w:t>洞坪村和波洲村</w:t>
      </w:r>
      <w:r>
        <w:rPr>
          <w:rFonts w:hint="eastAsia" w:ascii="仿宋_GB2312" w:hAnsi="仿宋_GB2312" w:eastAsia="仿宋_GB2312" w:cs="仿宋_GB2312"/>
          <w:color w:val="auto"/>
          <w:kern w:val="0"/>
          <w:sz w:val="32"/>
          <w:szCs w:val="32"/>
          <w:lang w:eastAsia="zh-CN"/>
        </w:rPr>
        <w:t>的乡村振兴工作；按照省市关于“防大汛</w:t>
      </w:r>
      <w:r>
        <w:rPr>
          <w:rFonts w:hint="eastAsia" w:ascii="仿宋_GB2312" w:hAnsi="仿宋_GB2312" w:eastAsia="仿宋_GB2312" w:cs="仿宋_GB2312"/>
          <w:color w:val="auto"/>
          <w:sz w:val="32"/>
          <w:szCs w:val="32"/>
        </w:rPr>
        <w:t>、抗大灾、抢大险”的部署和要求，我局始终把安全备汛、严防大旱，确保群众生命财产安全的责任和使命牢记在心，不敢有丝毫懈怠</w:t>
      </w:r>
      <w:r>
        <w:rPr>
          <w:rFonts w:hint="eastAsia" w:ascii="仿宋_GB2312" w:hAnsi="仿宋_GB2312" w:eastAsia="仿宋_GB2312" w:cs="仿宋_GB2312"/>
          <w:color w:val="auto"/>
          <w:sz w:val="32"/>
          <w:szCs w:val="32"/>
          <w:lang w:eastAsia="zh-CN"/>
        </w:rPr>
        <w:t>；先后完成农村人饮运行与维护</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pacing w:val="0"/>
          <w:w w:val="100"/>
          <w:sz w:val="32"/>
          <w:szCs w:val="32"/>
          <w:highlight w:val="none"/>
          <w:lang w:eastAsia="zh-CN"/>
        </w:rPr>
        <w:t>增发国债水利建设等项目工程</w:t>
      </w:r>
      <w:r>
        <w:rPr>
          <w:rFonts w:hint="eastAsia" w:ascii="仿宋_GB2312" w:hAnsi="仿宋_GB2312" w:eastAsia="仿宋_GB2312" w:cs="仿宋_GB2312"/>
          <w:color w:val="auto"/>
          <w:sz w:val="32"/>
          <w:szCs w:val="32"/>
          <w:lang w:eastAsia="zh-CN"/>
        </w:rPr>
        <w:t>；为做好水政执法工作，以“河长制”为抓手，落实属地“河长制”工作职责，促进我县水环境质量持续改善，实现美丽新晃建设的目标任务。</w:t>
      </w:r>
    </w:p>
    <w:p w14:paraId="04AC316E">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楷体_GB2312" w:hAnsi="楷体_GB2312" w:eastAsia="楷体_GB2312" w:cs="楷体_GB2312"/>
          <w:b/>
          <w:bCs/>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（三）产出指标：</w:t>
      </w:r>
    </w:p>
    <w:p w14:paraId="1047AE6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color w:val="auto"/>
          <w:spacing w:val="0"/>
          <w:w w:val="100"/>
          <w:sz w:val="32"/>
          <w:szCs w:val="32"/>
          <w:lang w:eastAsia="zh-CN"/>
        </w:rPr>
      </w:pPr>
      <w:r>
        <w:rPr>
          <w:rFonts w:hint="eastAsia" w:ascii="楷体_GB2312" w:hAnsi="楷体_GB2312" w:eastAsia="楷体_GB2312" w:cs="楷体_GB2312"/>
          <w:b/>
          <w:bCs/>
          <w:color w:val="auto"/>
          <w:spacing w:val="0"/>
          <w:w w:val="100"/>
          <w:sz w:val="32"/>
          <w:szCs w:val="32"/>
          <w:lang w:val="en-US" w:eastAsia="zh-CN"/>
        </w:rPr>
        <w:t>1、</w:t>
      </w:r>
      <w:r>
        <w:rPr>
          <w:rFonts w:hint="eastAsia" w:ascii="楷体_GB2312" w:hAnsi="楷体_GB2312" w:eastAsia="楷体_GB2312" w:cs="楷体_GB2312"/>
          <w:b/>
          <w:bCs/>
          <w:color w:val="auto"/>
          <w:spacing w:val="0"/>
          <w:w w:val="100"/>
          <w:sz w:val="32"/>
          <w:szCs w:val="32"/>
        </w:rPr>
        <w:t>从严治党责任</w:t>
      </w:r>
      <w:r>
        <w:rPr>
          <w:rFonts w:hint="eastAsia" w:ascii="楷体_GB2312" w:hAnsi="楷体_GB2312" w:eastAsia="楷体_GB2312" w:cs="楷体_GB2312"/>
          <w:b/>
          <w:bCs/>
          <w:color w:val="auto"/>
          <w:spacing w:val="0"/>
          <w:w w:val="100"/>
          <w:sz w:val="32"/>
          <w:szCs w:val="32"/>
          <w:lang w:val="en-US" w:eastAsia="zh-CN"/>
        </w:rPr>
        <w:t>全面</w:t>
      </w:r>
      <w:r>
        <w:rPr>
          <w:rFonts w:hint="eastAsia" w:ascii="楷体_GB2312" w:hAnsi="楷体_GB2312" w:eastAsia="楷体_GB2312" w:cs="楷体_GB2312"/>
          <w:b/>
          <w:bCs/>
          <w:color w:val="auto"/>
          <w:spacing w:val="0"/>
          <w:w w:val="100"/>
          <w:sz w:val="32"/>
          <w:szCs w:val="32"/>
        </w:rPr>
        <w:t>压实。</w:t>
      </w:r>
      <w:r>
        <w:rPr>
          <w:rFonts w:hint="eastAsia" w:ascii="仿宋_GB2312" w:hAnsi="仿宋_GB2312" w:eastAsia="仿宋_GB2312" w:cs="仿宋_GB2312"/>
          <w:b/>
          <w:bCs/>
          <w:color w:val="auto"/>
          <w:spacing w:val="0"/>
          <w:w w:val="100"/>
          <w:kern w:val="2"/>
          <w:sz w:val="32"/>
          <w:szCs w:val="32"/>
          <w:highlight w:val="none"/>
          <w:lang w:val="en-US" w:eastAsia="zh-CN"/>
        </w:rPr>
        <w:t>一是夯实党建工作基础。</w:t>
      </w:r>
      <w:r>
        <w:rPr>
          <w:rFonts w:hint="eastAsia" w:ascii="仿宋_GB2312" w:hAnsi="仿宋_GB2312" w:eastAsia="仿宋_GB2312" w:cs="仿宋_GB2312"/>
          <w:color w:val="auto"/>
          <w:spacing w:val="0"/>
          <w:w w:val="100"/>
          <w:sz w:val="32"/>
          <w:szCs w:val="32"/>
        </w:rPr>
        <w:t>以党建为统领、以业务为抓手，全力以赴把各项目工作抓落实、抓到位。认真落实党组书记抓基层党建第一责任人职责，严格落实党组书记述职评议考核制度，定期研究推动党建工作。</w:t>
      </w:r>
      <w:r>
        <w:rPr>
          <w:rFonts w:hint="eastAsia" w:ascii="仿宋_GB2312" w:hAnsi="仿宋_GB2312" w:eastAsia="仿宋_GB2312" w:cs="仿宋_GB2312"/>
          <w:b/>
          <w:bCs/>
          <w:color w:val="auto"/>
          <w:spacing w:val="0"/>
          <w:w w:val="100"/>
          <w:kern w:val="2"/>
          <w:sz w:val="32"/>
          <w:szCs w:val="32"/>
          <w:highlight w:val="none"/>
          <w:lang w:val="en-US" w:eastAsia="zh-CN"/>
        </w:rPr>
        <w:t>二是抓实意识形态工作。</w:t>
      </w:r>
      <w:r>
        <w:rPr>
          <w:rFonts w:hint="eastAsia" w:ascii="仿宋_GB2312" w:hAnsi="仿宋_GB2312" w:eastAsia="仿宋_GB2312" w:cs="仿宋_GB2312"/>
          <w:b w:val="0"/>
          <w:bCs w:val="0"/>
          <w:color w:val="auto"/>
          <w:spacing w:val="0"/>
          <w:w w:val="100"/>
          <w:sz w:val="32"/>
          <w:szCs w:val="32"/>
          <w:lang w:eastAsia="zh-CN"/>
        </w:rPr>
        <w:t>坚持第一议题制度，</w:t>
      </w:r>
      <w:r>
        <w:rPr>
          <w:rFonts w:hint="eastAsia" w:ascii="仿宋_GB2312" w:hAnsi="仿宋_GB2312" w:eastAsia="仿宋_GB2312" w:cs="仿宋_GB2312"/>
          <w:color w:val="auto"/>
          <w:spacing w:val="0"/>
          <w:w w:val="100"/>
          <w:sz w:val="32"/>
          <w:szCs w:val="32"/>
        </w:rPr>
        <w:t>局党组始终把意识形态工作摆在极端重要的位置,与业务工作同部署、同落实。同时，注重在平时各项会议和工作中，融入意识形态工作内容，推进意识形态工作与中心各项工作紧密结合。</w:t>
      </w:r>
      <w:r>
        <w:rPr>
          <w:rFonts w:hint="eastAsia" w:ascii="仿宋_GB2312" w:hAnsi="仿宋_GB2312" w:eastAsia="仿宋_GB2312" w:cs="仿宋_GB2312"/>
          <w:b/>
          <w:bCs/>
          <w:color w:val="auto"/>
          <w:spacing w:val="0"/>
          <w:w w:val="100"/>
          <w:kern w:val="2"/>
          <w:sz w:val="32"/>
          <w:szCs w:val="32"/>
          <w:highlight w:val="none"/>
          <w:lang w:val="en-US" w:eastAsia="zh-CN"/>
        </w:rPr>
        <w:t>三是全面从严治党走深走实。</w:t>
      </w:r>
      <w:r>
        <w:rPr>
          <w:rFonts w:hint="eastAsia" w:ascii="仿宋_GB2312" w:hAnsi="仿宋_GB2312" w:eastAsia="仿宋_GB2312" w:cs="仿宋_GB2312"/>
          <w:color w:val="auto"/>
          <w:spacing w:val="0"/>
          <w:w w:val="100"/>
          <w:sz w:val="32"/>
          <w:szCs w:val="32"/>
        </w:rPr>
        <w:t>深入学习贯彻党的二十大</w:t>
      </w:r>
      <w:r>
        <w:rPr>
          <w:rFonts w:hint="eastAsia" w:ascii="仿宋_GB2312" w:hAnsi="仿宋_GB2312" w:eastAsia="仿宋_GB2312" w:cs="仿宋_GB2312"/>
          <w:color w:val="auto"/>
          <w:spacing w:val="0"/>
          <w:w w:val="100"/>
          <w:sz w:val="32"/>
          <w:szCs w:val="32"/>
          <w:lang w:eastAsia="zh-CN"/>
        </w:rPr>
        <w:t>和二十届三中全会</w:t>
      </w:r>
      <w:r>
        <w:rPr>
          <w:rFonts w:hint="eastAsia" w:ascii="仿宋_GB2312" w:hAnsi="仿宋_GB2312" w:eastAsia="仿宋_GB2312" w:cs="仿宋_GB2312"/>
          <w:color w:val="auto"/>
          <w:spacing w:val="0"/>
          <w:w w:val="100"/>
          <w:sz w:val="32"/>
          <w:szCs w:val="32"/>
        </w:rPr>
        <w:t>精神，持之以恒推进</w:t>
      </w:r>
      <w:r>
        <w:rPr>
          <w:rFonts w:hint="eastAsia" w:ascii="仿宋_GB2312" w:hAnsi="仿宋_GB2312" w:eastAsia="仿宋_GB2312" w:cs="仿宋_GB2312"/>
          <w:color w:val="auto"/>
          <w:spacing w:val="-6"/>
          <w:w w:val="100"/>
          <w:sz w:val="32"/>
          <w:szCs w:val="32"/>
        </w:rPr>
        <w:t>全面从严治党，加强党风廉政建设；坚持党建引领，</w:t>
      </w:r>
      <w:r>
        <w:rPr>
          <w:rFonts w:hint="eastAsia" w:ascii="仿宋_GB2312" w:hAnsi="仿宋_GB2312" w:eastAsia="仿宋_GB2312" w:cs="仿宋_GB2312"/>
          <w:i w:val="0"/>
          <w:iCs w:val="0"/>
          <w:caps w:val="0"/>
          <w:color w:val="auto"/>
          <w:spacing w:val="-6"/>
          <w:w w:val="100"/>
          <w:kern w:val="0"/>
          <w:sz w:val="32"/>
          <w:szCs w:val="32"/>
          <w:shd w:val="clear" w:color="auto" w:fill="FFFFFF"/>
          <w:lang w:val="en-US" w:eastAsia="zh-CN" w:bidi="ar"/>
        </w:rPr>
        <w:t>传承和弘扬</w:t>
      </w:r>
      <w:r>
        <w:rPr>
          <w:rFonts w:hint="eastAsia" w:ascii="仿宋_GB2312" w:hAnsi="仿宋_GB2312" w:eastAsia="仿宋_GB2312" w:cs="仿宋_GB2312"/>
          <w:i w:val="0"/>
          <w:iCs w:val="0"/>
          <w:caps w:val="0"/>
          <w:color w:val="auto"/>
          <w:spacing w:val="-11"/>
          <w:w w:val="100"/>
          <w:kern w:val="0"/>
          <w:sz w:val="32"/>
          <w:szCs w:val="32"/>
          <w:shd w:val="clear" w:color="auto" w:fill="FFFFFF"/>
          <w:lang w:val="en-US" w:eastAsia="zh-CN" w:bidi="ar"/>
        </w:rPr>
        <w:t>“忠诚、干净、担当，科学、</w:t>
      </w:r>
      <w:r>
        <w:rPr>
          <w:rFonts w:hint="eastAsia" w:ascii="仿宋_GB2312" w:hAnsi="仿宋_GB2312" w:eastAsia="仿宋_GB2312" w:cs="仿宋_GB2312"/>
          <w:i w:val="0"/>
          <w:iCs w:val="0"/>
          <w:caps w:val="0"/>
          <w:color w:val="auto"/>
          <w:spacing w:val="-6"/>
          <w:w w:val="100"/>
          <w:kern w:val="0"/>
          <w:sz w:val="32"/>
          <w:szCs w:val="32"/>
          <w:shd w:val="clear" w:color="auto" w:fill="FFFFFF"/>
          <w:lang w:val="en-US" w:eastAsia="zh-CN" w:bidi="ar"/>
        </w:rPr>
        <w:t>求实、创新”的新时代水利精神</w:t>
      </w:r>
      <w:r>
        <w:rPr>
          <w:rFonts w:hint="eastAsia" w:ascii="仿宋_GB2312" w:hAnsi="仿宋_GB2312" w:eastAsia="仿宋_GB2312" w:cs="仿宋_GB2312"/>
          <w:i w:val="0"/>
          <w:iCs w:val="0"/>
          <w:caps w:val="0"/>
          <w:color w:val="auto"/>
          <w:spacing w:val="-6"/>
          <w:w w:val="100"/>
          <w:kern w:val="0"/>
          <w:sz w:val="32"/>
          <w:szCs w:val="32"/>
          <w:shd w:val="clear" w:color="auto" w:fill="FFFFFF"/>
          <w:lang w:eastAsia="zh-CN" w:bidi="ar"/>
        </w:rPr>
        <w:t>，</w:t>
      </w:r>
      <w:r>
        <w:rPr>
          <w:rFonts w:hint="eastAsia" w:ascii="仿宋_GB2312" w:hAnsi="仿宋_GB2312" w:eastAsia="仿宋_GB2312" w:cs="仿宋_GB2312"/>
          <w:color w:val="auto"/>
          <w:spacing w:val="-11"/>
          <w:w w:val="100"/>
          <w:sz w:val="32"/>
          <w:szCs w:val="32"/>
        </w:rPr>
        <w:t>打造忠</w:t>
      </w:r>
      <w:r>
        <w:rPr>
          <w:rFonts w:hint="eastAsia" w:ascii="仿宋_GB2312" w:hAnsi="仿宋_GB2312" w:eastAsia="仿宋_GB2312" w:cs="仿宋_GB2312"/>
          <w:color w:val="auto"/>
          <w:spacing w:val="0"/>
          <w:w w:val="100"/>
          <w:sz w:val="32"/>
          <w:szCs w:val="32"/>
        </w:rPr>
        <w:t>诚干净担当的水利队伍。从严从实推动“三整顿两提升”干部作风建设专项活动，大力推进清廉水利工程建设，持续深化水利工程建设项目招投标领域突出问题专项整治</w:t>
      </w:r>
      <w:r>
        <w:rPr>
          <w:rFonts w:hint="eastAsia" w:ascii="仿宋_GB2312" w:hAnsi="仿宋_GB2312" w:eastAsia="仿宋_GB2312" w:cs="仿宋_GB2312"/>
          <w:color w:val="auto"/>
          <w:spacing w:val="0"/>
          <w:w w:val="100"/>
          <w:sz w:val="32"/>
          <w:szCs w:val="32"/>
          <w:lang w:eastAsia="zh-CN"/>
        </w:rPr>
        <w:t>。</w:t>
      </w:r>
    </w:p>
    <w:p w14:paraId="13D70F2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val="0"/>
          <w:color w:val="auto"/>
          <w:spacing w:val="0"/>
          <w:w w:val="100"/>
          <w:kern w:val="2"/>
          <w:sz w:val="32"/>
          <w:szCs w:val="32"/>
          <w:lang w:val="en-US" w:eastAsia="zh-CN" w:bidi="ar-SA"/>
        </w:rPr>
      </w:pPr>
      <w:r>
        <w:rPr>
          <w:rFonts w:hint="eastAsia" w:ascii="楷体_GB2312" w:hAnsi="楷体_GB2312" w:eastAsia="楷体_GB2312" w:cs="楷体_GB2312"/>
          <w:b/>
          <w:bCs/>
          <w:color w:val="auto"/>
          <w:spacing w:val="0"/>
          <w:w w:val="100"/>
          <w:kern w:val="0"/>
          <w:sz w:val="32"/>
          <w:szCs w:val="32"/>
          <w:highlight w:val="none"/>
          <w:lang w:val="en-US" w:eastAsia="zh-CN"/>
        </w:rPr>
        <w:t>2、防汛抗旱夺取全面胜利。</w:t>
      </w:r>
      <w:r>
        <w:rPr>
          <w:rFonts w:hint="eastAsia" w:ascii="仿宋_GB2312" w:hAnsi="仿宋_GB2312" w:eastAsia="仿宋_GB2312" w:cs="仿宋_GB2312"/>
          <w:color w:val="auto"/>
          <w:spacing w:val="0"/>
          <w:w w:val="100"/>
          <w:sz w:val="32"/>
          <w:szCs w:val="32"/>
          <w:lang w:val="en-US" w:eastAsia="zh-CN"/>
        </w:rPr>
        <w:t>成功应对3次强降雨过程，启动水旱灾害防御IV应急</w:t>
      </w:r>
      <w:bookmarkStart w:id="0" w:name="OLE_LINK7"/>
      <w:r>
        <w:rPr>
          <w:rFonts w:hint="eastAsia" w:ascii="仿宋_GB2312" w:hAnsi="仿宋_GB2312" w:eastAsia="仿宋_GB2312" w:cs="仿宋_GB2312"/>
          <w:color w:val="auto"/>
          <w:spacing w:val="0"/>
          <w:w w:val="100"/>
          <w:sz w:val="32"/>
          <w:szCs w:val="32"/>
          <w:lang w:val="en-US" w:eastAsia="zh-CN"/>
        </w:rPr>
        <w:t>响应</w:t>
      </w:r>
      <w:bookmarkEnd w:id="0"/>
      <w:r>
        <w:rPr>
          <w:rFonts w:hint="eastAsia" w:ascii="仿宋_GB2312" w:hAnsi="仿宋_GB2312" w:eastAsia="仿宋_GB2312" w:cs="仿宋_GB2312"/>
          <w:color w:val="auto"/>
          <w:spacing w:val="0"/>
          <w:w w:val="100"/>
          <w:sz w:val="32"/>
          <w:szCs w:val="32"/>
          <w:lang w:val="en-US" w:eastAsia="zh-CN"/>
        </w:rPr>
        <w:t>3次，III级响应1次,II级</w:t>
      </w:r>
      <w:bookmarkStart w:id="1" w:name="OLE_LINK8"/>
      <w:r>
        <w:rPr>
          <w:rFonts w:hint="eastAsia" w:ascii="仿宋_GB2312" w:hAnsi="仿宋_GB2312" w:eastAsia="仿宋_GB2312" w:cs="仿宋_GB2312"/>
          <w:color w:val="auto"/>
          <w:spacing w:val="0"/>
          <w:w w:val="100"/>
          <w:sz w:val="32"/>
          <w:szCs w:val="32"/>
          <w:lang w:val="en-US" w:eastAsia="zh-CN"/>
        </w:rPr>
        <w:t>响应1次</w:t>
      </w:r>
      <w:bookmarkEnd w:id="1"/>
      <w:r>
        <w:rPr>
          <w:rFonts w:hint="eastAsia" w:ascii="仿宋_GB2312" w:hAnsi="仿宋_GB2312" w:eastAsia="仿宋_GB2312" w:cs="仿宋_GB2312"/>
          <w:color w:val="auto"/>
          <w:spacing w:val="0"/>
          <w:w w:val="100"/>
          <w:sz w:val="32"/>
          <w:szCs w:val="32"/>
          <w:lang w:val="en-US" w:eastAsia="zh-CN"/>
        </w:rPr>
        <w:t>,I级响应1次，</w:t>
      </w:r>
      <w:r>
        <w:rPr>
          <w:rFonts w:hint="eastAsia" w:ascii="仿宋_GB2312" w:hAnsi="仿宋_GB2312" w:eastAsia="仿宋_GB2312" w:cs="仿宋_GB2312"/>
          <w:b w:val="0"/>
          <w:bCs w:val="0"/>
          <w:color w:val="auto"/>
          <w:spacing w:val="0"/>
          <w:w w:val="100"/>
          <w:sz w:val="32"/>
          <w:szCs w:val="32"/>
          <w:lang w:val="en-US" w:eastAsia="zh-CN"/>
        </w:rPr>
        <w:t>充分发挥631预警叫应机制，共发布预警信号6期6县次6277人次</w:t>
      </w:r>
      <w:r>
        <w:rPr>
          <w:rFonts w:hint="eastAsia" w:ascii="仿宋_GB2312" w:hAnsi="仿宋_GB2312" w:eastAsia="仿宋_GB2312" w:cs="仿宋_GB2312"/>
          <w:color w:val="auto"/>
          <w:spacing w:val="0"/>
          <w:w w:val="100"/>
          <w:sz w:val="32"/>
          <w:szCs w:val="32"/>
          <w:lang w:val="en-US" w:eastAsia="zh-CN"/>
        </w:rPr>
        <w:t>，及时参与组织人员避险转移4.8万余人次，完成了“不垮一库一坝，不死一人”的年度目标任务。提前部署水利抗旱工作，强化水库防洪调度，科学拦蓄尾洪，加强水资源管控，做好用水分水计划和蓄水保水工作，充分发挥水利工程保供保灌功能，全年来实</w:t>
      </w:r>
      <w:r>
        <w:rPr>
          <w:rFonts w:hint="eastAsia" w:ascii="仿宋_GB2312" w:hAnsi="仿宋_GB2312" w:eastAsia="仿宋_GB2312" w:cs="仿宋_GB2312"/>
          <w:b w:val="0"/>
          <w:color w:val="auto"/>
          <w:spacing w:val="0"/>
          <w:w w:val="100"/>
          <w:kern w:val="2"/>
          <w:sz w:val="32"/>
          <w:szCs w:val="32"/>
          <w:lang w:val="en-US" w:eastAsia="zh-CN" w:bidi="ar-SA"/>
        </w:rPr>
        <w:t>施深井12口，完成山塘清淤105座，维修泵站2座，新建渠道4条灌溉渠道4.0km,小型水库除险加固10座，新建拦溪坝1座，大大提升防旱抗旱能力。同时，采取“工程措施与非工程措施结合，防治与治理相结合，宣传与教育与避险救灾相结合”的措施防治山洪灾害，争取水毁修复资金290万元，险工险段资金350万元。</w:t>
      </w:r>
    </w:p>
    <w:p w14:paraId="013F2ED0">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b/>
          <w:bCs/>
          <w:color w:val="auto"/>
          <w:spacing w:val="0"/>
          <w:w w:val="100"/>
          <w:kern w:val="2"/>
          <w:sz w:val="32"/>
          <w:szCs w:val="32"/>
          <w:lang w:val="en" w:eastAsia="zh-CN" w:bidi="ar-SA"/>
        </w:rPr>
      </w:pPr>
      <w:r>
        <w:rPr>
          <w:rFonts w:hint="eastAsia" w:ascii="楷体_GB2312" w:hAnsi="楷体_GB2312" w:eastAsia="楷体_GB2312" w:cs="楷体_GB2312"/>
          <w:b/>
          <w:bCs/>
          <w:color w:val="auto"/>
          <w:spacing w:val="0"/>
          <w:w w:val="100"/>
          <w:kern w:val="0"/>
          <w:sz w:val="32"/>
          <w:szCs w:val="32"/>
          <w:highlight w:val="none"/>
          <w:lang w:val="en-US" w:eastAsia="zh-CN"/>
        </w:rPr>
        <w:t>3、农村供水保障扎实推进。</w:t>
      </w:r>
      <w:r>
        <w:rPr>
          <w:rFonts w:hint="eastAsia" w:ascii="仿宋_GB2312" w:hAnsi="仿宋_GB2312" w:eastAsia="仿宋_GB2312" w:cs="仿宋_GB2312"/>
          <w:bCs/>
          <w:color w:val="auto"/>
          <w:spacing w:val="0"/>
          <w:w w:val="100"/>
          <w:sz w:val="32"/>
          <w:szCs w:val="32"/>
        </w:rPr>
        <w:t>农村</w:t>
      </w:r>
      <w:r>
        <w:rPr>
          <w:rFonts w:hint="eastAsia" w:ascii="仿宋_GB2312" w:hAnsi="仿宋_GB2312" w:eastAsia="仿宋_GB2312" w:cs="仿宋_GB2312"/>
          <w:bCs/>
          <w:color w:val="auto"/>
          <w:spacing w:val="0"/>
          <w:w w:val="100"/>
          <w:sz w:val="32"/>
          <w:szCs w:val="32"/>
          <w:lang w:val="en"/>
        </w:rPr>
        <w:t>供水</w:t>
      </w:r>
      <w:r>
        <w:rPr>
          <w:rFonts w:hint="eastAsia" w:ascii="仿宋_GB2312" w:hAnsi="仿宋_GB2312" w:eastAsia="仿宋_GB2312" w:cs="仿宋_GB2312"/>
          <w:bCs/>
          <w:color w:val="auto"/>
          <w:spacing w:val="0"/>
          <w:w w:val="100"/>
          <w:sz w:val="32"/>
          <w:szCs w:val="32"/>
        </w:rPr>
        <w:t>工程巩固提升加快推进，</w:t>
      </w:r>
      <w:r>
        <w:rPr>
          <w:rFonts w:hint="eastAsia" w:ascii="仿宋_GB2312" w:hAnsi="仿宋_GB2312" w:eastAsia="仿宋_GB2312" w:cs="仿宋_GB2312"/>
          <w:color w:val="auto"/>
          <w:spacing w:val="0"/>
          <w:w w:val="100"/>
          <w:sz w:val="32"/>
          <w:szCs w:val="32"/>
          <w:highlight w:val="none"/>
          <w:lang w:val="en-US" w:eastAsia="zh-CN"/>
        </w:rPr>
        <w:t>实施水源工程20处，其中机井18口，</w:t>
      </w:r>
      <w:r>
        <w:rPr>
          <w:rFonts w:hint="eastAsia" w:ascii="仿宋_GB2312" w:hAnsi="仿宋_GB2312" w:eastAsia="仿宋_GB2312" w:cs="仿宋_GB2312"/>
          <w:color w:val="auto"/>
          <w:spacing w:val="0"/>
          <w:w w:val="100"/>
          <w:sz w:val="32"/>
          <w:szCs w:val="32"/>
          <w:highlight w:val="none"/>
          <w:lang w:eastAsia="zh-CN"/>
        </w:rPr>
        <w:t>完成</w:t>
      </w:r>
      <w:r>
        <w:rPr>
          <w:rFonts w:hint="eastAsia" w:ascii="仿宋_GB2312" w:hAnsi="仿宋_GB2312" w:eastAsia="仿宋_GB2312" w:cs="仿宋_GB2312"/>
          <w:color w:val="auto"/>
          <w:spacing w:val="0"/>
          <w:w w:val="100"/>
          <w:sz w:val="32"/>
          <w:szCs w:val="32"/>
          <w:lang w:val="en-US" w:eastAsia="zh-CN"/>
        </w:rPr>
        <w:t>米贝集镇、新寨集镇和波洲集镇水厂水质提升工程，</w:t>
      </w:r>
      <w:r>
        <w:rPr>
          <w:rFonts w:hint="eastAsia" w:ascii="仿宋_GB2312" w:hAnsi="仿宋_GB2312" w:eastAsia="仿宋_GB2312" w:cs="仿宋_GB2312"/>
          <w:bCs/>
          <w:color w:val="auto"/>
          <w:spacing w:val="0"/>
          <w:w w:val="100"/>
          <w:sz w:val="32"/>
          <w:szCs w:val="32"/>
          <w:lang w:val="en"/>
        </w:rPr>
        <w:t>在水量、水质和自来水覆盖人口等保障方面进一步巩固提升</w:t>
      </w:r>
      <w:r>
        <w:rPr>
          <w:rFonts w:hint="eastAsia" w:ascii="仿宋_GB2312" w:hAnsi="仿宋_GB2312" w:eastAsia="仿宋_GB2312" w:cs="仿宋_GB2312"/>
          <w:bCs/>
          <w:color w:val="auto"/>
          <w:spacing w:val="0"/>
          <w:w w:val="100"/>
          <w:sz w:val="32"/>
          <w:szCs w:val="32"/>
          <w:lang w:val="en" w:eastAsia="zh-CN"/>
        </w:rPr>
        <w:t>。</w:t>
      </w:r>
      <w:r>
        <w:rPr>
          <w:rFonts w:hint="eastAsia" w:ascii="仿宋_GB2312" w:hAnsi="仿宋_GB2312" w:eastAsia="仿宋_GB2312" w:cs="仿宋_GB2312"/>
          <w:bCs/>
          <w:color w:val="auto"/>
          <w:spacing w:val="0"/>
          <w:w w:val="100"/>
          <w:sz w:val="32"/>
          <w:szCs w:val="32"/>
        </w:rPr>
        <w:t>同时，</w:t>
      </w:r>
      <w:r>
        <w:rPr>
          <w:rFonts w:hint="eastAsia" w:ascii="仿宋_GB2312" w:hAnsi="仿宋_GB2312" w:eastAsia="仿宋_GB2312" w:cs="仿宋_GB2312"/>
          <w:color w:val="auto"/>
          <w:spacing w:val="0"/>
          <w:w w:val="100"/>
          <w:sz w:val="32"/>
          <w:szCs w:val="32"/>
          <w:lang w:val="en"/>
        </w:rPr>
        <w:t>加强工程维修养护稳定供水保障</w:t>
      </w:r>
      <w:r>
        <w:rPr>
          <w:rFonts w:hint="eastAsia" w:ascii="仿宋_GB2312" w:hAnsi="仿宋_GB2312" w:eastAsia="仿宋_GB2312" w:cs="仿宋_GB2312"/>
          <w:color w:val="auto"/>
          <w:spacing w:val="0"/>
          <w:w w:val="100"/>
          <w:sz w:val="32"/>
          <w:szCs w:val="32"/>
          <w:highlight w:val="none"/>
          <w:lang w:val="en-US" w:eastAsia="zh-CN"/>
        </w:rPr>
        <w:t>，维修农村供水工程140余处。着眼农村供水“三化”，提升“两率”，推进了城市供水管网延伸，开展万人水厂的前期可研、立项并积极申报国债项目，针对农村供水管理维护、安全运行编制了《农村人饮安全工程运行管理条例草案》，为农村饮水安全保障提供立法支撑，同时开展农村供水县域统管规划编制，从实出发解决供水管理分散、凌乱、低效的问题，为农村供水提供管理体系保障。推动灌区建设，</w:t>
      </w:r>
      <w:r>
        <w:rPr>
          <w:rFonts w:hint="eastAsia" w:ascii="仿宋_GB2312" w:hAnsi="仿宋_GB2312" w:eastAsia="仿宋_GB2312" w:cs="仿宋_GB2312"/>
          <w:bCs/>
          <w:color w:val="auto"/>
          <w:spacing w:val="0"/>
          <w:w w:val="100"/>
          <w:sz w:val="32"/>
          <w:szCs w:val="32"/>
          <w:lang w:val="en-US" w:eastAsia="zh-CN"/>
        </w:rPr>
        <w:t>着力实施新晃县小型灌区建设项目和朝阳灌区团结渡槽工程。推动小型农业水利设施建设和管护，</w:t>
      </w:r>
      <w:r>
        <w:rPr>
          <w:rFonts w:hint="eastAsia" w:ascii="仿宋_GB2312" w:hAnsi="仿宋_GB2312" w:eastAsia="仿宋_GB2312" w:cs="仿宋_GB2312"/>
          <w:b w:val="0"/>
          <w:bCs w:val="0"/>
          <w:color w:val="auto"/>
          <w:spacing w:val="0"/>
          <w:w w:val="100"/>
          <w:sz w:val="32"/>
          <w:szCs w:val="32"/>
          <w:lang w:val="en-US" w:eastAsia="zh-CN"/>
        </w:rPr>
        <w:t>印发了《关于做好2024年小型农业水利设施建设和管护工作的通知》，将目标任务分解下达到镇村，并对奖补资金和施工标准进行了细化。</w:t>
      </w:r>
    </w:p>
    <w:p w14:paraId="73198643">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楷体_GB2312" w:hAnsi="楷体_GB2312" w:eastAsia="楷体_GB2312" w:cs="楷体_GB2312"/>
          <w:b/>
          <w:bCs/>
          <w:color w:val="auto"/>
          <w:spacing w:val="0"/>
          <w:w w:val="100"/>
          <w:kern w:val="0"/>
          <w:sz w:val="32"/>
          <w:szCs w:val="32"/>
          <w:highlight w:val="none"/>
          <w:lang w:val="en-US" w:eastAsia="zh-CN"/>
        </w:rPr>
        <w:t>4、</w:t>
      </w:r>
      <w:r>
        <w:rPr>
          <w:rFonts w:hint="eastAsia" w:ascii="楷体_GB2312" w:hAnsi="楷体_GB2312" w:eastAsia="楷体_GB2312" w:cs="楷体_GB2312"/>
          <w:b/>
          <w:bCs/>
          <w:color w:val="auto"/>
          <w:spacing w:val="0"/>
          <w:w w:val="100"/>
          <w:kern w:val="0"/>
          <w:sz w:val="32"/>
          <w:szCs w:val="32"/>
          <w:highlight w:val="none"/>
          <w:lang w:val="en" w:eastAsia="zh-CN"/>
        </w:rPr>
        <w:t>水利建设</w:t>
      </w:r>
      <w:r>
        <w:rPr>
          <w:rFonts w:hint="eastAsia" w:ascii="楷体_GB2312" w:hAnsi="楷体_GB2312" w:eastAsia="楷体_GB2312" w:cs="楷体_GB2312"/>
          <w:b/>
          <w:bCs/>
          <w:color w:val="auto"/>
          <w:spacing w:val="0"/>
          <w:w w:val="100"/>
          <w:kern w:val="0"/>
          <w:sz w:val="32"/>
          <w:szCs w:val="32"/>
          <w:highlight w:val="none"/>
          <w:lang w:val="en-US" w:eastAsia="zh-CN"/>
        </w:rPr>
        <w:t>工程加速推进。</w:t>
      </w:r>
      <w:r>
        <w:rPr>
          <w:rFonts w:hint="eastAsia" w:ascii="仿宋_GB2312" w:hAnsi="仿宋_GB2312" w:eastAsia="仿宋_GB2312" w:cs="仿宋_GB2312"/>
          <w:b w:val="0"/>
          <w:bCs w:val="0"/>
          <w:color w:val="auto"/>
          <w:spacing w:val="0"/>
          <w:w w:val="100"/>
          <w:sz w:val="32"/>
          <w:szCs w:val="32"/>
          <w:highlight w:val="none"/>
        </w:rPr>
        <w:t>202</w:t>
      </w:r>
      <w:r>
        <w:rPr>
          <w:rFonts w:hint="eastAsia" w:ascii="仿宋_GB2312" w:hAnsi="仿宋_GB2312" w:eastAsia="仿宋_GB2312" w:cs="仿宋_GB2312"/>
          <w:b w:val="0"/>
          <w:bCs w:val="0"/>
          <w:color w:val="auto"/>
          <w:spacing w:val="0"/>
          <w:w w:val="100"/>
          <w:sz w:val="32"/>
          <w:szCs w:val="32"/>
          <w:highlight w:val="none"/>
          <w:lang w:val="en-US" w:eastAsia="zh-CN"/>
        </w:rPr>
        <w:t>4</w:t>
      </w:r>
      <w:r>
        <w:rPr>
          <w:rFonts w:hint="eastAsia" w:ascii="仿宋_GB2312" w:hAnsi="仿宋_GB2312" w:eastAsia="仿宋_GB2312" w:cs="仿宋_GB2312"/>
          <w:b w:val="0"/>
          <w:bCs w:val="0"/>
          <w:color w:val="auto"/>
          <w:spacing w:val="0"/>
          <w:w w:val="100"/>
          <w:sz w:val="32"/>
          <w:szCs w:val="32"/>
          <w:highlight w:val="none"/>
        </w:rPr>
        <w:t>年，我局</w:t>
      </w:r>
      <w:r>
        <w:rPr>
          <w:rFonts w:hint="eastAsia" w:ascii="仿宋_GB2312" w:hAnsi="仿宋_GB2312" w:eastAsia="仿宋_GB2312" w:cs="仿宋_GB2312"/>
          <w:b w:val="0"/>
          <w:bCs w:val="0"/>
          <w:color w:val="auto"/>
          <w:spacing w:val="0"/>
          <w:w w:val="100"/>
          <w:sz w:val="32"/>
          <w:szCs w:val="32"/>
          <w:highlight w:val="none"/>
          <w:lang w:eastAsia="zh-CN"/>
        </w:rPr>
        <w:t>在建和拟实施</w:t>
      </w:r>
      <w:r>
        <w:rPr>
          <w:rFonts w:hint="eastAsia" w:ascii="仿宋_GB2312" w:hAnsi="仿宋_GB2312" w:eastAsia="仿宋_GB2312" w:cs="仿宋_GB2312"/>
          <w:b w:val="0"/>
          <w:bCs w:val="0"/>
          <w:color w:val="auto"/>
          <w:spacing w:val="0"/>
          <w:w w:val="100"/>
          <w:sz w:val="32"/>
          <w:szCs w:val="32"/>
          <w:highlight w:val="none"/>
        </w:rPr>
        <w:t>重点建设项目共有</w:t>
      </w:r>
      <w:r>
        <w:rPr>
          <w:rFonts w:hint="eastAsia" w:ascii="仿宋_GB2312" w:hAnsi="仿宋_GB2312" w:eastAsia="仿宋_GB2312" w:cs="仿宋_GB2312"/>
          <w:b w:val="0"/>
          <w:bCs w:val="0"/>
          <w:color w:val="auto"/>
          <w:spacing w:val="0"/>
          <w:w w:val="100"/>
          <w:sz w:val="32"/>
          <w:szCs w:val="32"/>
          <w:highlight w:val="none"/>
          <w:lang w:eastAsia="zh-CN"/>
        </w:rPr>
        <w:t>十一</w:t>
      </w:r>
      <w:r>
        <w:rPr>
          <w:rFonts w:hint="eastAsia" w:ascii="仿宋_GB2312" w:hAnsi="仿宋_GB2312" w:eastAsia="仿宋_GB2312" w:cs="仿宋_GB2312"/>
          <w:b w:val="0"/>
          <w:bCs w:val="0"/>
          <w:color w:val="auto"/>
          <w:spacing w:val="0"/>
          <w:w w:val="100"/>
          <w:sz w:val="32"/>
          <w:szCs w:val="32"/>
          <w:highlight w:val="none"/>
        </w:rPr>
        <w:t>项</w:t>
      </w:r>
      <w:r>
        <w:rPr>
          <w:rFonts w:hint="eastAsia" w:ascii="仿宋_GB2312" w:hAnsi="仿宋_GB2312" w:eastAsia="仿宋_GB2312" w:cs="仿宋_GB2312"/>
          <w:b w:val="0"/>
          <w:bCs w:val="0"/>
          <w:color w:val="auto"/>
          <w:spacing w:val="0"/>
          <w:w w:val="100"/>
          <w:sz w:val="32"/>
          <w:szCs w:val="32"/>
          <w:highlight w:val="none"/>
          <w:lang w:eastAsia="zh-CN"/>
        </w:rPr>
        <w:t>，其中增发国债水利建设项目</w:t>
      </w:r>
      <w:r>
        <w:rPr>
          <w:rFonts w:hint="eastAsia" w:ascii="仿宋_GB2312" w:hAnsi="仿宋_GB2312" w:eastAsia="仿宋_GB2312" w:cs="仿宋_GB2312"/>
          <w:b w:val="0"/>
          <w:bCs w:val="0"/>
          <w:color w:val="auto"/>
          <w:spacing w:val="0"/>
          <w:w w:val="100"/>
          <w:sz w:val="32"/>
          <w:szCs w:val="32"/>
          <w:highlight w:val="none"/>
          <w:lang w:val="en-US" w:eastAsia="zh-CN"/>
        </w:rPr>
        <w:t>6个。目前增发国债项目：</w:t>
      </w:r>
      <w:r>
        <w:rPr>
          <w:rFonts w:hint="eastAsia" w:ascii="仿宋_GB2312" w:hAnsi="仿宋_GB2312" w:eastAsia="仿宋_GB2312" w:cs="仿宋_GB2312"/>
          <w:b w:val="0"/>
          <w:bCs w:val="0"/>
          <w:color w:val="auto"/>
          <w:spacing w:val="0"/>
          <w:w w:val="100"/>
          <w:sz w:val="32"/>
          <w:szCs w:val="32"/>
          <w:highlight w:val="none"/>
        </w:rPr>
        <w:t>新晃县建新水闸除险加固工程已完成施工场地平整、进场道路修筑、施工围堰、闸体基础开挖及混凝土</w:t>
      </w:r>
      <w:r>
        <w:rPr>
          <w:rFonts w:hint="eastAsia" w:ascii="仿宋_GB2312" w:hAnsi="仿宋_GB2312" w:eastAsia="仿宋_GB2312" w:cs="仿宋_GB2312"/>
          <w:b w:val="0"/>
          <w:bCs w:val="0"/>
          <w:color w:val="auto"/>
          <w:spacing w:val="0"/>
          <w:w w:val="100"/>
          <w:sz w:val="32"/>
          <w:szCs w:val="32"/>
          <w:highlight w:val="none"/>
          <w:lang w:eastAsia="zh-CN"/>
        </w:rPr>
        <w:t>浇筑等，以及金属结构设备采购，完成整体形象进度约</w:t>
      </w:r>
      <w:r>
        <w:rPr>
          <w:rFonts w:hint="eastAsia" w:ascii="仿宋_GB2312" w:hAnsi="仿宋_GB2312" w:eastAsia="仿宋_GB2312" w:cs="仿宋_GB2312"/>
          <w:b w:val="0"/>
          <w:bCs w:val="0"/>
          <w:color w:val="auto"/>
          <w:spacing w:val="0"/>
          <w:w w:val="100"/>
          <w:sz w:val="32"/>
          <w:szCs w:val="32"/>
          <w:highlight w:val="none"/>
          <w:lang w:val="en-US" w:eastAsia="zh-CN"/>
        </w:rPr>
        <w:t>6</w:t>
      </w:r>
      <w:r>
        <w:rPr>
          <w:rFonts w:hint="eastAsia" w:ascii="仿宋_GB2312" w:hAnsi="仿宋_GB2312" w:eastAsia="仿宋_GB2312" w:cs="仿宋_GB2312"/>
          <w:b w:val="0"/>
          <w:bCs w:val="0"/>
          <w:color w:val="auto"/>
          <w:spacing w:val="0"/>
          <w:w w:val="100"/>
          <w:sz w:val="32"/>
          <w:szCs w:val="32"/>
          <w:highlight w:val="none"/>
          <w:lang w:eastAsia="zh-CN"/>
        </w:rPr>
        <w:t>3%；湖南省碧涌溪新晃县治理工程，已完成富</w:t>
      </w:r>
      <w:r>
        <w:rPr>
          <w:rFonts w:hint="eastAsia" w:ascii="仿宋_GB2312" w:hAnsi="仿宋_GB2312" w:eastAsia="仿宋_GB2312" w:cs="仿宋_GB2312"/>
          <w:b w:val="0"/>
          <w:bCs w:val="0"/>
          <w:color w:val="auto"/>
          <w:spacing w:val="0"/>
          <w:w w:val="100"/>
          <w:sz w:val="32"/>
          <w:szCs w:val="32"/>
          <w:highlight w:val="none"/>
        </w:rPr>
        <w:t>家冲段、中寨段、大寨段、半江段、练溪段施工场地平整、进场道路填筑以及护岸基础开挖及河堤砌筑，完成整体形象进度约</w:t>
      </w:r>
      <w:r>
        <w:rPr>
          <w:rFonts w:hint="eastAsia" w:ascii="仿宋_GB2312" w:hAnsi="仿宋_GB2312" w:eastAsia="仿宋_GB2312" w:cs="仿宋_GB2312"/>
          <w:b w:val="0"/>
          <w:bCs w:val="0"/>
          <w:color w:val="auto"/>
          <w:spacing w:val="0"/>
          <w:w w:val="100"/>
          <w:sz w:val="32"/>
          <w:szCs w:val="32"/>
          <w:highlight w:val="none"/>
          <w:lang w:val="en-US" w:eastAsia="zh-CN"/>
        </w:rPr>
        <w:t>71</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新晃县小型灌区建设项目</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完成整体形象进度约56%</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新晃县朝阳水库除险加固工程</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已完成坝肩帷幕灌浆、施工便道填筑、溢洪道边坡修整、排水棱体维修等，完成整体形象进度约7</w:t>
      </w:r>
      <w:r>
        <w:rPr>
          <w:rFonts w:hint="eastAsia" w:ascii="仿宋_GB2312" w:hAnsi="仿宋_GB2312" w:eastAsia="仿宋_GB2312" w:cs="仿宋_GB2312"/>
          <w:b w:val="0"/>
          <w:bCs w:val="0"/>
          <w:color w:val="auto"/>
          <w:spacing w:val="0"/>
          <w:w w:val="100"/>
          <w:sz w:val="32"/>
          <w:szCs w:val="32"/>
          <w:highlight w:val="none"/>
          <w:lang w:val="en-US" w:eastAsia="zh-CN"/>
        </w:rPr>
        <w:t>3</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小型水库除险加固项目</w:t>
      </w:r>
      <w:r>
        <w:rPr>
          <w:rFonts w:hint="eastAsia" w:ascii="仿宋_GB2312" w:hAnsi="仿宋_GB2312" w:eastAsia="仿宋_GB2312" w:cs="仿宋_GB2312"/>
          <w:b w:val="0"/>
          <w:bCs w:val="0"/>
          <w:color w:val="auto"/>
          <w:spacing w:val="0"/>
          <w:w w:val="100"/>
          <w:sz w:val="32"/>
          <w:szCs w:val="32"/>
          <w:highlight w:val="none"/>
          <w:lang w:eastAsia="zh-CN"/>
        </w:rPr>
        <w:t>，除磨刀、新桥水库外，其余项目主体已完工</w:t>
      </w:r>
      <w:r>
        <w:rPr>
          <w:rFonts w:hint="eastAsia" w:ascii="仿宋_GB2312" w:hAnsi="仿宋_GB2312" w:eastAsia="仿宋_GB2312" w:cs="仿宋_GB2312"/>
          <w:b w:val="0"/>
          <w:bCs w:val="0"/>
          <w:color w:val="auto"/>
          <w:spacing w:val="0"/>
          <w:w w:val="100"/>
          <w:sz w:val="32"/>
          <w:szCs w:val="32"/>
          <w:highlight w:val="none"/>
        </w:rPr>
        <w:t>，完成整体形象进度约</w:t>
      </w:r>
      <w:r>
        <w:rPr>
          <w:rFonts w:hint="eastAsia" w:ascii="仿宋_GB2312" w:hAnsi="仿宋_GB2312" w:eastAsia="仿宋_GB2312" w:cs="仿宋_GB2312"/>
          <w:b w:val="0"/>
          <w:bCs w:val="0"/>
          <w:color w:val="auto"/>
          <w:spacing w:val="0"/>
          <w:w w:val="100"/>
          <w:sz w:val="32"/>
          <w:szCs w:val="32"/>
          <w:highlight w:val="none"/>
          <w:lang w:val="en-US" w:eastAsia="zh-CN"/>
        </w:rPr>
        <w:t>85</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，预计</w:t>
      </w:r>
      <w:r>
        <w:rPr>
          <w:rFonts w:hint="eastAsia" w:ascii="仿宋_GB2312" w:hAnsi="仿宋_GB2312" w:eastAsia="仿宋_GB2312" w:cs="仿宋_GB2312"/>
          <w:b w:val="0"/>
          <w:bCs w:val="0"/>
          <w:color w:val="auto"/>
          <w:spacing w:val="0"/>
          <w:w w:val="100"/>
          <w:sz w:val="32"/>
          <w:szCs w:val="32"/>
          <w:highlight w:val="none"/>
          <w:lang w:val="en-US" w:eastAsia="zh-CN"/>
        </w:rPr>
        <w:t>12月底主体工程可完工</w:t>
      </w:r>
      <w:r>
        <w:rPr>
          <w:rFonts w:hint="eastAsia" w:ascii="仿宋_GB2312" w:hAnsi="仿宋_GB2312" w:eastAsia="仿宋_GB2312" w:cs="仿宋_GB2312"/>
          <w:b w:val="0"/>
          <w:bCs w:val="0"/>
          <w:color w:val="auto"/>
          <w:spacing w:val="0"/>
          <w:w w:val="100"/>
          <w:sz w:val="32"/>
          <w:szCs w:val="32"/>
          <w:highlight w:val="none"/>
        </w:rPr>
        <w:t>。新晃县小型水库安全监测设施建设项目</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已完成雨水情设备采购及设备组装，完成整体形象进度约9</w:t>
      </w:r>
      <w:r>
        <w:rPr>
          <w:rFonts w:hint="eastAsia" w:ascii="仿宋_GB2312" w:hAnsi="仿宋_GB2312" w:eastAsia="仿宋_GB2312" w:cs="仿宋_GB2312"/>
          <w:b w:val="0"/>
          <w:bCs w:val="0"/>
          <w:color w:val="auto"/>
          <w:spacing w:val="0"/>
          <w:w w:val="100"/>
          <w:sz w:val="32"/>
          <w:szCs w:val="32"/>
          <w:highlight w:val="none"/>
          <w:lang w:val="en-US" w:eastAsia="zh-CN"/>
        </w:rPr>
        <w:t>8</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，预计本月中旬全部完工。</w:t>
      </w:r>
    </w:p>
    <w:p w14:paraId="1C55357A">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楷体_GB2312" w:hAnsi="楷体_GB2312" w:eastAsia="楷体_GB2312" w:cs="楷体_GB2312"/>
          <w:b/>
          <w:bCs/>
          <w:color w:val="auto"/>
          <w:spacing w:val="0"/>
          <w:w w:val="100"/>
          <w:kern w:val="0"/>
          <w:sz w:val="32"/>
          <w:szCs w:val="32"/>
          <w:highlight w:val="none"/>
          <w:lang w:val="en-US" w:eastAsia="zh-CN"/>
        </w:rPr>
        <w:t>5、</w:t>
      </w:r>
      <w:r>
        <w:rPr>
          <w:rFonts w:hint="eastAsia" w:ascii="楷体_GB2312" w:hAnsi="楷体_GB2312" w:eastAsia="楷体_GB2312" w:cs="楷体_GB2312"/>
          <w:b/>
          <w:bCs/>
          <w:color w:val="auto"/>
          <w:spacing w:val="0"/>
          <w:w w:val="100"/>
          <w:kern w:val="0"/>
          <w:sz w:val="32"/>
          <w:szCs w:val="32"/>
          <w:highlight w:val="none"/>
          <w:lang w:val="en" w:eastAsia="zh-CN"/>
        </w:rPr>
        <w:t>生态水利建设成效明显。</w:t>
      </w:r>
      <w:r>
        <w:rPr>
          <w:rFonts w:hint="eastAsia" w:ascii="仿宋_GB2312" w:hAnsi="仿宋_GB2312" w:eastAsia="仿宋_GB2312" w:cs="仿宋_GB2312"/>
          <w:color w:val="auto"/>
          <w:spacing w:val="0"/>
          <w:w w:val="100"/>
          <w:sz w:val="32"/>
          <w:szCs w:val="32"/>
        </w:rPr>
        <w:t>进一步强化河长巡河履职规范</w:t>
      </w:r>
      <w:r>
        <w:rPr>
          <w:rFonts w:hint="eastAsia" w:ascii="仿宋_GB2312" w:hAnsi="仿宋_GB2312" w:eastAsia="仿宋_GB2312" w:cs="仿宋_GB2312"/>
          <w:color w:val="auto"/>
          <w:spacing w:val="0"/>
          <w:w w:val="100"/>
          <w:sz w:val="32"/>
          <w:szCs w:val="32"/>
          <w:lang w:eastAsia="zh-CN"/>
        </w:rPr>
        <w:t>，</w:t>
      </w:r>
      <w:r>
        <w:rPr>
          <w:rFonts w:hint="eastAsia" w:ascii="仿宋_GB2312" w:hAnsi="仿宋_GB2312" w:eastAsia="仿宋_GB2312" w:cs="仿宋_GB2312"/>
          <w:color w:val="auto"/>
          <w:spacing w:val="0"/>
          <w:w w:val="100"/>
          <w:sz w:val="32"/>
          <w:szCs w:val="32"/>
        </w:rPr>
        <w:t>县级河长</w:t>
      </w:r>
      <w:r>
        <w:rPr>
          <w:rFonts w:hint="eastAsia" w:ascii="仿宋_GB2312" w:hAnsi="仿宋_GB2312" w:eastAsia="仿宋_GB2312" w:cs="仿宋_GB2312"/>
          <w:color w:val="auto"/>
          <w:spacing w:val="0"/>
          <w:w w:val="100"/>
          <w:sz w:val="32"/>
          <w:szCs w:val="32"/>
          <w:lang w:val="en-US" w:eastAsia="zh-CN"/>
        </w:rPr>
        <w:t>带头开展</w:t>
      </w:r>
      <w:r>
        <w:rPr>
          <w:rFonts w:hint="eastAsia" w:ascii="仿宋_GB2312" w:hAnsi="仿宋_GB2312" w:eastAsia="仿宋_GB2312" w:cs="仿宋_GB2312"/>
          <w:color w:val="auto"/>
          <w:spacing w:val="0"/>
          <w:w w:val="100"/>
          <w:sz w:val="32"/>
          <w:szCs w:val="32"/>
        </w:rPr>
        <w:t>巡河</w:t>
      </w:r>
      <w:r>
        <w:rPr>
          <w:rFonts w:hint="eastAsia" w:ascii="仿宋_GB2312" w:hAnsi="仿宋_GB2312" w:eastAsia="仿宋_GB2312" w:cs="仿宋_GB2312"/>
          <w:color w:val="auto"/>
          <w:spacing w:val="0"/>
          <w:w w:val="100"/>
          <w:sz w:val="32"/>
          <w:szCs w:val="32"/>
          <w:lang w:val="en-US" w:eastAsia="zh-CN"/>
        </w:rPr>
        <w:t>60</w:t>
      </w:r>
      <w:r>
        <w:rPr>
          <w:rFonts w:hint="eastAsia" w:ascii="仿宋_GB2312" w:hAnsi="仿宋_GB2312" w:eastAsia="仿宋_GB2312" w:cs="仿宋_GB2312"/>
          <w:color w:val="auto"/>
          <w:spacing w:val="0"/>
          <w:w w:val="100"/>
          <w:sz w:val="32"/>
          <w:szCs w:val="32"/>
        </w:rPr>
        <w:t>人次</w:t>
      </w:r>
      <w:r>
        <w:rPr>
          <w:rFonts w:hint="eastAsia" w:ascii="仿宋_GB2312" w:hAnsi="仿宋_GB2312" w:eastAsia="仿宋_GB2312" w:cs="仿宋_GB2312"/>
          <w:color w:val="auto"/>
          <w:spacing w:val="0"/>
          <w:w w:val="100"/>
          <w:sz w:val="32"/>
          <w:szCs w:val="32"/>
          <w:lang w:eastAsia="zh-CN"/>
        </w:rPr>
        <w:t>，</w:t>
      </w:r>
      <w:r>
        <w:rPr>
          <w:rFonts w:hint="eastAsia" w:ascii="仿宋_GB2312" w:hAnsi="仿宋_GB2312" w:eastAsia="仿宋_GB2312" w:cs="仿宋_GB2312"/>
          <w:color w:val="auto"/>
          <w:spacing w:val="0"/>
          <w:w w:val="100"/>
          <w:sz w:val="32"/>
          <w:szCs w:val="32"/>
          <w:lang w:val="en-US" w:eastAsia="zh-CN"/>
        </w:rPr>
        <w:t>建立巡河问题清单，实行派单整改机制，持续整治河湖突出问题，先后</w:t>
      </w:r>
      <w:r>
        <w:rPr>
          <w:rFonts w:hint="eastAsia" w:ascii="仿宋_GB2312" w:hAnsi="仿宋_GB2312" w:eastAsia="仿宋_GB2312" w:cs="仿宋_GB2312"/>
          <w:color w:val="auto"/>
          <w:spacing w:val="0"/>
          <w:w w:val="100"/>
          <w:sz w:val="32"/>
          <w:szCs w:val="32"/>
        </w:rPr>
        <w:t>组织开展</w:t>
      </w:r>
      <w:r>
        <w:rPr>
          <w:rFonts w:hint="eastAsia" w:ascii="仿宋_GB2312" w:hAnsi="仿宋_GB2312" w:eastAsia="仿宋_GB2312" w:cs="仿宋_GB2312"/>
          <w:color w:val="auto"/>
          <w:spacing w:val="0"/>
          <w:w w:val="100"/>
          <w:sz w:val="32"/>
          <w:szCs w:val="32"/>
          <w:lang w:eastAsia="zh-CN"/>
        </w:rPr>
        <w:t>水土保持巡查</w:t>
      </w:r>
      <w:r>
        <w:rPr>
          <w:rFonts w:hint="eastAsia" w:ascii="仿宋_GB2312" w:hAnsi="仿宋_GB2312" w:eastAsia="仿宋_GB2312" w:cs="仿宋_GB2312"/>
          <w:color w:val="auto"/>
          <w:spacing w:val="0"/>
          <w:w w:val="100"/>
          <w:sz w:val="32"/>
          <w:szCs w:val="32"/>
          <w:lang w:val="en-US" w:eastAsia="zh-CN"/>
        </w:rPr>
        <w:t>38次，受理水土保持行政审批30个，完成省级交办整改销号1个，市河总会议交办整改销号2个，全县日常巡查交办问题整改13个，暗访交办问题整改30个，完成快递推送图斑核查11个、销号11个，水利部推送疑似图斑43个已全部完成整改销号。同时，</w:t>
      </w:r>
      <w:r>
        <w:rPr>
          <w:rFonts w:hint="eastAsia" w:ascii="仿宋_GB2312" w:hAnsi="仿宋_GB2312" w:eastAsia="仿宋_GB2312" w:cs="仿宋_GB2312"/>
          <w:color w:val="auto"/>
          <w:spacing w:val="0"/>
          <w:w w:val="100"/>
          <w:sz w:val="32"/>
          <w:szCs w:val="32"/>
          <w:lang w:eastAsia="zh-CN"/>
        </w:rPr>
        <w:t>开展“保护母亲河”河小青活动</w:t>
      </w:r>
      <w:r>
        <w:rPr>
          <w:rFonts w:hint="eastAsia" w:ascii="仿宋_GB2312" w:hAnsi="仿宋_GB2312" w:eastAsia="仿宋_GB2312" w:cs="仿宋_GB2312"/>
          <w:color w:val="auto"/>
          <w:spacing w:val="0"/>
          <w:w w:val="100"/>
          <w:sz w:val="32"/>
          <w:szCs w:val="32"/>
          <w:lang w:val="en-US" w:eastAsia="zh-CN"/>
        </w:rPr>
        <w:t>30余次，</w:t>
      </w:r>
      <w:r>
        <w:rPr>
          <w:rFonts w:hint="eastAsia" w:ascii="仿宋_GB2312" w:hAnsi="仿宋_GB2312" w:eastAsia="仿宋_GB2312" w:cs="仿宋_GB2312"/>
          <w:color w:val="auto"/>
          <w:spacing w:val="0"/>
          <w:w w:val="100"/>
          <w:sz w:val="32"/>
          <w:szCs w:val="32"/>
          <w:lang w:eastAsia="zh-CN"/>
        </w:rPr>
        <w:t>在全县各乡镇（村）范围内开展专项清理行动</w:t>
      </w:r>
      <w:r>
        <w:rPr>
          <w:rFonts w:hint="eastAsia" w:ascii="仿宋_GB2312" w:hAnsi="仿宋_GB2312" w:eastAsia="仿宋_GB2312" w:cs="仿宋_GB2312"/>
          <w:color w:val="auto"/>
          <w:spacing w:val="0"/>
          <w:w w:val="100"/>
          <w:sz w:val="32"/>
          <w:szCs w:val="32"/>
          <w:lang w:val="en-US" w:eastAsia="zh-CN"/>
        </w:rPr>
        <w:t>73次，参与行动1976人次，清理水域岸线垃圾36.3吨，</w:t>
      </w:r>
      <w:r>
        <w:rPr>
          <w:rFonts w:hint="eastAsia" w:ascii="仿宋_GB2312" w:hAnsi="仿宋_GB2312" w:eastAsia="仿宋_GB2312" w:cs="仿宋_GB2312"/>
          <w:color w:val="auto"/>
          <w:spacing w:val="0"/>
          <w:w w:val="100"/>
          <w:kern w:val="2"/>
          <w:sz w:val="32"/>
          <w:szCs w:val="32"/>
          <w:vertAlign w:val="baseline"/>
          <w:lang w:val="en-US" w:eastAsia="zh-CN" w:bidi="ar"/>
        </w:rPr>
        <w:t>开展执法检查40余次，下达水事责任改正违法通知书6次，整改5起，立案1起，罚没款2000元。</w:t>
      </w:r>
    </w:p>
    <w:p w14:paraId="45596C30">
      <w:pPr>
        <w:keepNext w:val="0"/>
        <w:keepLines w:val="0"/>
        <w:pageBreakBefore w:val="0"/>
        <w:wordWrap/>
        <w:overflowPunct/>
        <w:topLinePunct w:val="0"/>
        <w:bidi w:val="0"/>
        <w:spacing w:line="580" w:lineRule="exact"/>
        <w:ind w:firstLine="707" w:firstLineChars="220"/>
        <w:rPr>
          <w:rFonts w:hint="eastAsia" w:ascii="仿宋_GB2312" w:hAnsi="仿宋_GB2312" w:eastAsia="仿宋_GB2312" w:cs="仿宋_GB2312"/>
          <w:b w:val="0"/>
          <w:bCs w:val="0"/>
          <w:color w:val="auto"/>
          <w:spacing w:val="0"/>
          <w:w w:val="100"/>
          <w:kern w:val="0"/>
          <w:sz w:val="32"/>
          <w:szCs w:val="32"/>
          <w:highlight w:val="none"/>
          <w:lang w:val="en-US" w:eastAsia="zh-CN" w:bidi="ar"/>
        </w:rPr>
      </w:pPr>
      <w:r>
        <w:rPr>
          <w:rFonts w:hint="eastAsia" w:ascii="楷体_GB2312" w:hAnsi="楷体_GB2312" w:eastAsia="楷体_GB2312" w:cs="楷体_GB2312"/>
          <w:b/>
          <w:bCs/>
          <w:color w:val="auto"/>
          <w:spacing w:val="0"/>
          <w:w w:val="100"/>
          <w:kern w:val="0"/>
          <w:sz w:val="32"/>
          <w:szCs w:val="32"/>
          <w:highlight w:val="none"/>
          <w:lang w:val="en-US" w:eastAsia="zh-CN"/>
        </w:rPr>
        <w:t>6、行业安全监管有新进展</w:t>
      </w:r>
      <w:r>
        <w:rPr>
          <w:rFonts w:hint="eastAsia" w:ascii="楷体_GB2312" w:hAnsi="楷体_GB2312" w:eastAsia="楷体_GB2312" w:cs="楷体_GB2312"/>
          <w:b/>
          <w:bCs/>
          <w:color w:val="auto"/>
          <w:spacing w:val="0"/>
          <w:w w:val="100"/>
          <w:kern w:val="0"/>
          <w:sz w:val="32"/>
          <w:szCs w:val="32"/>
          <w:highlight w:val="none"/>
          <w:lang w:val="en" w:eastAsia="zh-CN"/>
        </w:rPr>
        <w:t>。</w:t>
      </w:r>
      <w:r>
        <w:rPr>
          <w:rFonts w:hint="eastAsia" w:ascii="仿宋_GB2312" w:hAnsi="仿宋_GB2312" w:eastAsia="仿宋_GB2312" w:cs="仿宋_GB2312"/>
          <w:b/>
          <w:bCs/>
          <w:color w:val="auto"/>
          <w:spacing w:val="0"/>
          <w:w w:val="100"/>
          <w:kern w:val="2"/>
          <w:sz w:val="32"/>
          <w:szCs w:val="32"/>
          <w:highlight w:val="none"/>
          <w:lang w:eastAsia="zh-CN"/>
        </w:rPr>
        <w:t>一是</w:t>
      </w:r>
      <w:r>
        <w:rPr>
          <w:rFonts w:hint="eastAsia" w:ascii="仿宋_GB2312" w:hAnsi="仿宋_GB2312" w:eastAsia="仿宋_GB2312" w:cs="仿宋_GB2312"/>
          <w:color w:val="auto"/>
          <w:spacing w:val="0"/>
          <w:w w:val="100"/>
          <w:kern w:val="2"/>
          <w:sz w:val="32"/>
          <w:szCs w:val="32"/>
          <w:highlight w:val="none"/>
          <w:lang w:eastAsia="zh-CN"/>
        </w:rPr>
        <w:t>落实安全生产责任制。</w:t>
      </w:r>
      <w:r>
        <w:rPr>
          <w:rFonts w:hint="eastAsia" w:ascii="仿宋_GB2312" w:hAnsi="仿宋_GB2312" w:eastAsia="仿宋_GB2312" w:cs="仿宋_GB2312"/>
          <w:b w:val="0"/>
          <w:bCs w:val="0"/>
          <w:color w:val="auto"/>
          <w:spacing w:val="0"/>
          <w:w w:val="100"/>
          <w:kern w:val="2"/>
          <w:sz w:val="32"/>
          <w:szCs w:val="32"/>
          <w:highlight w:val="none"/>
          <w:lang w:eastAsia="zh-CN"/>
        </w:rPr>
        <w:t>制定了</w:t>
      </w:r>
      <w:r>
        <w:rPr>
          <w:rFonts w:hint="eastAsia" w:ascii="仿宋_GB2312" w:hAnsi="仿宋_GB2312" w:eastAsia="仿宋_GB2312" w:cs="仿宋_GB2312"/>
          <w:b w:val="0"/>
          <w:bCs w:val="0"/>
          <w:color w:val="auto"/>
          <w:spacing w:val="0"/>
          <w:w w:val="100"/>
          <w:kern w:val="2"/>
          <w:sz w:val="32"/>
          <w:szCs w:val="32"/>
          <w:highlight w:val="none"/>
          <w:lang w:val="en-US" w:eastAsia="zh-CN"/>
        </w:rPr>
        <w:t>2024水利安全生产工作要点以及2024年度安全监督检查计划，严格落实领导带队安全检查。</w:t>
      </w:r>
      <w:r>
        <w:rPr>
          <w:rFonts w:hint="eastAsia" w:ascii="仿宋_GB2312" w:hAnsi="仿宋_GB2312" w:eastAsia="仿宋_GB2312" w:cs="仿宋_GB2312"/>
          <w:b/>
          <w:bCs/>
          <w:color w:val="auto"/>
          <w:spacing w:val="0"/>
          <w:w w:val="100"/>
          <w:kern w:val="2"/>
          <w:sz w:val="32"/>
          <w:szCs w:val="32"/>
          <w:highlight w:val="none"/>
          <w:lang w:val="en-US" w:eastAsia="zh-CN"/>
        </w:rPr>
        <w:t>二是强化安全监管工作措施。</w:t>
      </w:r>
      <w:r>
        <w:rPr>
          <w:rFonts w:hint="eastAsia" w:ascii="仿宋_GB2312" w:hAnsi="仿宋_GB2312" w:eastAsia="仿宋_GB2312" w:cs="仿宋_GB2312"/>
          <w:b w:val="0"/>
          <w:bCs w:val="0"/>
          <w:color w:val="auto"/>
          <w:spacing w:val="0"/>
          <w:w w:val="100"/>
          <w:sz w:val="32"/>
          <w:szCs w:val="32"/>
          <w:highlight w:val="none"/>
        </w:rPr>
        <w:t>组织开展水利工程项目复工复产安全生产工作</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推进向企业派驻安全监督员工作机制</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加强</w:t>
      </w:r>
      <w:r>
        <w:rPr>
          <w:rFonts w:hint="eastAsia" w:ascii="仿宋_GB2312" w:hAnsi="仿宋_GB2312" w:eastAsia="仿宋_GB2312" w:cs="仿宋_GB2312"/>
          <w:b w:val="0"/>
          <w:bCs w:val="0"/>
          <w:color w:val="auto"/>
          <w:spacing w:val="0"/>
          <w:w w:val="100"/>
          <w:sz w:val="32"/>
          <w:szCs w:val="32"/>
          <w:highlight w:val="none"/>
          <w:lang w:val="en-US" w:eastAsia="zh-CN"/>
        </w:rPr>
        <w:t>对在建工程、发电企业的</w:t>
      </w:r>
      <w:r>
        <w:rPr>
          <w:rFonts w:hint="eastAsia" w:ascii="仿宋_GB2312" w:hAnsi="仿宋_GB2312" w:eastAsia="仿宋_GB2312" w:cs="仿宋_GB2312"/>
          <w:b w:val="0"/>
          <w:bCs w:val="0"/>
          <w:color w:val="auto"/>
          <w:spacing w:val="0"/>
          <w:w w:val="100"/>
          <w:sz w:val="32"/>
          <w:szCs w:val="32"/>
          <w:highlight w:val="none"/>
        </w:rPr>
        <w:t>监管执法</w:t>
      </w:r>
      <w:r>
        <w:rPr>
          <w:rFonts w:hint="eastAsia" w:ascii="仿宋_GB2312" w:hAnsi="仿宋_GB2312" w:eastAsia="仿宋_GB2312" w:cs="仿宋_GB2312"/>
          <w:b w:val="0"/>
          <w:bCs w:val="0"/>
          <w:color w:val="auto"/>
          <w:spacing w:val="0"/>
          <w:w w:val="100"/>
          <w:sz w:val="32"/>
          <w:szCs w:val="32"/>
          <w:highlight w:val="none"/>
          <w:lang w:val="en-US" w:eastAsia="zh-CN"/>
        </w:rPr>
        <w:t>和</w:t>
      </w:r>
      <w:r>
        <w:rPr>
          <w:rFonts w:hint="eastAsia" w:ascii="仿宋_GB2312" w:hAnsi="仿宋_GB2312" w:eastAsia="仿宋_GB2312" w:cs="仿宋_GB2312"/>
          <w:b w:val="0"/>
          <w:bCs w:val="0"/>
          <w:color w:val="auto"/>
          <w:spacing w:val="0"/>
          <w:w w:val="100"/>
          <w:sz w:val="32"/>
          <w:szCs w:val="32"/>
          <w:highlight w:val="none"/>
        </w:rPr>
        <w:t>落实安全隐患治理</w:t>
      </w:r>
      <w:r>
        <w:rPr>
          <w:rFonts w:hint="eastAsia" w:ascii="仿宋_GB2312" w:hAnsi="仿宋_GB2312" w:eastAsia="仿宋_GB2312" w:cs="仿宋_GB2312"/>
          <w:b w:val="0"/>
          <w:bCs w:val="0"/>
          <w:color w:val="auto"/>
          <w:spacing w:val="0"/>
          <w:w w:val="100"/>
          <w:sz w:val="32"/>
          <w:szCs w:val="32"/>
          <w:highlight w:val="none"/>
          <w:lang w:eastAsia="zh-CN"/>
        </w:rPr>
        <w:t>等。</w:t>
      </w:r>
      <w:r>
        <w:rPr>
          <w:rFonts w:hint="eastAsia" w:ascii="仿宋_GB2312" w:hAnsi="仿宋_GB2312" w:eastAsia="仿宋_GB2312" w:cs="仿宋_GB2312"/>
          <w:color w:val="auto"/>
          <w:spacing w:val="0"/>
          <w:w w:val="100"/>
          <w:sz w:val="32"/>
          <w:szCs w:val="32"/>
        </w:rPr>
        <w:t>开展安全执法检查</w:t>
      </w:r>
      <w:r>
        <w:rPr>
          <w:rFonts w:hint="eastAsia" w:ascii="仿宋_GB2312" w:hAnsi="仿宋_GB2312" w:eastAsia="仿宋_GB2312" w:cs="仿宋_GB2312"/>
          <w:color w:val="auto"/>
          <w:spacing w:val="0"/>
          <w:w w:val="100"/>
          <w:sz w:val="32"/>
          <w:szCs w:val="32"/>
          <w:lang w:val="en-US" w:eastAsia="zh-CN"/>
        </w:rPr>
        <w:t>215</w:t>
      </w:r>
      <w:r>
        <w:rPr>
          <w:rFonts w:hint="eastAsia" w:ascii="仿宋_GB2312" w:hAnsi="仿宋_GB2312" w:eastAsia="仿宋_GB2312" w:cs="仿宋_GB2312"/>
          <w:color w:val="auto"/>
          <w:spacing w:val="0"/>
          <w:w w:val="100"/>
          <w:sz w:val="32"/>
          <w:szCs w:val="32"/>
        </w:rPr>
        <w:t>人次，排查出安全隐患</w:t>
      </w:r>
      <w:r>
        <w:rPr>
          <w:rFonts w:hint="eastAsia" w:ascii="仿宋_GB2312" w:hAnsi="仿宋_GB2312" w:eastAsia="仿宋_GB2312" w:cs="仿宋_GB2312"/>
          <w:color w:val="auto"/>
          <w:spacing w:val="0"/>
          <w:w w:val="100"/>
          <w:sz w:val="32"/>
          <w:szCs w:val="32"/>
          <w:lang w:val="en-US" w:eastAsia="zh-CN"/>
        </w:rPr>
        <w:t>194</w:t>
      </w:r>
      <w:r>
        <w:rPr>
          <w:rFonts w:hint="eastAsia" w:ascii="仿宋_GB2312" w:hAnsi="仿宋_GB2312" w:eastAsia="仿宋_GB2312" w:cs="仿宋_GB2312"/>
          <w:color w:val="auto"/>
          <w:spacing w:val="0"/>
          <w:w w:val="100"/>
          <w:sz w:val="32"/>
          <w:szCs w:val="32"/>
        </w:rPr>
        <w:t>个</w:t>
      </w:r>
      <w:r>
        <w:rPr>
          <w:rFonts w:hint="eastAsia" w:ascii="仿宋_GB2312" w:hAnsi="仿宋_GB2312" w:eastAsia="仿宋_GB2312" w:cs="仿宋_GB2312"/>
          <w:color w:val="auto"/>
          <w:spacing w:val="0"/>
          <w:w w:val="100"/>
          <w:sz w:val="32"/>
          <w:szCs w:val="32"/>
          <w:lang w:eastAsia="zh-CN"/>
        </w:rPr>
        <w:t>，</w:t>
      </w:r>
      <w:r>
        <w:rPr>
          <w:rFonts w:hint="eastAsia" w:ascii="仿宋_GB2312" w:hAnsi="仿宋_GB2312" w:eastAsia="仿宋_GB2312" w:cs="仿宋_GB2312"/>
          <w:color w:val="auto"/>
          <w:spacing w:val="0"/>
          <w:w w:val="100"/>
          <w:sz w:val="32"/>
          <w:szCs w:val="32"/>
        </w:rPr>
        <w:t>全年立案查处1</w:t>
      </w:r>
      <w:r>
        <w:rPr>
          <w:rFonts w:hint="eastAsia" w:ascii="仿宋_GB2312" w:hAnsi="仿宋_GB2312" w:eastAsia="仿宋_GB2312" w:cs="仿宋_GB2312"/>
          <w:color w:val="auto"/>
          <w:spacing w:val="0"/>
          <w:w w:val="100"/>
          <w:sz w:val="32"/>
          <w:szCs w:val="32"/>
          <w:lang w:val="en-US" w:eastAsia="zh-CN"/>
        </w:rPr>
        <w:t>5</w:t>
      </w:r>
      <w:r>
        <w:rPr>
          <w:rFonts w:hint="eastAsia" w:ascii="仿宋_GB2312" w:hAnsi="仿宋_GB2312" w:eastAsia="仿宋_GB2312" w:cs="仿宋_GB2312"/>
          <w:color w:val="auto"/>
          <w:spacing w:val="0"/>
          <w:w w:val="100"/>
          <w:sz w:val="32"/>
          <w:szCs w:val="32"/>
        </w:rPr>
        <w:t>起安全生产案件</w:t>
      </w:r>
      <w:r>
        <w:rPr>
          <w:rFonts w:hint="eastAsia" w:ascii="仿宋_GB2312" w:hAnsi="仿宋_GB2312" w:eastAsia="仿宋_GB2312" w:cs="仿宋_GB2312"/>
          <w:color w:val="auto"/>
          <w:spacing w:val="0"/>
          <w:w w:val="100"/>
          <w:sz w:val="32"/>
          <w:szCs w:val="32"/>
          <w:lang w:eastAsia="zh-CN"/>
        </w:rPr>
        <w:t>，</w:t>
      </w:r>
      <w:r>
        <w:rPr>
          <w:rFonts w:hint="eastAsia" w:ascii="仿宋_GB2312" w:hAnsi="仿宋_GB2312" w:eastAsia="仿宋_GB2312" w:cs="仿宋_GB2312"/>
          <w:color w:val="auto"/>
          <w:spacing w:val="0"/>
          <w:w w:val="100"/>
          <w:sz w:val="32"/>
          <w:szCs w:val="32"/>
        </w:rPr>
        <w:t>有效开展“打非治违”和安全隐患的治理。</w:t>
      </w:r>
      <w:r>
        <w:rPr>
          <w:rFonts w:hint="eastAsia" w:ascii="仿宋_GB2312" w:hAnsi="仿宋_GB2312" w:eastAsia="仿宋_GB2312" w:cs="仿宋_GB2312"/>
          <w:b/>
          <w:bCs/>
          <w:color w:val="auto"/>
          <w:spacing w:val="0"/>
          <w:w w:val="100"/>
          <w:kern w:val="2"/>
          <w:sz w:val="32"/>
          <w:szCs w:val="32"/>
          <w:highlight w:val="none"/>
          <w:lang w:eastAsia="zh-CN"/>
        </w:rPr>
        <w:t>三是加强农村小水电监管。</w:t>
      </w:r>
      <w:r>
        <w:rPr>
          <w:rFonts w:hint="eastAsia" w:ascii="仿宋_GB2312" w:hAnsi="仿宋_GB2312" w:eastAsia="仿宋_GB2312" w:cs="仿宋_GB2312"/>
          <w:b w:val="0"/>
          <w:bCs w:val="0"/>
          <w:color w:val="auto"/>
          <w:spacing w:val="0"/>
          <w:w w:val="100"/>
          <w:sz w:val="32"/>
          <w:szCs w:val="32"/>
          <w:highlight w:val="none"/>
        </w:rPr>
        <w:t>推进水利安全生产标准化创建达标</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我县生态流量达标率及监测数据完整率均达到优秀等级</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lang w:val="en-US" w:eastAsia="zh-CN"/>
        </w:rPr>
        <w:t>鱼市电站完成</w:t>
      </w:r>
      <w:r>
        <w:rPr>
          <w:rFonts w:hint="eastAsia" w:ascii="仿宋_GB2312" w:hAnsi="仿宋_GB2312" w:eastAsia="仿宋_GB2312" w:cs="仿宋_GB2312"/>
          <w:b w:val="0"/>
          <w:bCs w:val="0"/>
          <w:color w:val="auto"/>
          <w:spacing w:val="0"/>
          <w:w w:val="100"/>
          <w:sz w:val="32"/>
          <w:szCs w:val="32"/>
          <w:highlight w:val="none"/>
          <w:lang w:eastAsia="zh-CN"/>
        </w:rPr>
        <w:t>2024年度绿色小水电示范电站期满延续</w:t>
      </w:r>
      <w:r>
        <w:rPr>
          <w:rFonts w:hint="eastAsia" w:ascii="仿宋_GB2312" w:hAnsi="仿宋_GB2312" w:eastAsia="仿宋_GB2312" w:cs="仿宋_GB2312"/>
          <w:b w:val="0"/>
          <w:bCs w:val="0"/>
          <w:color w:val="auto"/>
          <w:spacing w:val="0"/>
          <w:w w:val="100"/>
          <w:sz w:val="32"/>
          <w:szCs w:val="32"/>
          <w:highlight w:val="none"/>
          <w:lang w:val="en-US" w:eastAsia="zh-CN"/>
        </w:rPr>
        <w:t>工作；</w:t>
      </w:r>
      <w:r>
        <w:rPr>
          <w:rFonts w:hint="eastAsia" w:ascii="仿宋_GB2312" w:hAnsi="仿宋_GB2312" w:eastAsia="仿宋_GB2312" w:cs="仿宋_GB2312"/>
          <w:b w:val="0"/>
          <w:bCs w:val="0"/>
          <w:color w:val="auto"/>
          <w:spacing w:val="0"/>
          <w:w w:val="100"/>
          <w:sz w:val="32"/>
          <w:szCs w:val="32"/>
          <w:highlight w:val="none"/>
          <w:lang w:eastAsia="zh-CN"/>
        </w:rPr>
        <w:t>落实农村水电站安全生产“三个责任人”和电站水库安全度汛“三个责任人”，确保水电企业安全生产。</w:t>
      </w:r>
      <w:r>
        <w:rPr>
          <w:rFonts w:hint="eastAsia" w:ascii="仿宋_GB2312" w:hAnsi="仿宋_GB2312" w:eastAsia="仿宋_GB2312" w:cs="仿宋_GB2312"/>
          <w:b/>
          <w:bCs/>
          <w:color w:val="auto"/>
          <w:spacing w:val="0"/>
          <w:w w:val="100"/>
          <w:kern w:val="2"/>
          <w:sz w:val="32"/>
          <w:szCs w:val="32"/>
          <w:highlight w:val="none"/>
          <w:lang w:val="en-US" w:eastAsia="zh-CN"/>
        </w:rPr>
        <w:t>四是继续加大安全生产宣传力度。</w:t>
      </w:r>
      <w:r>
        <w:rPr>
          <w:rFonts w:hint="eastAsia" w:ascii="仿宋_GB2312" w:hAnsi="仿宋_GB2312" w:eastAsia="仿宋_GB2312" w:cs="仿宋_GB2312"/>
          <w:b w:val="0"/>
          <w:bCs w:val="0"/>
          <w:color w:val="auto"/>
          <w:spacing w:val="0"/>
          <w:w w:val="100"/>
          <w:sz w:val="32"/>
          <w:szCs w:val="32"/>
          <w:highlight w:val="none"/>
          <w:lang w:val="en-US" w:eastAsia="zh-CN"/>
        </w:rPr>
        <w:t>以“安全生产月</w:t>
      </w:r>
      <w:r>
        <w:rPr>
          <w:rFonts w:hint="eastAsia" w:ascii="仿宋_GB2312" w:hAnsi="仿宋_GB2312" w:eastAsia="仿宋_GB2312" w:cs="仿宋_GB2312"/>
          <w:b w:val="0"/>
          <w:bCs w:val="0"/>
          <w:color w:val="auto"/>
          <w:spacing w:val="0"/>
          <w:w w:val="100"/>
          <w:kern w:val="0"/>
          <w:sz w:val="32"/>
          <w:szCs w:val="32"/>
          <w:highlight w:val="none"/>
          <w:lang w:val="en-US" w:eastAsia="zh-CN" w:bidi="ar"/>
        </w:rPr>
        <w:t>”活动为契机，组织开展“一把手谈安全生产”，网上参与水安将军、六项机制网络学习，“安全生产大家谈”“以案说法”等系列活动，参与多达760人次，在水利系统行业广泛掀起学安全、讲安全、懂安全、重安全的浓厚氛围。</w:t>
      </w:r>
      <w:r>
        <w:rPr>
          <w:rFonts w:hint="eastAsia" w:ascii="仿宋_GB2312" w:hAnsi="仿宋_GB2312" w:eastAsia="仿宋_GB2312" w:cs="仿宋_GB2312"/>
          <w:b/>
          <w:bCs/>
          <w:color w:val="auto"/>
          <w:spacing w:val="0"/>
          <w:w w:val="100"/>
          <w:kern w:val="2"/>
          <w:sz w:val="32"/>
          <w:szCs w:val="32"/>
          <w:highlight w:val="none"/>
          <w:lang w:val="en-US" w:eastAsia="zh-CN"/>
        </w:rPr>
        <w:t>五是严格安全执法检查。</w:t>
      </w:r>
      <w:r>
        <w:rPr>
          <w:rFonts w:hint="eastAsia" w:ascii="仿宋_GB2312" w:hAnsi="仿宋_GB2312" w:eastAsia="仿宋_GB2312" w:cs="仿宋_GB2312"/>
          <w:b w:val="0"/>
          <w:bCs w:val="0"/>
          <w:color w:val="auto"/>
          <w:spacing w:val="0"/>
          <w:w w:val="100"/>
          <w:kern w:val="0"/>
          <w:sz w:val="32"/>
          <w:szCs w:val="32"/>
          <w:highlight w:val="none"/>
          <w:lang w:val="en-US" w:eastAsia="zh-CN" w:bidi="ar"/>
        </w:rPr>
        <w:t>截止目前开展执法检查125人次，排查重大安全隐患16个，一般隐患210个，全部隐患按“一单四制” 落实整改。立案查处安全生产案件15起，结案15起，行政处罚6万元，有效化解水利安全生产重大风险，确保水利无伤亡事故。</w:t>
      </w:r>
    </w:p>
    <w:p w14:paraId="2E32BA99">
      <w:pPr>
        <w:keepNext w:val="0"/>
        <w:keepLines w:val="0"/>
        <w:pageBreakBefore w:val="0"/>
        <w:wordWrap/>
        <w:overflowPunct/>
        <w:topLinePunct w:val="0"/>
        <w:bidi w:val="0"/>
        <w:spacing w:line="580" w:lineRule="exact"/>
        <w:ind w:firstLine="643" w:firstLineChars="200"/>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楷体_GB2312" w:hAnsi="楷体_GB2312" w:eastAsia="楷体_GB2312" w:cs="楷体_GB2312"/>
          <w:b/>
          <w:bCs/>
          <w:color w:val="auto"/>
          <w:spacing w:val="0"/>
          <w:w w:val="100"/>
          <w:kern w:val="0"/>
          <w:sz w:val="32"/>
          <w:szCs w:val="32"/>
          <w:highlight w:val="none"/>
          <w:lang w:val="en-US" w:eastAsia="zh-CN"/>
        </w:rPr>
        <w:t>7、其他重点工作全面推进。</w:t>
      </w:r>
      <w:r>
        <w:rPr>
          <w:rFonts w:hint="eastAsia" w:ascii="仿宋_GB2312" w:hAnsi="仿宋_GB2312" w:eastAsia="仿宋_GB2312" w:cs="仿宋_GB2312"/>
          <w:b/>
          <w:bCs/>
          <w:color w:val="auto"/>
          <w:spacing w:val="0"/>
          <w:w w:val="100"/>
          <w:kern w:val="0"/>
          <w:sz w:val="32"/>
          <w:szCs w:val="32"/>
          <w:highlight w:val="none"/>
          <w:lang w:val="en-US" w:eastAsia="zh-CN" w:bidi="ar"/>
        </w:rPr>
        <w:t>一是推动民生实事工作惠及民生。</w:t>
      </w:r>
      <w:r>
        <w:rPr>
          <w:rFonts w:hint="eastAsia" w:ascii="仿宋_GB2312" w:hAnsi="仿宋_GB2312" w:eastAsia="仿宋_GB2312" w:cs="仿宋_GB2312"/>
          <w:color w:val="auto"/>
          <w:spacing w:val="0"/>
          <w:w w:val="100"/>
          <w:kern w:val="2"/>
          <w:sz w:val="32"/>
          <w:szCs w:val="32"/>
          <w:shd w:val="clear" w:color="auto" w:fill="FFFFFF"/>
          <w:vertAlign w:val="baseline"/>
          <w:lang w:val="en-US" w:eastAsia="zh-CN" w:bidi="ar"/>
        </w:rPr>
        <w:t>总投资3065万元，新增蓄水能力94万立方米，维修山塘103口，维修半溪等10座小型水库的除险加固。投资230万元，新建渠道14公里，维修渠道3公里，恢复和改善灌溉面积500亩。</w:t>
      </w:r>
      <w:r>
        <w:rPr>
          <w:rFonts w:hint="eastAsia" w:ascii="仿宋_GB2312" w:hAnsi="仿宋_GB2312" w:eastAsia="仿宋_GB2312" w:cs="仿宋_GB2312"/>
          <w:b/>
          <w:bCs/>
          <w:color w:val="auto"/>
          <w:spacing w:val="0"/>
          <w:w w:val="100"/>
          <w:kern w:val="0"/>
          <w:sz w:val="32"/>
          <w:szCs w:val="32"/>
          <w:highlight w:val="none"/>
          <w:lang w:val="en-US" w:eastAsia="zh-CN" w:bidi="ar"/>
        </w:rPr>
        <w:t>二是依托行业特点助推乡村振兴。</w:t>
      </w:r>
      <w:r>
        <w:rPr>
          <w:rFonts w:hint="eastAsia" w:ascii="仿宋_GB2312" w:hAnsi="仿宋_GB2312" w:eastAsia="仿宋_GB2312" w:cs="仿宋_GB2312"/>
          <w:b w:val="0"/>
          <w:bCs w:val="0"/>
          <w:color w:val="auto"/>
          <w:spacing w:val="0"/>
          <w:w w:val="100"/>
          <w:sz w:val="32"/>
          <w:szCs w:val="32"/>
          <w:highlight w:val="none"/>
          <w:lang w:val="en-US" w:eastAsia="zh-CN"/>
        </w:rPr>
        <w:t>依托移民扶持，跟进波洲光伏发电产业项目，安装太阳能路灯181盏，完成波洲村340米机耕道及排水渠建设一处。分别投入资金30万维修波洲集镇供水管网和新水源点建设，8万元对荒田垅、凤形湾骨干塘除险加固，</w:t>
      </w:r>
      <w:r>
        <w:rPr>
          <w:rFonts w:hint="eastAsia" w:ascii="仿宋_GB2312" w:hAnsi="仿宋_GB2312" w:eastAsia="仿宋_GB2312" w:cs="仿宋_GB2312"/>
          <w:color w:val="auto"/>
          <w:spacing w:val="0"/>
          <w:w w:val="100"/>
          <w:kern w:val="2"/>
          <w:sz w:val="32"/>
          <w:szCs w:val="32"/>
          <w:shd w:val="clear" w:color="auto" w:fill="FFFFFF"/>
          <w:vertAlign w:val="baseline"/>
          <w:lang w:val="en-US" w:eastAsia="zh-CN" w:bidi="ar"/>
        </w:rPr>
        <w:t>10万余元对洞坪村千人以上人饮项目进行提质改造，5万余元整治人居环境，对洞坪村龙寨山塘和坪冲界山塘进行提质维修，集体经济产业种植水稻5亩、生姜1亩，巩固拓展脱贫攻坚成果同乡村振兴有效衔接成效显著。三</w:t>
      </w:r>
      <w:r>
        <w:rPr>
          <w:rFonts w:hint="eastAsia" w:ascii="仿宋_GB2312" w:hAnsi="仿宋_GB2312" w:eastAsia="仿宋_GB2312" w:cs="仿宋_GB2312"/>
          <w:b/>
          <w:bCs/>
          <w:color w:val="auto"/>
          <w:spacing w:val="0"/>
          <w:w w:val="100"/>
          <w:kern w:val="0"/>
          <w:sz w:val="32"/>
          <w:szCs w:val="32"/>
          <w:highlight w:val="none"/>
          <w:lang w:val="en-US" w:eastAsia="zh-CN" w:bidi="ar"/>
        </w:rPr>
        <w:t>是扎实推进优化营商环境工作。</w:t>
      </w:r>
      <w:r>
        <w:rPr>
          <w:rFonts w:hint="eastAsia" w:ascii="仿宋_GB2312" w:hAnsi="仿宋_GB2312" w:eastAsia="仿宋_GB2312" w:cs="仿宋_GB2312"/>
          <w:color w:val="auto"/>
          <w:spacing w:val="0"/>
          <w:w w:val="100"/>
          <w:sz w:val="32"/>
          <w:szCs w:val="32"/>
        </w:rPr>
        <w:t>全面优化营商环境，</w:t>
      </w:r>
      <w:r>
        <w:rPr>
          <w:rFonts w:hint="eastAsia" w:ascii="仿宋_GB2312" w:hAnsi="仿宋_GB2312" w:eastAsia="仿宋_GB2312" w:cs="仿宋_GB2312"/>
          <w:b w:val="0"/>
          <w:bCs w:val="0"/>
          <w:color w:val="auto"/>
          <w:spacing w:val="0"/>
          <w:w w:val="100"/>
          <w:kern w:val="0"/>
          <w:sz w:val="32"/>
          <w:szCs w:val="32"/>
          <w:highlight w:val="none"/>
          <w:lang w:val="en-US" w:eastAsia="zh-CN" w:bidi="ar"/>
        </w:rPr>
        <w:t>主动了解</w:t>
      </w:r>
      <w:r>
        <w:rPr>
          <w:rFonts w:hint="eastAsia" w:ascii="仿宋_GB2312" w:hAnsi="仿宋_GB2312" w:eastAsia="仿宋_GB2312" w:cs="仿宋_GB2312"/>
          <w:color w:val="auto"/>
          <w:spacing w:val="0"/>
          <w:w w:val="100"/>
          <w:kern w:val="2"/>
          <w:sz w:val="32"/>
          <w:szCs w:val="32"/>
          <w:vertAlign w:val="baseline"/>
          <w:lang w:val="en-US" w:eastAsia="zh-CN" w:bidi="ar"/>
        </w:rPr>
        <w:t>企业“急、难、愁、盼”问题，积极协调推进在政务服务网行政审批服务事项“一网通办”工作，</w:t>
      </w:r>
      <w:r>
        <w:rPr>
          <w:rFonts w:hint="eastAsia" w:ascii="仿宋_GB2312" w:hAnsi="仿宋_GB2312" w:eastAsia="仿宋_GB2312" w:cs="仿宋_GB2312"/>
          <w:color w:val="auto"/>
          <w:spacing w:val="0"/>
          <w:w w:val="100"/>
          <w:sz w:val="32"/>
          <w:szCs w:val="32"/>
        </w:rPr>
        <w:t>未出现一次超时（亮红灯）</w:t>
      </w:r>
      <w:r>
        <w:rPr>
          <w:rFonts w:hint="eastAsia" w:ascii="仿宋_GB2312" w:hAnsi="仿宋_GB2312" w:eastAsia="仿宋_GB2312" w:cs="仿宋_GB2312"/>
          <w:color w:val="auto"/>
          <w:spacing w:val="0"/>
          <w:w w:val="100"/>
          <w:kern w:val="2"/>
          <w:sz w:val="32"/>
          <w:szCs w:val="32"/>
          <w:vertAlign w:val="baseline"/>
          <w:lang w:val="en-US" w:eastAsia="zh-CN" w:bidi="ar"/>
        </w:rPr>
        <w:t>。全年</w:t>
      </w:r>
      <w:r>
        <w:rPr>
          <w:rFonts w:hint="eastAsia" w:ascii="仿宋_GB2312" w:hAnsi="仿宋_GB2312" w:eastAsia="仿宋_GB2312" w:cs="仿宋_GB2312"/>
          <w:color w:val="auto"/>
          <w:spacing w:val="0"/>
          <w:w w:val="100"/>
          <w:kern w:val="2"/>
          <w:sz w:val="32"/>
          <w:szCs w:val="32"/>
          <w:shd w:val="clear" w:color="auto" w:fill="FFFFFF"/>
          <w:vertAlign w:val="baseline"/>
          <w:lang w:val="en-US" w:eastAsia="zh-CN" w:bidi="ar"/>
        </w:rPr>
        <w:t>受理、审批行政许可65起，其中防洪影响评价报告12个，水</w:t>
      </w:r>
      <w:r>
        <w:rPr>
          <w:rFonts w:hint="eastAsia" w:ascii="仿宋_GB2312" w:hAnsi="仿宋_GB2312" w:eastAsia="仿宋_GB2312" w:cs="仿宋_GB2312"/>
          <w:color w:val="auto"/>
          <w:spacing w:val="0"/>
          <w:w w:val="100"/>
          <w:kern w:val="2"/>
          <w:sz w:val="32"/>
          <w:szCs w:val="32"/>
          <w:vertAlign w:val="baseline"/>
          <w:lang w:val="en-US" w:eastAsia="zh-CN" w:bidi="ar"/>
        </w:rPr>
        <w:t>土保持方案备案</w:t>
      </w:r>
      <w:r>
        <w:rPr>
          <w:rFonts w:hint="eastAsia" w:ascii="仿宋_GB2312" w:hAnsi="仿宋_GB2312" w:eastAsia="仿宋_GB2312" w:cs="仿宋_GB2312"/>
          <w:color w:val="auto"/>
          <w:spacing w:val="0"/>
          <w:w w:val="100"/>
          <w:kern w:val="2"/>
          <w:sz w:val="32"/>
          <w:szCs w:val="32"/>
          <w:shd w:val="clear" w:color="auto" w:fill="FFFFFF"/>
          <w:vertAlign w:val="baseline"/>
          <w:lang w:val="en-US" w:eastAsia="zh-CN" w:bidi="ar"/>
        </w:rPr>
        <w:t>2个，取水许可证延续18个，水</w:t>
      </w:r>
      <w:r>
        <w:rPr>
          <w:rFonts w:hint="eastAsia" w:ascii="仿宋_GB2312" w:hAnsi="仿宋_GB2312" w:eastAsia="仿宋_GB2312" w:cs="仿宋_GB2312"/>
          <w:color w:val="auto"/>
          <w:spacing w:val="0"/>
          <w:w w:val="100"/>
          <w:kern w:val="2"/>
          <w:sz w:val="32"/>
          <w:szCs w:val="32"/>
          <w:vertAlign w:val="baseline"/>
          <w:lang w:val="en-US" w:eastAsia="zh-CN" w:bidi="ar"/>
        </w:rPr>
        <w:t>土保持方案报告(表)31个，项目初设批复2个。</w:t>
      </w:r>
      <w:r>
        <w:rPr>
          <w:rFonts w:hint="eastAsia" w:ascii="仿宋_GB2312" w:hAnsi="仿宋_GB2312" w:eastAsia="仿宋_GB2312" w:cs="仿宋_GB2312"/>
          <w:b/>
          <w:bCs/>
          <w:color w:val="auto"/>
          <w:spacing w:val="0"/>
          <w:w w:val="100"/>
          <w:kern w:val="0"/>
          <w:sz w:val="32"/>
          <w:szCs w:val="32"/>
          <w:highlight w:val="none"/>
          <w:lang w:val="en-US" w:eastAsia="zh-CN" w:bidi="ar"/>
        </w:rPr>
        <w:t>四是推动水利高质量发展。</w:t>
      </w:r>
      <w:r>
        <w:rPr>
          <w:rFonts w:hint="eastAsia" w:ascii="仿宋_GB2312" w:hAnsi="仿宋_GB2312" w:eastAsia="仿宋_GB2312" w:cs="仿宋_GB2312"/>
          <w:color w:val="auto"/>
          <w:spacing w:val="0"/>
          <w:w w:val="100"/>
          <w:kern w:val="2"/>
          <w:sz w:val="32"/>
          <w:szCs w:val="32"/>
          <w:vertAlign w:val="baseline"/>
          <w:lang w:val="en-US" w:eastAsia="zh-CN" w:bidi="ar"/>
        </w:rPr>
        <w:t>加强取水户管理，依法依规征收水资源费93.02万元，指导取水户填报其本年度的取水情况总结（表）和下一年度的取水计划（表），做到计划用水。加强各取水户日常和证照管理，全县138个取水户实现了“电子档案”管理工作，18家取水企业办理取水许可证延续，保证各取水户生产经营活动正常。利用“世界水日”“中国水周”期间及</w:t>
      </w:r>
      <w:r>
        <w:rPr>
          <w:rFonts w:hint="eastAsia" w:ascii="仿宋_GB2312" w:hAnsi="仿宋_GB2312" w:eastAsia="仿宋_GB2312" w:cs="仿宋_GB2312"/>
          <w:color w:val="auto"/>
          <w:spacing w:val="0"/>
          <w:w w:val="100"/>
          <w:sz w:val="32"/>
          <w:szCs w:val="32"/>
          <w:shd w:val="clear" w:color="auto" w:fill="FFFFFF"/>
          <w:vertAlign w:val="baseline"/>
          <w:lang w:eastAsia="zh-CN"/>
        </w:rPr>
        <w:t>河小青系列活动</w:t>
      </w:r>
      <w:r>
        <w:rPr>
          <w:rFonts w:hint="eastAsia" w:ascii="仿宋_GB2312" w:hAnsi="仿宋_GB2312" w:eastAsia="仿宋_GB2312" w:cs="仿宋_GB2312"/>
          <w:color w:val="auto"/>
          <w:spacing w:val="0"/>
          <w:w w:val="100"/>
          <w:kern w:val="2"/>
          <w:sz w:val="32"/>
          <w:szCs w:val="32"/>
          <w:vertAlign w:val="baseline"/>
          <w:lang w:val="en-US" w:eastAsia="zh-CN" w:bidi="ar"/>
        </w:rPr>
        <w:t>，通过进园区、进校园、进社区和进农村，大力开展《地下水管理条例》《中华人民共和国长江保护法》《取水许可和水资源费征收管理条例》等学习宣传工作，</w:t>
      </w:r>
      <w:r>
        <w:rPr>
          <w:rFonts w:hint="eastAsia" w:ascii="仿宋_GB2312" w:hAnsi="仿宋_GB2312" w:eastAsia="仿宋_GB2312" w:cs="仿宋_GB2312"/>
          <w:color w:val="auto"/>
          <w:spacing w:val="0"/>
          <w:w w:val="100"/>
          <w:sz w:val="32"/>
          <w:szCs w:val="32"/>
          <w:shd w:val="clear" w:color="auto" w:fill="FFFFFF"/>
          <w:vertAlign w:val="baseline"/>
        </w:rPr>
        <w:t>树立了水利行业的良好形象，提高了广大群众的水患意识和节水意识</w:t>
      </w:r>
      <w:r>
        <w:rPr>
          <w:rFonts w:hint="eastAsia" w:ascii="仿宋_GB2312" w:hAnsi="仿宋_GB2312" w:eastAsia="仿宋_GB2312" w:cs="仿宋_GB2312"/>
          <w:color w:val="auto"/>
          <w:spacing w:val="0"/>
          <w:w w:val="100"/>
          <w:sz w:val="32"/>
          <w:szCs w:val="32"/>
          <w:shd w:val="clear" w:color="auto" w:fill="FFFFFF"/>
          <w:vertAlign w:val="baseline"/>
          <w:lang w:eastAsia="zh-CN"/>
        </w:rPr>
        <w:t>，有效降低用水指标，助推水利高质量发展</w:t>
      </w:r>
      <w:r>
        <w:rPr>
          <w:rFonts w:hint="eastAsia" w:ascii="仿宋_GB2312" w:hAnsi="仿宋_GB2312" w:eastAsia="仿宋_GB2312" w:cs="仿宋_GB2312"/>
          <w:color w:val="auto"/>
          <w:spacing w:val="0"/>
          <w:w w:val="100"/>
          <w:kern w:val="2"/>
          <w:sz w:val="32"/>
          <w:szCs w:val="32"/>
          <w:vertAlign w:val="baseline"/>
          <w:lang w:val="en-US" w:eastAsia="zh-CN" w:bidi="ar"/>
        </w:rPr>
        <w:t>。</w:t>
      </w:r>
    </w:p>
    <w:p w14:paraId="19ECB23A">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pacing w:val="0"/>
          <w:w w:val="100"/>
          <w:kern w:val="2"/>
          <w:sz w:val="32"/>
          <w:szCs w:val="32"/>
          <w:vertAlign w:val="baseline"/>
          <w:lang w:val="en-US" w:eastAsia="zh-CN" w:bidi="ar"/>
        </w:rPr>
      </w:pPr>
      <w:r>
        <w:rPr>
          <w:rFonts w:hint="eastAsia" w:ascii="楷体_GB2312" w:hAnsi="楷体_GB2312" w:eastAsia="楷体_GB2312" w:cs="楷体_GB2312"/>
          <w:b/>
          <w:bCs/>
          <w:color w:val="333333"/>
          <w:sz w:val="32"/>
          <w:szCs w:val="32"/>
          <w:shd w:val="clear" w:color="auto" w:fill="FFFFFF"/>
          <w:lang w:eastAsia="zh-CN"/>
        </w:rPr>
        <w:t>（四）</w:t>
      </w:r>
      <w:r>
        <w:rPr>
          <w:rFonts w:hint="eastAsia" w:ascii="楷体_GB2312" w:hAnsi="楷体_GB2312" w:eastAsia="楷体_GB2312" w:cs="楷体_GB2312"/>
          <w:b/>
          <w:bCs/>
          <w:color w:val="333333"/>
          <w:sz w:val="32"/>
          <w:szCs w:val="32"/>
          <w:shd w:val="clear" w:color="auto" w:fill="FFFFFF"/>
        </w:rPr>
        <w:t>效益指标</w:t>
      </w:r>
      <w:r>
        <w:rPr>
          <w:rFonts w:hint="eastAsia" w:ascii="楷体_GB2312" w:hAnsi="楷体_GB2312" w:eastAsia="楷体_GB2312" w:cs="楷体_GB2312"/>
          <w:b/>
          <w:bCs/>
          <w:color w:val="333333"/>
          <w:sz w:val="32"/>
          <w:szCs w:val="32"/>
          <w:shd w:val="clear" w:color="auto" w:fill="FFFFFF"/>
          <w:lang w:eastAsia="zh-CN"/>
        </w:rPr>
        <w:t>：</w:t>
      </w:r>
      <w:r>
        <w:rPr>
          <w:rFonts w:hint="eastAsia" w:ascii="仿宋_GB2312" w:hAnsi="仿宋_GB2312" w:eastAsia="仿宋_GB2312" w:cs="仿宋_GB2312"/>
          <w:color w:val="auto"/>
          <w:sz w:val="32"/>
          <w:szCs w:val="32"/>
          <w:lang w:val="en-US" w:eastAsia="zh-CN"/>
        </w:rPr>
        <w:t>2024</w:t>
      </w:r>
      <w:r>
        <w:rPr>
          <w:rFonts w:hint="eastAsia" w:ascii="仿宋_GB2312" w:hAnsi="仿宋_GB2312" w:eastAsia="仿宋_GB2312" w:cs="仿宋_GB2312"/>
          <w:color w:val="auto"/>
          <w:sz w:val="32"/>
          <w:szCs w:val="32"/>
        </w:rPr>
        <w:t>年部门支出在满足了单位各项工作的正常开展，确保了各项计划和任务的完成，我单位各项工作取得不错的成绩</w:t>
      </w:r>
      <w:r>
        <w:rPr>
          <w:rFonts w:hint="eastAsia" w:ascii="仿宋_GB2312" w:hAnsi="仿宋_GB2312" w:eastAsia="仿宋_GB2312" w:cs="仿宋_GB2312"/>
          <w:color w:val="auto"/>
          <w:sz w:val="32"/>
          <w:szCs w:val="32"/>
          <w:lang w:val="en-US" w:eastAsia="zh-CN"/>
        </w:rPr>
        <w:t>.一是经济效益指标通过对人饮工程的维护、水库的除险加固在保护农田面积和保障水质安全效果明显；二是社会效益指标通过中小河流治理项目保护及受益人口数方面效果明显；三是生态效益指标通过水利工程实施及河长制日常工作改善河道生态环境、水质达标安全、饮用水持续安全。</w:t>
      </w:r>
      <w:r>
        <w:rPr>
          <w:rFonts w:hint="eastAsia" w:ascii="仿宋_GB2312" w:hAnsi="仿宋_GB2312" w:eastAsia="仿宋_GB2312" w:cs="仿宋_GB2312"/>
          <w:color w:val="auto"/>
          <w:sz w:val="32"/>
          <w:szCs w:val="32"/>
        </w:rPr>
        <w:t>体现了</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rPr>
        <w:t>较好的履职。履职效益达100%，群众满意度</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%。总体自评得分</w:t>
      </w:r>
      <w:r>
        <w:rPr>
          <w:rFonts w:hint="eastAsia" w:ascii="仿宋_GB2312" w:hAnsi="仿宋_GB2312" w:eastAsia="仿宋_GB2312" w:cs="仿宋_GB2312"/>
          <w:color w:val="auto"/>
          <w:sz w:val="32"/>
          <w:szCs w:val="32"/>
          <w:lang w:val="en-US" w:eastAsia="zh-CN"/>
        </w:rPr>
        <w:t>93.5</w:t>
      </w:r>
      <w:r>
        <w:rPr>
          <w:rFonts w:hint="eastAsia" w:ascii="仿宋_GB2312" w:hAnsi="仿宋_GB2312" w:eastAsia="仿宋_GB2312" w:cs="仿宋_GB2312"/>
          <w:color w:val="auto"/>
          <w:sz w:val="32"/>
          <w:szCs w:val="32"/>
        </w:rPr>
        <w:t>分，绩效评价等</w:t>
      </w:r>
      <w:r>
        <w:rPr>
          <w:rFonts w:hint="eastAsia" w:ascii="仿宋_GB2312" w:hAnsi="仿宋_GB2312" w:eastAsia="仿宋_GB2312" w:cs="仿宋_GB2312"/>
          <w:sz w:val="32"/>
          <w:szCs w:val="32"/>
        </w:rPr>
        <w:t>级为“优”。</w:t>
      </w:r>
    </w:p>
    <w:p w14:paraId="2AE04D20">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三、存在的问题及原因</w:t>
      </w:r>
    </w:p>
    <w:p w14:paraId="731A34F8">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 w:cs="Times New Roman"/>
          <w:color w:val="auto"/>
          <w:sz w:val="32"/>
          <w:szCs w:val="32"/>
          <w:lang w:val="en-US" w:eastAsia="zh-CN"/>
        </w:rPr>
      </w:pPr>
      <w:r>
        <w:rPr>
          <w:rFonts w:hint="eastAsia" w:ascii="Times New Roman" w:hAnsi="Times New Roman" w:eastAsia="楷体_GB2312" w:cs="Times New Roman"/>
          <w:b/>
          <w:color w:val="auto"/>
          <w:sz w:val="32"/>
          <w:szCs w:val="32"/>
          <w:lang w:val="en-US" w:eastAsia="zh-CN"/>
        </w:rPr>
        <w:t>1、</w:t>
      </w:r>
      <w:r>
        <w:rPr>
          <w:rFonts w:hint="default" w:ascii="Times New Roman" w:hAnsi="Times New Roman" w:eastAsia="楷体_GB2312" w:cs="Times New Roman"/>
          <w:b/>
          <w:color w:val="auto"/>
          <w:sz w:val="32"/>
          <w:szCs w:val="32"/>
          <w:lang w:val="en-US" w:eastAsia="zh-CN"/>
        </w:rPr>
        <w:t>队伍建设有待加强。</w:t>
      </w:r>
      <w:r>
        <w:rPr>
          <w:rFonts w:hint="default" w:ascii="Times New Roman" w:hAnsi="Times New Roman" w:eastAsia="仿宋" w:cs="Times New Roman"/>
          <w:color w:val="auto"/>
          <w:sz w:val="32"/>
          <w:szCs w:val="32"/>
          <w:lang w:val="en-US" w:eastAsia="zh-CN"/>
        </w:rPr>
        <w:t>水利专业技术人员年龄偏大，技术队伍多年没有“新鲜血液”补充，专技人员断层；执法人员欠缺。水利人才储备不足，各项工作涉及多个方面职责，专业性强，年年需要考核，但现有人员少且不稳定，公务员队伍整体年龄结构偏大。</w:t>
      </w:r>
    </w:p>
    <w:p w14:paraId="3793BE35">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color w:val="auto"/>
          <w:sz w:val="32"/>
          <w:szCs w:val="32"/>
          <w:lang w:val="en-US" w:eastAsia="zh-CN"/>
        </w:rPr>
        <w:t>经费缺乏难以开展可研，初设等项目前期工作。由于我县项目前期经费欠款金额大，水利设计单位参与我县的水利项目设计积极性不高，</w:t>
      </w:r>
      <w:r>
        <w:rPr>
          <w:rFonts w:hint="eastAsia" w:ascii="仿宋_GB2312" w:hAnsi="仿宋_GB2312" w:eastAsia="仿宋_GB2312" w:cs="仿宋_GB2312"/>
          <w:sz w:val="32"/>
          <w:szCs w:val="32"/>
          <w:lang w:val="en-US" w:eastAsia="zh-CN"/>
        </w:rPr>
        <w:t>影响水利前期规划编制工作</w:t>
      </w:r>
      <w:r>
        <w:rPr>
          <w:rFonts w:hint="eastAsia" w:ascii="仿宋_GB2312" w:hAnsi="仿宋_GB2312" w:eastAsia="仿宋_GB2312" w:cs="仿宋_GB2312"/>
          <w:color w:val="auto"/>
          <w:sz w:val="32"/>
          <w:szCs w:val="32"/>
          <w:lang w:val="en-US" w:eastAsia="zh-CN"/>
        </w:rPr>
        <w:t>，项目争取难度大</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14:paraId="41D10249">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3、水利项目工程欠款大，影响水利工程进度。主要为水利项年未付款，财政支付难度大，影响项目实施。</w:t>
      </w:r>
    </w:p>
    <w:p w14:paraId="3D328EB0">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14:paraId="0F743AFF">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四、提高财政资金绩效的措施与建议</w:t>
      </w:r>
    </w:p>
    <w:p w14:paraId="34ED2F8F">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1、由于财政一般预算安排我局公用经费</w:t>
      </w:r>
      <w:r>
        <w:rPr>
          <w:rFonts w:hint="eastAsia" w:ascii="仿宋_GB2312" w:hAnsi="仿宋_GB2312" w:eastAsia="仿宋_GB2312" w:cs="仿宋_GB2312"/>
          <w:sz w:val="32"/>
          <w:szCs w:val="32"/>
          <w:lang w:val="en-US" w:eastAsia="zh-CN"/>
        </w:rPr>
        <w:t>及专项业务费2024年</w:t>
      </w:r>
      <w:r>
        <w:rPr>
          <w:rFonts w:hint="eastAsia" w:ascii="仿宋_GB2312" w:hAnsi="仿宋_GB2312" w:eastAsia="仿宋_GB2312" w:cs="仿宋_GB2312"/>
          <w:sz w:val="32"/>
          <w:szCs w:val="32"/>
        </w:rPr>
        <w:t>只有</w:t>
      </w:r>
      <w:r>
        <w:rPr>
          <w:rFonts w:hint="eastAsia" w:ascii="仿宋_GB2312" w:hAnsi="仿宋_GB2312" w:eastAsia="仿宋_GB2312" w:cs="仿宋_GB2312"/>
          <w:sz w:val="32"/>
          <w:szCs w:val="32"/>
          <w:lang w:val="en-US" w:eastAsia="zh-CN"/>
        </w:rPr>
        <w:t>95.8158</w:t>
      </w:r>
      <w:r>
        <w:rPr>
          <w:rFonts w:hint="eastAsia" w:ascii="仿宋_GB2312" w:hAnsi="仿宋_GB2312" w:eastAsia="仿宋_GB2312" w:cs="仿宋_GB2312"/>
          <w:sz w:val="32"/>
          <w:szCs w:val="32"/>
        </w:rPr>
        <w:t>万元，我局实际每年的公用及政策性奖励支出都在2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，部门预算支出来源严重不足，在编制</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时只得实行以收定支，建议财政预算加大对公用经费</w:t>
      </w:r>
      <w:r>
        <w:rPr>
          <w:rFonts w:hint="eastAsia" w:ascii="仿宋_GB2312" w:hAnsi="仿宋_GB2312" w:eastAsia="仿宋_GB2312" w:cs="仿宋_GB2312"/>
          <w:sz w:val="32"/>
          <w:szCs w:val="32"/>
          <w:lang w:eastAsia="zh-CN"/>
        </w:rPr>
        <w:t>及前期经费</w:t>
      </w:r>
      <w:r>
        <w:rPr>
          <w:rFonts w:hint="eastAsia" w:ascii="仿宋_GB2312" w:hAnsi="仿宋_GB2312" w:eastAsia="仿宋_GB2312" w:cs="仿宋_GB2312"/>
          <w:sz w:val="32"/>
          <w:szCs w:val="32"/>
        </w:rPr>
        <w:t>的安排，弥补单位支出的刚性所需。</w:t>
      </w:r>
    </w:p>
    <w:p w14:paraId="17B3B2C2">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、财政预算资金</w:t>
      </w:r>
      <w:r>
        <w:rPr>
          <w:rFonts w:hint="eastAsia" w:ascii="仿宋_GB2312" w:hAnsi="仿宋_GB2312" w:eastAsia="仿宋_GB2312" w:cs="仿宋_GB2312"/>
          <w:sz w:val="32"/>
          <w:szCs w:val="32"/>
          <w:lang w:eastAsia="zh-CN"/>
        </w:rPr>
        <w:t>拨付款迟缓</w:t>
      </w:r>
      <w:r>
        <w:rPr>
          <w:rFonts w:hint="eastAsia" w:ascii="仿宋_GB2312" w:hAnsi="仿宋_GB2312" w:eastAsia="仿宋_GB2312" w:cs="仿宋_GB2312"/>
          <w:sz w:val="32"/>
          <w:szCs w:val="32"/>
        </w:rPr>
        <w:t>，不利于年度预算的执行以及项目支出按计划的正常实施。建议财政及时</w:t>
      </w:r>
      <w:r>
        <w:rPr>
          <w:rFonts w:hint="eastAsia" w:ascii="仿宋_GB2312" w:hAnsi="仿宋_GB2312" w:eastAsia="仿宋_GB2312" w:cs="仿宋_GB2312"/>
          <w:sz w:val="32"/>
          <w:szCs w:val="32"/>
          <w:lang w:eastAsia="zh-CN"/>
        </w:rPr>
        <w:t>拨付工程款</w:t>
      </w:r>
      <w:r>
        <w:rPr>
          <w:rFonts w:hint="eastAsia" w:ascii="仿宋_GB2312" w:hAnsi="仿宋_GB2312" w:eastAsia="仿宋_GB2312" w:cs="仿宋_GB2312"/>
          <w:sz w:val="32"/>
          <w:szCs w:val="32"/>
        </w:rPr>
        <w:t>，确保预算的正常执行。</w:t>
      </w:r>
    </w:p>
    <w:p w14:paraId="782E13C4">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五、附件(佐证依据)</w:t>
      </w:r>
    </w:p>
    <w:p w14:paraId="746CCF1C">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部门认为需要作为评价报告附件的有关文件、资料等，</w:t>
      </w:r>
      <w:r>
        <w:rPr>
          <w:rFonts w:hint="eastAsia" w:ascii="仿宋_GB2312" w:hAnsi="仿宋_GB2312" w:eastAsia="仿宋_GB2312" w:cs="仿宋_GB2312"/>
          <w:kern w:val="0"/>
          <w:sz w:val="32"/>
          <w:szCs w:val="32"/>
          <w:lang w:eastAsia="zh-CN"/>
        </w:rPr>
        <w:t>以及</w:t>
      </w:r>
      <w:r>
        <w:rPr>
          <w:rFonts w:hint="eastAsia" w:ascii="仿宋_GB2312" w:hAnsi="仿宋_GB2312" w:eastAsia="仿宋_GB2312" w:cs="仿宋_GB2312"/>
          <w:kern w:val="0"/>
          <w:sz w:val="32"/>
          <w:szCs w:val="32"/>
        </w:rPr>
        <w:t>进一步解释和证明报告所反映的相关内容。</w:t>
      </w:r>
    </w:p>
    <w:p w14:paraId="5EC6D038">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5120" w:firstLineChars="1600"/>
        <w:jc w:val="both"/>
        <w:textAlignment w:val="auto"/>
        <w:rPr>
          <w:rFonts w:hint="eastAsia" w:ascii="仿宋_GB2312" w:hAnsi="仿宋_GB2312" w:eastAsia="仿宋_GB2312" w:cs="仿宋_GB2312"/>
          <w:sz w:val="32"/>
          <w:szCs w:val="32"/>
          <w:lang w:val="en-US" w:eastAsia="zh-CN"/>
        </w:rPr>
      </w:pPr>
    </w:p>
    <w:p w14:paraId="453F7648">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5120" w:firstLineChars="1600"/>
        <w:jc w:val="both"/>
        <w:textAlignment w:val="auto"/>
        <w:rPr>
          <w:rFonts w:hint="eastAsia" w:ascii="仿宋_GB2312" w:hAnsi="仿宋_GB2312" w:eastAsia="仿宋_GB2312" w:cs="仿宋_GB2312"/>
          <w:sz w:val="32"/>
          <w:szCs w:val="32"/>
          <w:lang w:val="en-US" w:eastAsia="zh-CN"/>
        </w:rPr>
      </w:pPr>
    </w:p>
    <w:p w14:paraId="0AE0643A">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5120" w:firstLineChars="1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新晃侗族自治县水利局</w:t>
      </w:r>
    </w:p>
    <w:p w14:paraId="5E38F0CF">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5120" w:firstLineChars="1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2025年3月20日</w:t>
      </w:r>
    </w:p>
    <w:sectPr>
      <w:footerReference r:id="rId3" w:type="default"/>
      <w:footnotePr>
        <w:numFmt w:val="decimal"/>
      </w:footnotePr>
      <w:pgSz w:w="11906" w:h="16838"/>
      <w:pgMar w:top="1701" w:right="1417" w:bottom="1134" w:left="1531"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FB59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11A8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B11A8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F4BF0"/>
    <w:multiLevelType w:val="singleLevel"/>
    <w:tmpl w:val="AF9F4BF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kZDA1MmQzODc5ODFkN2IzMmZmNmFiZTE2ZTU3NjMifQ=="/>
  </w:docVars>
  <w:rsids>
    <w:rsidRoot w:val="4CDA7BB0"/>
    <w:rsid w:val="001A4407"/>
    <w:rsid w:val="003317C2"/>
    <w:rsid w:val="004E72ED"/>
    <w:rsid w:val="00693CB3"/>
    <w:rsid w:val="008555F9"/>
    <w:rsid w:val="009D541E"/>
    <w:rsid w:val="01A86D70"/>
    <w:rsid w:val="01BB7DFB"/>
    <w:rsid w:val="01F465A4"/>
    <w:rsid w:val="03141D18"/>
    <w:rsid w:val="038102A2"/>
    <w:rsid w:val="03AB7081"/>
    <w:rsid w:val="03D25B79"/>
    <w:rsid w:val="04E63853"/>
    <w:rsid w:val="05C80770"/>
    <w:rsid w:val="06150F68"/>
    <w:rsid w:val="06634057"/>
    <w:rsid w:val="06F77884"/>
    <w:rsid w:val="07260F36"/>
    <w:rsid w:val="0807515F"/>
    <w:rsid w:val="094F6E2D"/>
    <w:rsid w:val="0AD93052"/>
    <w:rsid w:val="0AFC40B3"/>
    <w:rsid w:val="0B4D79F7"/>
    <w:rsid w:val="0B896BF3"/>
    <w:rsid w:val="0BF417A7"/>
    <w:rsid w:val="0C110C02"/>
    <w:rsid w:val="0C4A6C5B"/>
    <w:rsid w:val="0CF1718A"/>
    <w:rsid w:val="0D5F2F89"/>
    <w:rsid w:val="0E6010CF"/>
    <w:rsid w:val="0E947667"/>
    <w:rsid w:val="0F245164"/>
    <w:rsid w:val="0F3330FE"/>
    <w:rsid w:val="0F53554E"/>
    <w:rsid w:val="0F680C27"/>
    <w:rsid w:val="116E6C42"/>
    <w:rsid w:val="11873361"/>
    <w:rsid w:val="11C5449D"/>
    <w:rsid w:val="12024280"/>
    <w:rsid w:val="12AB744F"/>
    <w:rsid w:val="13255454"/>
    <w:rsid w:val="13D70488"/>
    <w:rsid w:val="140C43A0"/>
    <w:rsid w:val="14271E4B"/>
    <w:rsid w:val="145E7519"/>
    <w:rsid w:val="14FF4A7D"/>
    <w:rsid w:val="16DC0C5E"/>
    <w:rsid w:val="182F0552"/>
    <w:rsid w:val="18D72D4C"/>
    <w:rsid w:val="195E2CBD"/>
    <w:rsid w:val="1A1722EF"/>
    <w:rsid w:val="1A2D5750"/>
    <w:rsid w:val="1A490C24"/>
    <w:rsid w:val="1BC9014A"/>
    <w:rsid w:val="1C0C590E"/>
    <w:rsid w:val="1C3051EF"/>
    <w:rsid w:val="1CA55D76"/>
    <w:rsid w:val="1DD76295"/>
    <w:rsid w:val="1E0F26E8"/>
    <w:rsid w:val="1E441E4C"/>
    <w:rsid w:val="1EBC4976"/>
    <w:rsid w:val="1EEF4CE1"/>
    <w:rsid w:val="1FA0124C"/>
    <w:rsid w:val="200D2F0B"/>
    <w:rsid w:val="211B1F71"/>
    <w:rsid w:val="215F3821"/>
    <w:rsid w:val="2161283E"/>
    <w:rsid w:val="219263AA"/>
    <w:rsid w:val="2264546D"/>
    <w:rsid w:val="22FF181D"/>
    <w:rsid w:val="236B0BDF"/>
    <w:rsid w:val="23AA1D72"/>
    <w:rsid w:val="23B92ED3"/>
    <w:rsid w:val="24661428"/>
    <w:rsid w:val="253439FF"/>
    <w:rsid w:val="26B230F9"/>
    <w:rsid w:val="26C32E2D"/>
    <w:rsid w:val="27245D0C"/>
    <w:rsid w:val="275B0FEC"/>
    <w:rsid w:val="27826998"/>
    <w:rsid w:val="29C8601B"/>
    <w:rsid w:val="29CA3557"/>
    <w:rsid w:val="2A4E10E8"/>
    <w:rsid w:val="2B885DFE"/>
    <w:rsid w:val="2C494A44"/>
    <w:rsid w:val="2C9531BE"/>
    <w:rsid w:val="2CC67606"/>
    <w:rsid w:val="2CE81574"/>
    <w:rsid w:val="2D0B578E"/>
    <w:rsid w:val="2E450D6E"/>
    <w:rsid w:val="2ED44985"/>
    <w:rsid w:val="2F1A178D"/>
    <w:rsid w:val="2F4A2072"/>
    <w:rsid w:val="2FE90BF4"/>
    <w:rsid w:val="31256E76"/>
    <w:rsid w:val="31384D1F"/>
    <w:rsid w:val="313C2572"/>
    <w:rsid w:val="32110C25"/>
    <w:rsid w:val="32253BF4"/>
    <w:rsid w:val="32640735"/>
    <w:rsid w:val="32BC7B09"/>
    <w:rsid w:val="32D3237F"/>
    <w:rsid w:val="32F000FF"/>
    <w:rsid w:val="35FA5E74"/>
    <w:rsid w:val="365836A3"/>
    <w:rsid w:val="36932551"/>
    <w:rsid w:val="37492C0F"/>
    <w:rsid w:val="37D15AB3"/>
    <w:rsid w:val="38C84008"/>
    <w:rsid w:val="38DE382B"/>
    <w:rsid w:val="38E4144E"/>
    <w:rsid w:val="39273424"/>
    <w:rsid w:val="39E10598"/>
    <w:rsid w:val="3A56049D"/>
    <w:rsid w:val="3AA007DD"/>
    <w:rsid w:val="3AE5200B"/>
    <w:rsid w:val="3B3975B6"/>
    <w:rsid w:val="3B765F9D"/>
    <w:rsid w:val="3CD25455"/>
    <w:rsid w:val="3D5C4DA9"/>
    <w:rsid w:val="3E9B1F1B"/>
    <w:rsid w:val="3F167A15"/>
    <w:rsid w:val="3F2759C2"/>
    <w:rsid w:val="3F47212A"/>
    <w:rsid w:val="3FC20AC7"/>
    <w:rsid w:val="40B26E0B"/>
    <w:rsid w:val="41DB6C4C"/>
    <w:rsid w:val="4226685B"/>
    <w:rsid w:val="42A96A64"/>
    <w:rsid w:val="42E00DB1"/>
    <w:rsid w:val="430F1E49"/>
    <w:rsid w:val="437910A6"/>
    <w:rsid w:val="4379487C"/>
    <w:rsid w:val="439605D8"/>
    <w:rsid w:val="43DE7315"/>
    <w:rsid w:val="445E3885"/>
    <w:rsid w:val="44B518E4"/>
    <w:rsid w:val="44C22253"/>
    <w:rsid w:val="460E6DB4"/>
    <w:rsid w:val="462968C1"/>
    <w:rsid w:val="466C40D0"/>
    <w:rsid w:val="4688682F"/>
    <w:rsid w:val="46D22C21"/>
    <w:rsid w:val="47392CA0"/>
    <w:rsid w:val="47C5001B"/>
    <w:rsid w:val="48904B42"/>
    <w:rsid w:val="48A517CC"/>
    <w:rsid w:val="48E95069"/>
    <w:rsid w:val="49366268"/>
    <w:rsid w:val="49877D17"/>
    <w:rsid w:val="4A3577B4"/>
    <w:rsid w:val="4AAF5028"/>
    <w:rsid w:val="4AF869CF"/>
    <w:rsid w:val="4B090BDC"/>
    <w:rsid w:val="4B3035FB"/>
    <w:rsid w:val="4B835976"/>
    <w:rsid w:val="4B881EAA"/>
    <w:rsid w:val="4BF90AAB"/>
    <w:rsid w:val="4BFB5A77"/>
    <w:rsid w:val="4C89502D"/>
    <w:rsid w:val="4CDA7BB0"/>
    <w:rsid w:val="4D504DD4"/>
    <w:rsid w:val="4DDD2E4D"/>
    <w:rsid w:val="4DE65204"/>
    <w:rsid w:val="4DED2107"/>
    <w:rsid w:val="4DF8122B"/>
    <w:rsid w:val="4EC770A9"/>
    <w:rsid w:val="4F7D74A2"/>
    <w:rsid w:val="4F975137"/>
    <w:rsid w:val="4FC774A8"/>
    <w:rsid w:val="508516B5"/>
    <w:rsid w:val="50C9489B"/>
    <w:rsid w:val="51E23C3F"/>
    <w:rsid w:val="52630972"/>
    <w:rsid w:val="529A3963"/>
    <w:rsid w:val="52C663C8"/>
    <w:rsid w:val="52D52008"/>
    <w:rsid w:val="530776F6"/>
    <w:rsid w:val="533A6020"/>
    <w:rsid w:val="534A2BA4"/>
    <w:rsid w:val="53CF23C1"/>
    <w:rsid w:val="54D11C40"/>
    <w:rsid w:val="56580E58"/>
    <w:rsid w:val="56A6361C"/>
    <w:rsid w:val="57213123"/>
    <w:rsid w:val="57973475"/>
    <w:rsid w:val="57995DD3"/>
    <w:rsid w:val="58120B24"/>
    <w:rsid w:val="59EE6F4F"/>
    <w:rsid w:val="5B17140A"/>
    <w:rsid w:val="5B620603"/>
    <w:rsid w:val="5B791466"/>
    <w:rsid w:val="5B937834"/>
    <w:rsid w:val="5B9B5880"/>
    <w:rsid w:val="5BA75E25"/>
    <w:rsid w:val="5BBD11FA"/>
    <w:rsid w:val="5BE25AA7"/>
    <w:rsid w:val="5C341831"/>
    <w:rsid w:val="5D5061F6"/>
    <w:rsid w:val="5D686A39"/>
    <w:rsid w:val="5D79440A"/>
    <w:rsid w:val="5DDE57F7"/>
    <w:rsid w:val="5F163E0E"/>
    <w:rsid w:val="5FA02DB5"/>
    <w:rsid w:val="5FC8476A"/>
    <w:rsid w:val="5FF11306"/>
    <w:rsid w:val="61744BA2"/>
    <w:rsid w:val="62035144"/>
    <w:rsid w:val="63E40895"/>
    <w:rsid w:val="64300B2F"/>
    <w:rsid w:val="645111D2"/>
    <w:rsid w:val="655B667E"/>
    <w:rsid w:val="657333CA"/>
    <w:rsid w:val="663F505A"/>
    <w:rsid w:val="674E31AF"/>
    <w:rsid w:val="675276D8"/>
    <w:rsid w:val="67B612D8"/>
    <w:rsid w:val="686D0548"/>
    <w:rsid w:val="687731D1"/>
    <w:rsid w:val="69387A64"/>
    <w:rsid w:val="6AAB53B4"/>
    <w:rsid w:val="6BF271AB"/>
    <w:rsid w:val="6C335661"/>
    <w:rsid w:val="6C593DCF"/>
    <w:rsid w:val="6C6F4888"/>
    <w:rsid w:val="6CC33166"/>
    <w:rsid w:val="6CF027FC"/>
    <w:rsid w:val="6D530405"/>
    <w:rsid w:val="6F534410"/>
    <w:rsid w:val="6FB95E7D"/>
    <w:rsid w:val="702275C0"/>
    <w:rsid w:val="707B75D6"/>
    <w:rsid w:val="709E4FA5"/>
    <w:rsid w:val="7115426A"/>
    <w:rsid w:val="714266F1"/>
    <w:rsid w:val="71BF7674"/>
    <w:rsid w:val="72465CF0"/>
    <w:rsid w:val="7271666B"/>
    <w:rsid w:val="727C3533"/>
    <w:rsid w:val="72D1191D"/>
    <w:rsid w:val="7330175C"/>
    <w:rsid w:val="73D6524F"/>
    <w:rsid w:val="743300AB"/>
    <w:rsid w:val="744321B9"/>
    <w:rsid w:val="750D1BC6"/>
    <w:rsid w:val="75466405"/>
    <w:rsid w:val="75496FF6"/>
    <w:rsid w:val="7568025C"/>
    <w:rsid w:val="757C3BD5"/>
    <w:rsid w:val="75853E55"/>
    <w:rsid w:val="75A10293"/>
    <w:rsid w:val="75D73501"/>
    <w:rsid w:val="77573AA8"/>
    <w:rsid w:val="77AB297E"/>
    <w:rsid w:val="78FA19E0"/>
    <w:rsid w:val="79102FB2"/>
    <w:rsid w:val="79915775"/>
    <w:rsid w:val="7A663151"/>
    <w:rsid w:val="7BC70FD5"/>
    <w:rsid w:val="7C434D67"/>
    <w:rsid w:val="7C870293"/>
    <w:rsid w:val="7CFF3780"/>
    <w:rsid w:val="7D5C3E68"/>
    <w:rsid w:val="7DCC6D01"/>
    <w:rsid w:val="7F2B76F2"/>
    <w:rsid w:val="7F8E2BA0"/>
    <w:rsid w:val="7F9F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pPr>
  </w:style>
  <w:style w:type="paragraph" w:styleId="3">
    <w:name w:val="toc 5"/>
    <w:basedOn w:val="1"/>
    <w:next w:val="1"/>
    <w:autoRedefine/>
    <w:qFormat/>
    <w:uiPriority w:val="0"/>
    <w:pPr>
      <w:widowControl w:val="0"/>
      <w:ind w:left="1680" w:leftChars="800"/>
      <w:jc w:val="both"/>
    </w:pPr>
    <w:rPr>
      <w:rFonts w:ascii="Times New Roman" w:hAnsi="Times New Roman" w:eastAsia="宋体" w:cs="Calibri"/>
      <w:kern w:val="2"/>
      <w:sz w:val="21"/>
      <w:szCs w:val="24"/>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2"/>
    <w:autoRedefine/>
    <w:unhideWhenUsed/>
    <w:qFormat/>
    <w:uiPriority w:val="99"/>
    <w:pPr>
      <w:ind w:firstLine="420" w:firstLineChars="100"/>
    </w:pPr>
    <w:rPr>
      <w:rFonts w:ascii="Calibri" w:hAnsi="Calibri" w:eastAsia="宋体" w:cs="Calibri"/>
      <w:kern w:val="0"/>
      <w:sz w:val="20"/>
      <w:szCs w:val="21"/>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01"/>
    <w:basedOn w:val="10"/>
    <w:autoRedefine/>
    <w:qFormat/>
    <w:uiPriority w:val="0"/>
    <w:rPr>
      <w:rFonts w:hint="default" w:ascii="Arial" w:hAnsi="Arial" w:cs="Arial"/>
      <w:color w:val="000000"/>
      <w:sz w:val="20"/>
      <w:szCs w:val="20"/>
      <w:u w:val="none"/>
    </w:rPr>
  </w:style>
  <w:style w:type="character" w:customStyle="1" w:styleId="12">
    <w:name w:val="font1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6364</Words>
  <Characters>6654</Characters>
  <Lines>0</Lines>
  <Paragraphs>0</Paragraphs>
  <TotalTime>317</TotalTime>
  <ScaleCrop>false</ScaleCrop>
  <LinksUpToDate>false</LinksUpToDate>
  <CharactersWithSpaces>6673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2023-04-17T02:29:00Z</dcterms:created>
  <dc:creator>桔子</dc:creator>
  <cp:lastModifiedBy>Administrator</cp:lastModifiedBy>
  <cp:lastPrinted>2024-04-19T02:16:00Z</cp:lastPrinted>
  <dcterms:modified xsi:type="dcterms:W3CDTF">2025-03-25T01:22:36Z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939B97443D3A419387579ACBAA12F940_11</vt:lpwstr>
  </property>
  <property fmtid="{D5CDD505-2E9C-101B-9397-08002B2CF9AE}" pid="4" name="KSOTemplateDocerSaveRecord">
    <vt:lpwstr>eyJoZGlkIjoiNzJhYWFlNWU2ZDI3Zjc5MTcyNTQxYTEyOWRhZDM4ODAifQ==</vt:lpwstr>
  </property>
</Properties>
</file>