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cs="黑体"/>
          <w:sz w:val="44"/>
          <w:szCs w:val="44"/>
        </w:rPr>
      </w:pPr>
      <w:r>
        <w:rPr>
          <w:rFonts w:hint="eastAsia" w:ascii="黑体" w:hAnsi="黑体" w:eastAsia="黑体" w:cs="黑体"/>
          <w:sz w:val="44"/>
          <w:szCs w:val="44"/>
        </w:rPr>
        <w:t>2022年度新晃县项目支出绩效自评报告</w:t>
      </w:r>
    </w:p>
    <w:p>
      <w:pPr>
        <w:spacing w:line="520" w:lineRule="exact"/>
        <w:jc w:val="center"/>
        <w:rPr>
          <w:rFonts w:ascii="仿宋_GB2312" w:hAnsi="仿宋_GB2312" w:eastAsia="仿宋_GB2312" w:cs="仿宋_GB2312"/>
          <w:sz w:val="32"/>
          <w:szCs w:val="32"/>
        </w:rPr>
      </w:pPr>
      <w:r>
        <w:rPr>
          <w:rFonts w:ascii="仿宋_GB2312" w:hAnsi="仿宋_GB2312" w:eastAsia="仿宋_GB2312" w:cs="仿宋_GB2312"/>
          <w:sz w:val="32"/>
          <w:szCs w:val="32"/>
        </w:rPr>
        <w:t>(</w:t>
      </w:r>
      <w:r>
        <w:rPr>
          <w:rFonts w:hint="eastAsia" w:ascii="仿宋_GB2312" w:hAnsi="仿宋_GB2312" w:eastAsia="仿宋_GB2312" w:cs="仿宋_GB2312"/>
          <w:color w:val="000000"/>
          <w:sz w:val="32"/>
          <w:szCs w:val="32"/>
        </w:rPr>
        <w:t>新晃县胜利森工科技园岸坡整治工程</w:t>
      </w:r>
      <w:r>
        <w:rPr>
          <w:rFonts w:ascii="仿宋_GB2312" w:hAnsi="仿宋_GB2312" w:eastAsia="仿宋_GB2312" w:cs="仿宋_GB2312"/>
          <w:sz w:val="32"/>
          <w:szCs w:val="32"/>
        </w:rPr>
        <w:t>)</w:t>
      </w:r>
    </w:p>
    <w:p>
      <w:pPr>
        <w:spacing w:line="520" w:lineRule="exact"/>
        <w:ind w:firstLine="640" w:firstLineChars="200"/>
        <w:jc w:val="left"/>
        <w:rPr>
          <w:rFonts w:ascii="仿宋_GB2312" w:hAnsi="仿宋_GB2312" w:eastAsia="仿宋_GB2312" w:cs="仿宋_GB2312"/>
          <w:sz w:val="32"/>
          <w:szCs w:val="32"/>
        </w:rPr>
      </w:pP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一、基本情况</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(一)项目概况。</w:t>
      </w:r>
    </w:p>
    <w:p>
      <w:pPr>
        <w:ind w:firstLine="640" w:firstLineChars="200"/>
        <w:rPr>
          <w:rFonts w:ascii="仿宋_GB2312" w:eastAsia="仿宋_GB2312"/>
          <w:sz w:val="32"/>
          <w:szCs w:val="32"/>
        </w:rPr>
      </w:pPr>
      <w:r>
        <w:rPr>
          <w:rFonts w:hint="eastAsia" w:ascii="仿宋_GB2312" w:eastAsia="仿宋_GB2312"/>
          <w:sz w:val="32"/>
          <w:szCs w:val="32"/>
        </w:rPr>
        <w:t>胜利森工科技园，又名湖南现代林业新晃森工园，位于新晃县城东郊舞水南岸的胜利村，规划面积28.7公顷，该区有沪昆高速公路、湘黔铁路，交通方便。新晃县胜利森工科技园岸坡总长5.044km，可研设计治理总长1.859km，舞水河段仅有左岸已进行了岸坡整治，右岸多为天然土坡，此次右岸设计治理总长3.69km，起点位于自强纸业，终点位于下游十家坪。此次工程主要建设内容为便桥至水文站段310m的岸坡治理。工程计划投资356.35万元。</w:t>
      </w:r>
    </w:p>
    <w:p>
      <w:pPr>
        <w:ind w:firstLine="640" w:firstLineChars="200"/>
        <w:rPr>
          <w:rFonts w:ascii="仿宋_GB2312" w:eastAsia="仿宋_GB2312"/>
          <w:sz w:val="32"/>
          <w:szCs w:val="32"/>
        </w:rPr>
      </w:pPr>
      <w:r>
        <w:rPr>
          <w:rFonts w:hint="eastAsia" w:ascii="仿宋_GB2312" w:eastAsia="仿宋_GB2312"/>
          <w:sz w:val="32"/>
          <w:szCs w:val="32"/>
        </w:rPr>
        <w:t>湖南省财政厅以《湖南省财政厅关于下达2020年水生态治理中小河流治理等其他水利工程专项中央预算内基建资金的通知》（湘财建指[2020]154号），下达了项目资金464万元。</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(二)项目绩效目标。</w:t>
      </w:r>
    </w:p>
    <w:p>
      <w:pPr>
        <w:ind w:firstLine="640" w:firstLineChars="200"/>
        <w:rPr>
          <w:rFonts w:ascii="仿宋_GB2312" w:eastAsia="仿宋_GB2312"/>
          <w:sz w:val="32"/>
          <w:szCs w:val="32"/>
        </w:rPr>
      </w:pPr>
      <w:r>
        <w:rPr>
          <w:rFonts w:hint="eastAsia" w:ascii="仿宋_GB2312" w:eastAsia="仿宋_GB2312"/>
          <w:sz w:val="32"/>
          <w:szCs w:val="32"/>
        </w:rPr>
        <w:t>依据选定的工程范围及工程建设任务，确定新晃县胜利森工科技园岸坡整治工程的建设规模为： 便桥至水文站段310m的岸坡治理，主要工程量：土石方1.02万m3；浆砌石0.84万m3；混凝土0.11万m3。2021年完成310m，计划完成投资356.35万元。</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二、绩效评价工作开展情况</w:t>
      </w:r>
    </w:p>
    <w:p>
      <w:pPr>
        <w:ind w:firstLine="640" w:firstLineChars="200"/>
        <w:rPr>
          <w:rFonts w:ascii="仿宋_GB2312" w:eastAsia="仿宋_GB2312"/>
          <w:sz w:val="32"/>
          <w:szCs w:val="32"/>
        </w:rPr>
      </w:pPr>
      <w:r>
        <w:rPr>
          <w:rFonts w:hint="eastAsia" w:ascii="仿宋_GB2312" w:eastAsia="仿宋_GB2312"/>
          <w:sz w:val="32"/>
          <w:szCs w:val="32"/>
        </w:rPr>
        <w:t>(一)绩效评价目的、对象和范围。</w:t>
      </w:r>
    </w:p>
    <w:p>
      <w:pPr>
        <w:ind w:firstLine="640" w:firstLineChars="200"/>
        <w:rPr>
          <w:rFonts w:ascii="仿宋_GB2312" w:eastAsia="仿宋_GB2312"/>
          <w:sz w:val="32"/>
          <w:szCs w:val="32"/>
        </w:rPr>
      </w:pPr>
      <w:r>
        <w:rPr>
          <w:rFonts w:hint="eastAsia" w:ascii="仿宋_GB2312" w:eastAsia="仿宋_GB2312"/>
          <w:sz w:val="32"/>
          <w:szCs w:val="32"/>
        </w:rPr>
        <w:t>绩效评价目的是为进一步规范专项资金管理，强化绩效和责任意识，切实提高专项资金使用效益。评价对像为新晃县胜利森工科技园岸坡整治工程项目。评价范围包括2023年度新晃县胜利森工科技园岸坡整治工程项目支出27万元。</w:t>
      </w:r>
    </w:p>
    <w:p>
      <w:pPr>
        <w:ind w:firstLine="640" w:firstLineChars="200"/>
        <w:rPr>
          <w:rFonts w:ascii="仿宋_GB2312" w:eastAsia="仿宋_GB2312"/>
          <w:sz w:val="32"/>
          <w:szCs w:val="32"/>
        </w:rPr>
      </w:pPr>
      <w:r>
        <w:rPr>
          <w:rFonts w:hint="eastAsia" w:ascii="仿宋_GB2312" w:eastAsia="仿宋_GB2312"/>
          <w:sz w:val="32"/>
          <w:szCs w:val="32"/>
        </w:rPr>
        <w:t>(二)绩效评价原则、评价指标体系、评价方法、评价标准。</w:t>
      </w:r>
    </w:p>
    <w:p>
      <w:pPr>
        <w:ind w:firstLine="640" w:firstLineChars="200"/>
        <w:rPr>
          <w:rFonts w:ascii="仿宋_GB2312" w:eastAsia="仿宋_GB2312"/>
          <w:sz w:val="32"/>
          <w:szCs w:val="32"/>
        </w:rPr>
      </w:pPr>
      <w:r>
        <w:rPr>
          <w:rFonts w:hint="eastAsia" w:ascii="仿宋_GB2312" w:eastAsia="仿宋_GB2312"/>
          <w:sz w:val="32"/>
          <w:szCs w:val="32"/>
        </w:rPr>
        <w:t>本次绩效评价采用自评的方式，遵行客观公正、公开透明的原则，以资料核查、访谈、座谈、问卷调查、选点抽查为基础，综合运用对比分析等方法，从决策、管理、产出、效益四个方面对项目资金的使用管理、综合效益等内容进行评价（评价指标体系详见附表）。</w:t>
      </w:r>
    </w:p>
    <w:p>
      <w:pPr>
        <w:ind w:firstLine="640" w:firstLineChars="200"/>
        <w:rPr>
          <w:rFonts w:ascii="仿宋_GB2312" w:eastAsia="仿宋_GB2312"/>
          <w:sz w:val="32"/>
          <w:szCs w:val="32"/>
        </w:rPr>
      </w:pPr>
      <w:r>
        <w:rPr>
          <w:rFonts w:hint="eastAsia" w:ascii="仿宋_GB2312" w:eastAsia="仿宋_GB2312"/>
          <w:sz w:val="32"/>
          <w:szCs w:val="32"/>
        </w:rPr>
        <w:t>绩效评价等级设置为优秀、良好、较差、差四级，其中，大于或等于90分的为优、80分（含）至90分的为良，60分（含）至80分的为较差、小于60分的为差。</w:t>
      </w:r>
    </w:p>
    <w:p>
      <w:pPr>
        <w:ind w:firstLine="640" w:firstLineChars="200"/>
        <w:rPr>
          <w:rFonts w:ascii="仿宋_GB2312" w:eastAsia="仿宋_GB2312"/>
          <w:sz w:val="32"/>
          <w:szCs w:val="32"/>
        </w:rPr>
      </w:pPr>
      <w:r>
        <w:rPr>
          <w:rFonts w:hint="eastAsia" w:ascii="仿宋_GB2312" w:eastAsia="仿宋_GB2312"/>
          <w:sz w:val="32"/>
          <w:szCs w:val="32"/>
        </w:rPr>
        <w:t>(三)绩效评价工作过程。</w:t>
      </w:r>
    </w:p>
    <w:p>
      <w:pPr>
        <w:ind w:firstLine="640" w:firstLineChars="200"/>
        <w:rPr>
          <w:rFonts w:ascii="仿宋_GB2312" w:eastAsia="仿宋_GB2312"/>
          <w:sz w:val="32"/>
          <w:szCs w:val="32"/>
        </w:rPr>
      </w:pPr>
      <w:r>
        <w:rPr>
          <w:rFonts w:hint="eastAsia" w:ascii="仿宋_GB2312" w:eastAsia="仿宋_GB2312"/>
          <w:sz w:val="32"/>
          <w:szCs w:val="32"/>
        </w:rPr>
        <w:t>根据《湖南省预算支出绩效评价管理办法》（湘财绩</w:t>
      </w:r>
      <w:r>
        <w:rPr>
          <w:rFonts w:ascii="仿宋_GB2312" w:eastAsia="仿宋_GB2312"/>
          <w:sz w:val="32"/>
          <w:szCs w:val="32"/>
        </w:rPr>
        <w:t>〔</w:t>
      </w:r>
      <w:r>
        <w:rPr>
          <w:rFonts w:hint="eastAsia" w:ascii="仿宋_GB2312" w:eastAsia="仿宋_GB2312"/>
          <w:sz w:val="32"/>
          <w:szCs w:val="32"/>
        </w:rPr>
        <w:t>2020</w:t>
      </w:r>
      <w:r>
        <w:rPr>
          <w:rFonts w:ascii="仿宋_GB2312" w:eastAsia="仿宋_GB2312"/>
          <w:sz w:val="32"/>
          <w:szCs w:val="32"/>
        </w:rPr>
        <w:t>〕</w:t>
      </w:r>
      <w:r>
        <w:rPr>
          <w:rFonts w:hint="eastAsia" w:ascii="仿宋_GB2312" w:eastAsia="仿宋_GB2312"/>
          <w:sz w:val="32"/>
          <w:szCs w:val="32"/>
        </w:rPr>
        <w:t>7号）和《新晃侗族自治县财政局关于开展2023年度部门预算支出绩效自评工作的通知》（晃财绩</w:t>
      </w:r>
      <w:r>
        <w:rPr>
          <w:rFonts w:ascii="仿宋_GB2312" w:eastAsia="仿宋_GB2312"/>
          <w:sz w:val="32"/>
          <w:szCs w:val="32"/>
        </w:rPr>
        <w:t>〔</w:t>
      </w:r>
      <w:r>
        <w:rPr>
          <w:rFonts w:hint="eastAsia" w:ascii="仿宋_GB2312" w:eastAsia="仿宋_GB2312"/>
          <w:sz w:val="32"/>
          <w:szCs w:val="32"/>
        </w:rPr>
        <w:t>2024</w:t>
      </w:r>
      <w:r>
        <w:rPr>
          <w:rFonts w:ascii="仿宋_GB2312" w:eastAsia="仿宋_GB2312"/>
          <w:sz w:val="32"/>
          <w:szCs w:val="32"/>
        </w:rPr>
        <w:t>〕</w:t>
      </w:r>
      <w:r>
        <w:rPr>
          <w:rFonts w:hint="eastAsia" w:ascii="仿宋_GB2312" w:eastAsia="仿宋_GB2312"/>
          <w:sz w:val="32"/>
          <w:szCs w:val="32"/>
        </w:rPr>
        <w:t>2号）等文件要求，我单位成立了绩效自评工作小组，对新晃县胜利森工科技园岸坡整治工程项目支出开展了绩效自评工作。组织人员收集项目资料，查看会计凭证，在规定的时间内，对项目的实施进程进行了全面、科学、细致的评价。</w:t>
      </w:r>
    </w:p>
    <w:p>
      <w:pPr>
        <w:spacing w:line="520" w:lineRule="exact"/>
        <w:ind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三、综合评价情况及评价结论（附相关评分表）</w:t>
      </w:r>
    </w:p>
    <w:p>
      <w:pPr>
        <w:ind w:firstLine="640" w:firstLineChars="200"/>
        <w:rPr>
          <w:rFonts w:ascii="仿宋_GB2312" w:eastAsia="仿宋_GB2312"/>
          <w:sz w:val="32"/>
          <w:szCs w:val="32"/>
        </w:rPr>
      </w:pPr>
      <w:r>
        <w:rPr>
          <w:rFonts w:hint="eastAsia" w:ascii="仿宋_GB2312" w:eastAsia="仿宋_GB2312"/>
          <w:sz w:val="32"/>
          <w:szCs w:val="32"/>
        </w:rPr>
        <w:t>本次自评，对照项目绩效目标，从项目预算编制、项目组织管理、资金使用、项目产出、项目效益、满意度等方面逐一分析评价，总体自评得分100分，评级结果为“优秀”。</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四、绩效评价指标分析</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pPr>
        <w:ind w:firstLine="640" w:firstLineChars="200"/>
        <w:rPr>
          <w:rFonts w:ascii="仿宋_GB2312" w:eastAsia="仿宋_GB2312"/>
          <w:sz w:val="32"/>
          <w:szCs w:val="32"/>
        </w:rPr>
      </w:pPr>
      <w:r>
        <w:rPr>
          <w:rFonts w:hint="eastAsia" w:ascii="仿宋_GB2312" w:eastAsia="仿宋_GB2312"/>
          <w:sz w:val="32"/>
          <w:szCs w:val="32"/>
        </w:rPr>
        <w:t>该项目属于沅水重要河段治理工程，2018年怀化市发改委以(怀发改农[2018]10号)下达了《关于湖南省沅水重要河段治理工程（新晃酒店塘化工小区等5段岸坡整治工程|）可行性研究报告的批复》。2020年怀化市水利局以（怀水建管[2020]3号）下达了《关于新晃县胜利森工科技园岸坡整治工程初步设计的批复》。项目预算科学、合理，预期绩效编制无问题。该项指标目标值10分，自评得分10分。</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(二)项目过程情况。</w:t>
      </w:r>
    </w:p>
    <w:p>
      <w:pPr>
        <w:ind w:firstLine="640" w:firstLineChars="200"/>
        <w:rPr>
          <w:rFonts w:ascii="仿宋_GB2312" w:eastAsia="仿宋_GB2312"/>
          <w:sz w:val="32"/>
          <w:szCs w:val="32"/>
        </w:rPr>
      </w:pPr>
      <w:r>
        <w:rPr>
          <w:rFonts w:hint="eastAsia" w:ascii="仿宋_GB2312" w:eastAsia="仿宋_GB2312"/>
          <w:sz w:val="32"/>
          <w:szCs w:val="32"/>
        </w:rPr>
        <w:t>该项目遵循项目法人制、招投标制、监理制等建设项目管理制度。工程于2020年11月开工建设，2021年2月基本完工。2023年完成支出27万元，其中工程款27万元，支出符合国家相关法律法规、财务管理制度等规定，且均在预算范围内，无与本项目预算不相符或无关的资金支出。该项指标目标值30分，自评分得分30分。</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pPr>
        <w:ind w:firstLine="640" w:firstLineChars="200"/>
        <w:rPr>
          <w:rFonts w:ascii="仿宋_GB2312" w:eastAsia="仿宋_GB2312"/>
          <w:sz w:val="32"/>
          <w:szCs w:val="32"/>
        </w:rPr>
      </w:pPr>
      <w:r>
        <w:rPr>
          <w:rFonts w:hint="eastAsia" w:ascii="仿宋_GB2312" w:eastAsia="仿宋_GB2312"/>
          <w:sz w:val="32"/>
          <w:szCs w:val="32"/>
        </w:rPr>
        <w:t>完成岸坡治理310米，达到绩效目标，该项指标目标值30分，自评分得分30分。</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ind w:firstLine="640" w:firstLineChars="200"/>
        <w:rPr>
          <w:rFonts w:ascii="仿宋_GB2312" w:eastAsia="仿宋_GB2312"/>
          <w:sz w:val="32"/>
          <w:szCs w:val="32"/>
        </w:rPr>
      </w:pPr>
      <w:r>
        <w:rPr>
          <w:rFonts w:hint="eastAsia" w:ascii="仿宋_GB2312" w:eastAsia="仿宋_GB2312"/>
          <w:sz w:val="32"/>
          <w:szCs w:val="32"/>
        </w:rPr>
        <w:t>经济效益：项目建成后，保护耕地面积10亩，实际保护耕地面积10亩，项目实施达到了预期效益和目标。</w:t>
      </w:r>
    </w:p>
    <w:p>
      <w:pPr>
        <w:ind w:firstLine="640" w:firstLineChars="200"/>
        <w:rPr>
          <w:rFonts w:ascii="仿宋_GB2312" w:eastAsia="仿宋_GB2312"/>
          <w:sz w:val="32"/>
          <w:szCs w:val="32"/>
        </w:rPr>
      </w:pPr>
      <w:r>
        <w:rPr>
          <w:rFonts w:hint="eastAsia" w:ascii="仿宋_GB2312" w:eastAsia="仿宋_GB2312"/>
          <w:sz w:val="32"/>
          <w:szCs w:val="32"/>
        </w:rPr>
        <w:t>社会效益：项目建成后，保障农业增产增收。项目设计受益人口20人，实际受益人口200人。</w:t>
      </w:r>
    </w:p>
    <w:p>
      <w:pPr>
        <w:ind w:firstLine="640" w:firstLineChars="200"/>
        <w:rPr>
          <w:rFonts w:ascii="仿宋_GB2312" w:eastAsia="仿宋_GB2312"/>
          <w:sz w:val="32"/>
          <w:szCs w:val="32"/>
        </w:rPr>
      </w:pPr>
      <w:r>
        <w:rPr>
          <w:rFonts w:hint="eastAsia" w:ascii="仿宋_GB2312" w:eastAsia="仿宋_GB2312"/>
          <w:sz w:val="32"/>
          <w:szCs w:val="32"/>
        </w:rPr>
        <w:t>生态效益：项目建成后，可保护310米河道沿岸的防洪抗灾能力。</w:t>
      </w:r>
    </w:p>
    <w:p>
      <w:pPr>
        <w:ind w:firstLine="640" w:firstLineChars="200"/>
        <w:rPr>
          <w:rFonts w:ascii="仿宋_GB2312" w:eastAsia="仿宋_GB2312"/>
          <w:sz w:val="32"/>
          <w:szCs w:val="32"/>
        </w:rPr>
      </w:pPr>
      <w:r>
        <w:rPr>
          <w:rFonts w:hint="eastAsia" w:ascii="仿宋_GB2312" w:eastAsia="仿宋_GB2312"/>
          <w:sz w:val="32"/>
          <w:szCs w:val="32"/>
        </w:rPr>
        <w:t>该项指标目标值20分，实得分20分。</w:t>
      </w:r>
    </w:p>
    <w:p>
      <w:pPr>
        <w:ind w:firstLine="640" w:firstLineChars="200"/>
        <w:rPr>
          <w:rFonts w:ascii="仿宋_GB2312" w:eastAsia="仿宋_GB2312"/>
          <w:sz w:val="32"/>
          <w:szCs w:val="32"/>
        </w:rPr>
      </w:pPr>
      <w:r>
        <w:rPr>
          <w:rFonts w:hint="eastAsia" w:ascii="仿宋_GB2312" w:hAnsi="仿宋_GB2312" w:eastAsia="仿宋_GB2312" w:cs="仿宋_GB2312"/>
          <w:sz w:val="32"/>
          <w:szCs w:val="32"/>
        </w:rPr>
        <w:t>(五)</w:t>
      </w:r>
      <w:r>
        <w:rPr>
          <w:rFonts w:ascii="仿宋_GB2312" w:eastAsia="仿宋_GB2312"/>
          <w:sz w:val="32"/>
          <w:szCs w:val="32"/>
        </w:rPr>
        <w:t>满意度指标完成情况分析。</w:t>
      </w:r>
    </w:p>
    <w:p>
      <w:pPr>
        <w:ind w:firstLine="640" w:firstLineChars="200"/>
        <w:rPr>
          <w:rFonts w:ascii="仿宋_GB2312" w:eastAsia="仿宋_GB2312"/>
          <w:sz w:val="32"/>
          <w:szCs w:val="32"/>
        </w:rPr>
      </w:pPr>
      <w:r>
        <w:rPr>
          <w:rFonts w:ascii="仿宋_GB2312" w:eastAsia="仿宋_GB2312"/>
          <w:sz w:val="32"/>
          <w:szCs w:val="32"/>
        </w:rPr>
        <w:t>项目</w:t>
      </w:r>
      <w:r>
        <w:rPr>
          <w:rFonts w:hint="eastAsia" w:ascii="仿宋_GB2312" w:eastAsia="仿宋_GB2312"/>
          <w:sz w:val="32"/>
          <w:szCs w:val="32"/>
        </w:rPr>
        <w:t>的</w:t>
      </w:r>
      <w:r>
        <w:rPr>
          <w:rFonts w:ascii="仿宋_GB2312" w:eastAsia="仿宋_GB2312"/>
          <w:sz w:val="32"/>
          <w:szCs w:val="32"/>
        </w:rPr>
        <w:t>实施，</w:t>
      </w:r>
      <w:r>
        <w:rPr>
          <w:rFonts w:hint="eastAsia" w:ascii="仿宋_GB2312" w:eastAsia="仿宋_GB2312"/>
          <w:sz w:val="32"/>
          <w:szCs w:val="32"/>
        </w:rPr>
        <w:t>已</w:t>
      </w:r>
      <w:r>
        <w:rPr>
          <w:rFonts w:ascii="仿宋_GB2312" w:eastAsia="仿宋_GB2312"/>
          <w:sz w:val="32"/>
          <w:szCs w:val="32"/>
        </w:rPr>
        <w:t>建项目已良性运转，</w:t>
      </w:r>
      <w:r>
        <w:rPr>
          <w:rFonts w:hint="eastAsia" w:ascii="仿宋_GB2312" w:eastAsia="仿宋_GB2312"/>
          <w:sz w:val="32"/>
          <w:szCs w:val="32"/>
        </w:rPr>
        <w:t>得到受益村组和群众大力支持，群众满意度较高，通过调查，满意度达到了</w:t>
      </w:r>
      <w:r>
        <w:rPr>
          <w:rFonts w:ascii="仿宋_GB2312" w:eastAsia="仿宋_GB2312"/>
          <w:sz w:val="32"/>
          <w:szCs w:val="32"/>
        </w:rPr>
        <w:t>9</w:t>
      </w:r>
      <w:r>
        <w:rPr>
          <w:rFonts w:hint="eastAsia" w:ascii="仿宋_GB2312" w:eastAsia="仿宋_GB2312"/>
          <w:sz w:val="32"/>
          <w:szCs w:val="32"/>
        </w:rPr>
        <w:t>5%以</w:t>
      </w:r>
      <w:r>
        <w:rPr>
          <w:rFonts w:ascii="仿宋_GB2312" w:eastAsia="仿宋_GB2312"/>
          <w:sz w:val="32"/>
          <w:szCs w:val="32"/>
        </w:rPr>
        <w:t>上</w:t>
      </w:r>
      <w:r>
        <w:rPr>
          <w:rFonts w:hint="eastAsia" w:ascii="仿宋_GB2312" w:eastAsia="仿宋_GB2312"/>
          <w:sz w:val="32"/>
          <w:szCs w:val="32"/>
        </w:rPr>
        <w:t>。该项指标目标值10分，自评分得分10分。</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五、主要经验及做法、存在的问题及原因分析</w:t>
      </w:r>
    </w:p>
    <w:p>
      <w:pPr>
        <w:ind w:firstLine="640" w:firstLineChars="200"/>
        <w:rPr>
          <w:rFonts w:ascii="仿宋_GB2312" w:eastAsia="仿宋_GB2312"/>
          <w:sz w:val="32"/>
          <w:szCs w:val="32"/>
        </w:rPr>
      </w:pPr>
      <w:r>
        <w:rPr>
          <w:rFonts w:hint="eastAsia" w:ascii="仿宋_GB2312" w:eastAsia="仿宋_GB2312"/>
          <w:sz w:val="32"/>
          <w:szCs w:val="32"/>
        </w:rPr>
        <w:t>经验及做法 :1、科学合理做好前期工作。2、强化工程质量管理。确保项目资金效益发挥，保证工程质量。</w:t>
      </w:r>
    </w:p>
    <w:p>
      <w:pPr>
        <w:ind w:firstLine="640" w:firstLineChars="200"/>
        <w:rPr>
          <w:rFonts w:ascii="仿宋_GB2312" w:eastAsia="仿宋_GB2312"/>
          <w:sz w:val="32"/>
          <w:szCs w:val="32"/>
        </w:rPr>
      </w:pPr>
      <w:r>
        <w:rPr>
          <w:rFonts w:hint="eastAsia" w:ascii="仿宋_GB2312" w:eastAsia="仿宋_GB2312"/>
          <w:sz w:val="32"/>
          <w:szCs w:val="32"/>
        </w:rPr>
        <w:t>存在的问题: 我县财政压力大，工程进度款难以及时支付影响工程进度。</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六、有关建议</w:t>
      </w:r>
    </w:p>
    <w:p>
      <w:pPr>
        <w:ind w:firstLine="640" w:firstLineChars="200"/>
        <w:rPr>
          <w:rFonts w:ascii="仿宋_GB2312" w:eastAsia="仿宋_GB2312"/>
          <w:sz w:val="32"/>
          <w:szCs w:val="32"/>
        </w:rPr>
      </w:pPr>
      <w:r>
        <w:rPr>
          <w:rFonts w:hint="eastAsia" w:ascii="仿宋_GB2312" w:eastAsia="仿宋_GB2312"/>
          <w:sz w:val="32"/>
          <w:szCs w:val="32"/>
        </w:rPr>
        <w:t>建议财政尽早落实项目资金。施工合同356.34万元，工程已基本完工，目前仅支付施工工程款119万元。</w:t>
      </w:r>
    </w:p>
    <w:p>
      <w:pPr>
        <w:ind w:firstLine="640" w:firstLineChars="200"/>
        <w:rPr>
          <w:rFonts w:ascii="仿宋_GB2312" w:eastAsia="仿宋_GB2312"/>
          <w:sz w:val="32"/>
          <w:szCs w:val="32"/>
        </w:rPr>
      </w:pPr>
      <w:r>
        <w:rPr>
          <w:rFonts w:hint="eastAsia" w:ascii="仿宋_GB2312" w:eastAsia="仿宋_GB2312"/>
          <w:sz w:val="32"/>
          <w:szCs w:val="32"/>
        </w:rPr>
        <w:t>七、其他需要说明的问题</w:t>
      </w:r>
    </w:p>
    <w:p>
      <w:pPr>
        <w:ind w:firstLine="640" w:firstLineChars="200"/>
        <w:rPr>
          <w:rFonts w:ascii="仿宋_GB2312" w:eastAsia="仿宋_GB2312"/>
          <w:sz w:val="32"/>
          <w:szCs w:val="32"/>
        </w:rPr>
      </w:pPr>
      <w:r>
        <w:rPr>
          <w:rFonts w:hint="eastAsia" w:ascii="仿宋_GB2312" w:eastAsia="仿宋_GB2312"/>
          <w:sz w:val="32"/>
          <w:szCs w:val="32"/>
        </w:rPr>
        <w:t>工程目前基本完工，因项目资金未能拨付到位，目前还有部分扫尾工作没有完成。</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spacing w:line="520" w:lineRule="exact"/>
        <w:ind w:firstLine="640" w:firstLineChars="200"/>
        <w:jc w:val="left"/>
        <w:rPr>
          <w:rFonts w:ascii="仿宋_GB2312" w:hAnsi="仿宋_GB2312" w:eastAsia="仿宋_GB2312" w:cs="仿宋_GB2312"/>
          <w:sz w:val="32"/>
          <w:szCs w:val="32"/>
        </w:rPr>
      </w:pPr>
    </w:p>
    <w:p>
      <w:pPr>
        <w:spacing w:line="520" w:lineRule="exact"/>
        <w:ind w:firstLine="640" w:firstLineChars="200"/>
        <w:jc w:val="left"/>
        <w:rPr>
          <w:rFonts w:ascii="仿宋_GB2312" w:hAnsi="仿宋_GB2312" w:eastAsia="仿宋_GB2312" w:cs="仿宋_GB2312"/>
          <w:sz w:val="32"/>
          <w:szCs w:val="32"/>
        </w:rPr>
      </w:pPr>
    </w:p>
    <w:p>
      <w:pPr>
        <w:spacing w:line="520" w:lineRule="exact"/>
        <w:ind w:firstLine="5120" w:firstLineChars="1600"/>
        <w:jc w:val="left"/>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新晃侗族自治县</w:t>
      </w:r>
      <w:r>
        <w:rPr>
          <w:rFonts w:ascii="仿宋_GB2312" w:hAnsi="仿宋_GB2312" w:eastAsia="仿宋_GB2312" w:cs="仿宋_GB2312"/>
          <w:sz w:val="32"/>
          <w:szCs w:val="32"/>
        </w:rPr>
        <w:t>水利局</w:t>
      </w:r>
    </w:p>
    <w:p>
      <w:pPr>
        <w:spacing w:line="52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2</w:t>
      </w:r>
      <w:r>
        <w:rPr>
          <w:rFonts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4</w:t>
      </w:r>
      <w:r>
        <w:rPr>
          <w:rFonts w:ascii="仿宋_GB2312" w:hAnsi="仿宋_GB2312" w:eastAsia="仿宋_GB2312" w:cs="仿宋_GB2312"/>
          <w:sz w:val="32"/>
          <w:szCs w:val="32"/>
        </w:rPr>
        <w:t xml:space="preserve">年 </w:t>
      </w:r>
      <w:r>
        <w:rPr>
          <w:rFonts w:hint="eastAsia" w:ascii="仿宋_GB2312" w:hAnsi="仿宋_GB2312" w:eastAsia="仿宋_GB2312" w:cs="仿宋_GB2312"/>
          <w:sz w:val="32"/>
          <w:szCs w:val="32"/>
          <w:lang w:val="en-US" w:eastAsia="zh-CN"/>
        </w:rPr>
        <w:t>4</w:t>
      </w:r>
      <w:r>
        <w:rPr>
          <w:rFonts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ascii="仿宋_GB2312" w:hAnsi="仿宋_GB2312" w:eastAsia="仿宋_GB2312" w:cs="仿宋_GB2312"/>
          <w:sz w:val="32"/>
          <w:szCs w:val="32"/>
        </w:rPr>
        <w:t>日</w:t>
      </w:r>
    </w:p>
    <w:sectPr>
      <w:pgSz w:w="11906" w:h="16838"/>
      <w:pgMar w:top="1701" w:right="1417" w:bottom="1134" w:left="1531" w:header="851" w:footer="992" w:gutter="0"/>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6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JhYWFlNWU2ZDI3Zjc5MTcyNTQxYTEyOWRhZDM4ODAifQ=="/>
  </w:docVars>
  <w:rsids>
    <w:rsidRoot w:val="4CDA7BB0"/>
    <w:rsid w:val="000532A5"/>
    <w:rsid w:val="00061239"/>
    <w:rsid w:val="002D418C"/>
    <w:rsid w:val="003317C2"/>
    <w:rsid w:val="003806F6"/>
    <w:rsid w:val="003D35DB"/>
    <w:rsid w:val="003E4C8A"/>
    <w:rsid w:val="005849BE"/>
    <w:rsid w:val="005D498D"/>
    <w:rsid w:val="0065663C"/>
    <w:rsid w:val="00680585"/>
    <w:rsid w:val="00695E8B"/>
    <w:rsid w:val="00732127"/>
    <w:rsid w:val="00896ECA"/>
    <w:rsid w:val="00A0135A"/>
    <w:rsid w:val="00A77324"/>
    <w:rsid w:val="00AE04B1"/>
    <w:rsid w:val="00B4528F"/>
    <w:rsid w:val="00B5282C"/>
    <w:rsid w:val="00C073EF"/>
    <w:rsid w:val="00C16210"/>
    <w:rsid w:val="00CE44E4"/>
    <w:rsid w:val="00CF7113"/>
    <w:rsid w:val="00D77613"/>
    <w:rsid w:val="00E0628C"/>
    <w:rsid w:val="00E25040"/>
    <w:rsid w:val="00E744F5"/>
    <w:rsid w:val="01F465A4"/>
    <w:rsid w:val="038102A2"/>
    <w:rsid w:val="03AB7081"/>
    <w:rsid w:val="06F77884"/>
    <w:rsid w:val="0807515F"/>
    <w:rsid w:val="094F6E2D"/>
    <w:rsid w:val="0B4D79F7"/>
    <w:rsid w:val="0CF1718A"/>
    <w:rsid w:val="0F680C27"/>
    <w:rsid w:val="140C43A0"/>
    <w:rsid w:val="1A1722EF"/>
    <w:rsid w:val="1A2D5750"/>
    <w:rsid w:val="1A490C24"/>
    <w:rsid w:val="1BC9014A"/>
    <w:rsid w:val="1C3051EF"/>
    <w:rsid w:val="1E0F26E8"/>
    <w:rsid w:val="1E441E4C"/>
    <w:rsid w:val="1EBC4976"/>
    <w:rsid w:val="200D2F0B"/>
    <w:rsid w:val="211B1F71"/>
    <w:rsid w:val="236B0BDF"/>
    <w:rsid w:val="26B230F9"/>
    <w:rsid w:val="26C32E2D"/>
    <w:rsid w:val="27245D0C"/>
    <w:rsid w:val="27826998"/>
    <w:rsid w:val="29C8601B"/>
    <w:rsid w:val="2B885DFE"/>
    <w:rsid w:val="2C494A44"/>
    <w:rsid w:val="31256E76"/>
    <w:rsid w:val="3A56049D"/>
    <w:rsid w:val="3B765F9D"/>
    <w:rsid w:val="3D5C4DA9"/>
    <w:rsid w:val="3F167A15"/>
    <w:rsid w:val="3FC20AC7"/>
    <w:rsid w:val="43DE7315"/>
    <w:rsid w:val="48A517CC"/>
    <w:rsid w:val="49366268"/>
    <w:rsid w:val="4A3577B4"/>
    <w:rsid w:val="4B3035FB"/>
    <w:rsid w:val="4B835976"/>
    <w:rsid w:val="4B881EAA"/>
    <w:rsid w:val="4BF90AAB"/>
    <w:rsid w:val="4BFB5A77"/>
    <w:rsid w:val="4CDA7BB0"/>
    <w:rsid w:val="4D504DD4"/>
    <w:rsid w:val="4DED2107"/>
    <w:rsid w:val="4F975137"/>
    <w:rsid w:val="508516B5"/>
    <w:rsid w:val="50C9489B"/>
    <w:rsid w:val="52630972"/>
    <w:rsid w:val="52C663C8"/>
    <w:rsid w:val="56580E58"/>
    <w:rsid w:val="57213123"/>
    <w:rsid w:val="59EE6F4F"/>
    <w:rsid w:val="5B620603"/>
    <w:rsid w:val="5BBD11FA"/>
    <w:rsid w:val="5BE25AA7"/>
    <w:rsid w:val="62035144"/>
    <w:rsid w:val="63E40895"/>
    <w:rsid w:val="674E31AF"/>
    <w:rsid w:val="6C6F4888"/>
    <w:rsid w:val="6CF027FC"/>
    <w:rsid w:val="6F534410"/>
    <w:rsid w:val="709E4FA5"/>
    <w:rsid w:val="714266F1"/>
    <w:rsid w:val="71BF7674"/>
    <w:rsid w:val="727C3533"/>
    <w:rsid w:val="75496FF6"/>
    <w:rsid w:val="75853E55"/>
    <w:rsid w:val="77573AA8"/>
    <w:rsid w:val="78340041"/>
    <w:rsid w:val="7DCC6D01"/>
    <w:rsid w:val="7F2B76F2"/>
    <w:rsid w:val="7F8E2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autoRedefine/>
    <w:unhideWhenUsed/>
    <w:qFormat/>
    <w:uiPriority w:val="0"/>
    <w:pPr>
      <w:tabs>
        <w:tab w:val="center" w:pos="4153"/>
        <w:tab w:val="right" w:pos="8306"/>
      </w:tabs>
      <w:snapToGrid w:val="0"/>
      <w:jc w:val="left"/>
    </w:pPr>
    <w:rPr>
      <w:sz w:val="18"/>
      <w:szCs w:val="18"/>
    </w:rPr>
  </w:style>
  <w:style w:type="paragraph" w:styleId="3">
    <w:name w:val="header"/>
    <w:basedOn w:val="1"/>
    <w:link w:val="1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font01"/>
    <w:basedOn w:val="7"/>
    <w:uiPriority w:val="0"/>
    <w:rPr>
      <w:rFonts w:hint="default" w:ascii="Arial" w:hAnsi="Arial" w:cs="Arial"/>
      <w:color w:val="000000"/>
      <w:sz w:val="20"/>
      <w:szCs w:val="20"/>
      <w:u w:val="none"/>
    </w:rPr>
  </w:style>
  <w:style w:type="character" w:customStyle="1" w:styleId="9">
    <w:name w:val="font11"/>
    <w:basedOn w:val="7"/>
    <w:autoRedefine/>
    <w:qFormat/>
    <w:uiPriority w:val="0"/>
    <w:rPr>
      <w:rFonts w:hint="eastAsia" w:ascii="宋体" w:hAnsi="宋体" w:eastAsia="宋体" w:cs="宋体"/>
      <w:color w:val="000000"/>
      <w:sz w:val="20"/>
      <w:szCs w:val="20"/>
      <w:u w:val="none"/>
    </w:rPr>
  </w:style>
  <w:style w:type="character" w:customStyle="1" w:styleId="10">
    <w:name w:val="页眉 Char"/>
    <w:basedOn w:val="7"/>
    <w:link w:val="3"/>
    <w:autoRedefine/>
    <w:qFormat/>
    <w:uiPriority w:val="0"/>
    <w:rPr>
      <w:rFonts w:asciiTheme="minorHAnsi" w:hAnsiTheme="minorHAnsi" w:eastAsiaTheme="minorEastAsia" w:cstheme="minorBidi"/>
      <w:kern w:val="2"/>
      <w:sz w:val="18"/>
      <w:szCs w:val="18"/>
    </w:rPr>
  </w:style>
  <w:style w:type="character" w:customStyle="1" w:styleId="11">
    <w:name w:val="页脚 Char"/>
    <w:basedOn w:val="7"/>
    <w:link w:val="2"/>
    <w:uiPriority w:val="0"/>
    <w:rPr>
      <w:rFonts w:asciiTheme="minorHAnsi" w:hAnsiTheme="minorHAnsi" w:eastAsiaTheme="minorEastAsia" w:cstheme="minorBidi"/>
      <w:kern w:val="2"/>
      <w:sz w:val="18"/>
      <w:szCs w:val="18"/>
    </w:rPr>
  </w:style>
  <w:style w:type="paragraph" w:styleId="12">
    <w:name w:val="List Paragraph"/>
    <w:basedOn w:val="1"/>
    <w:qFormat/>
    <w:uiPriority w:val="1"/>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313</Words>
  <Characters>1790</Characters>
  <Lines>14</Lines>
  <Paragraphs>4</Paragraphs>
  <TotalTime>65</TotalTime>
  <ScaleCrop>false</ScaleCrop>
  <LinksUpToDate>false</LinksUpToDate>
  <CharactersWithSpaces>2099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2023-04-23T08:48:00Z</dcterms:created>
  <dc:creator>桔子</dc:creator>
  <cp:lastModifiedBy>Administrator</cp:lastModifiedBy>
  <dcterms:modified xsi:type="dcterms:W3CDTF">2024-04-18T03:09:27Z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939B97443D3A419387579ACBAA12F940_11</vt:lpwstr>
  </property>
</Properties>
</file>