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20"/>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2022年度新晃县</w:t>
      </w:r>
      <w:r>
        <w:rPr>
          <w:rFonts w:hint="eastAsia" w:ascii="方正小标宋简体" w:hAnsi="方正小标宋简体" w:eastAsia="方正小标宋简体" w:cs="方正小标宋简体"/>
          <w:b w:val="0"/>
          <w:bCs/>
          <w:color w:val="auto"/>
          <w:sz w:val="44"/>
          <w:szCs w:val="44"/>
          <w:lang w:eastAsia="zh-CN"/>
        </w:rPr>
        <w:t>水利前期经费</w:t>
      </w:r>
      <w:r>
        <w:rPr>
          <w:rFonts w:hint="eastAsia" w:ascii="方正小标宋简体" w:hAnsi="方正小标宋简体" w:eastAsia="方正小标宋简体" w:cs="方正小标宋简体"/>
          <w:b w:val="0"/>
          <w:bCs/>
          <w:color w:val="auto"/>
          <w:sz w:val="44"/>
          <w:szCs w:val="44"/>
        </w:rPr>
        <w:t>支出绩效</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20"/>
        <w:jc w:val="center"/>
        <w:textAlignment w:val="auto"/>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自评报告</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楷体_GB2312" w:hAnsi="微软雅黑" w:eastAsia="楷体_GB2312"/>
          <w:b/>
          <w:color w:val="auto"/>
          <w:sz w:val="32"/>
          <w:szCs w:val="32"/>
        </w:r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一、基本情况</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（一）项目概况。</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1、城乡供水一体化前期6万：</w:t>
      </w:r>
      <w:r>
        <w:rPr>
          <w:rFonts w:hint="eastAsia" w:ascii="仿宋_GB2312" w:hAnsi="仿宋_GB2312" w:eastAsia="仿宋_GB2312" w:cs="仿宋_GB2312"/>
          <w:color w:val="auto"/>
          <w:sz w:val="32"/>
          <w:szCs w:val="32"/>
        </w:rPr>
        <w:t>2020年4月，我县完成了《新晃县十四五农村供水保障规划》，并通过了县人民政府审批，规划根据我县县情，按照大水源、大水厂、大管网的思路对全县农村供水进行了布局，并提出了我县同质、同价、同服务的城乡供水一体化模式。2022年1月我县编制了《新晃县城乡供水一体化可行性研究报告》，并在发改局立项。我县城乡供水一体化主要通过新建规模化供水工程，建设稳定水源，以大并小、小小联合的方式推进。规划新建波洲镇县城管网延伸工程1处，新建或改建朝阳水厂、姑召水厂、贡溪水厂、凉伞水厂等万人工程4处，覆盖我县农村人口和经济密集区域；规划千人工程17处，千人以下工程283处，覆盖其他分散区域。</w:t>
      </w:r>
      <w:r>
        <w:rPr>
          <w:rFonts w:hint="eastAsia" w:ascii="仿宋_GB2312" w:hAnsi="仿宋_GB2312" w:eastAsia="仿宋_GB2312" w:cs="仿宋_GB2312"/>
          <w:color w:val="auto"/>
          <w:sz w:val="32"/>
          <w:szCs w:val="32"/>
          <w:lang w:eastAsia="zh-CN"/>
        </w:rPr>
        <w:t>受益人口</w:t>
      </w:r>
      <w:r>
        <w:rPr>
          <w:rFonts w:hint="eastAsia" w:ascii="仿宋_GB2312" w:hAnsi="仿宋_GB2312" w:eastAsia="仿宋_GB2312" w:cs="仿宋_GB2312"/>
          <w:color w:val="auto"/>
          <w:sz w:val="32"/>
          <w:szCs w:val="32"/>
          <w:lang w:val="en-US" w:eastAsia="zh-CN"/>
        </w:rPr>
        <w:t>21万余人。</w:t>
      </w:r>
      <w:r>
        <w:rPr>
          <w:rFonts w:hint="eastAsia" w:ascii="仿宋_GB2312" w:hAnsi="仿宋_GB2312" w:eastAsia="仿宋_GB2312" w:cs="仿宋_GB2312"/>
          <w:color w:val="auto"/>
          <w:sz w:val="32"/>
          <w:szCs w:val="32"/>
        </w:rPr>
        <w:t>实现农村自来水普及率将达到95%以上，规模化供水工程覆盖人口53%以上。</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2、水利县级空间布局规划等前期工作：</w:t>
      </w:r>
      <w:r>
        <w:rPr>
          <w:rFonts w:hint="eastAsia" w:ascii="仿宋_GB2312" w:hAnsi="仿宋_GB2312" w:eastAsia="仿宋_GB2312" w:cs="仿宋_GB2312"/>
          <w:color w:val="auto"/>
          <w:sz w:val="32"/>
          <w:szCs w:val="32"/>
        </w:rPr>
        <w:t>根据《水利部办公厅关于印发水利基础设施空间布局规划编制工作方案和技术大纲的通知》《办规划〔2019〕29号》、《湖南省水利厅关于印发水利基础设施空间布局规划编制工作方案和技术大纲的通知》（湘水发〔2020〕2号）、《湖南省水利厅湖南省发展和改革委员会关于组织开展市县两级水安全规划编制工作的通知》（湘水发〔2020〕6号）等通知要求</w:t>
      </w:r>
      <w:r>
        <w:rPr>
          <w:rFonts w:hint="eastAsia" w:ascii="仿宋_GB2312" w:hAnsi="仿宋_GB2312" w:eastAsia="仿宋_GB2312" w:cs="仿宋_GB2312"/>
          <w:color w:val="auto"/>
          <w:sz w:val="32"/>
          <w:szCs w:val="32"/>
          <w:lang w:eastAsia="zh-CN"/>
        </w:rPr>
        <w:t>。主要完成：</w:t>
      </w:r>
      <w:r>
        <w:rPr>
          <w:rFonts w:hint="eastAsia" w:ascii="仿宋_GB2312" w:hAnsi="仿宋_GB2312" w:eastAsia="仿宋_GB2312" w:cs="仿宋_GB2312"/>
          <w:b/>
          <w:bCs/>
          <w:color w:val="auto"/>
          <w:sz w:val="32"/>
          <w:szCs w:val="32"/>
          <w:lang w:eastAsia="zh-CN"/>
        </w:rPr>
        <w:t>一是</w:t>
      </w:r>
      <w:r>
        <w:rPr>
          <w:rFonts w:hint="eastAsia" w:ascii="仿宋_GB2312" w:hAnsi="仿宋_GB2312" w:eastAsia="仿宋_GB2312" w:cs="仿宋_GB2312"/>
          <w:b/>
          <w:bCs/>
          <w:color w:val="auto"/>
          <w:sz w:val="32"/>
          <w:szCs w:val="32"/>
        </w:rPr>
        <w:t>县级水利基础设施空间布局规划</w:t>
      </w:r>
      <w:r>
        <w:rPr>
          <w:rFonts w:hint="eastAsia" w:ascii="仿宋_GB2312" w:hAnsi="仿宋_GB2312" w:eastAsia="仿宋_GB2312" w:cs="仿宋_GB2312"/>
          <w:color w:val="auto"/>
          <w:sz w:val="32"/>
          <w:szCs w:val="32"/>
        </w:rPr>
        <w:t>。充分利用已有水利规划成果，统筹考虑经济社会高质量发展、社会主义现代化建设、生态文明建设等对水生态保护修复、水利基础设施建设等新要求，研究提出到2025年、2035年防洪排涝、水资源配置、水生态保护修复、涉水空间管控的目标，并展望到2050年。</w:t>
      </w:r>
      <w:r>
        <w:rPr>
          <w:rFonts w:hint="eastAsia" w:ascii="仿宋_GB2312" w:hAnsi="仿宋_GB2312" w:eastAsia="仿宋_GB2312" w:cs="仿宋_GB2312"/>
          <w:b/>
          <w:bCs/>
          <w:color w:val="auto"/>
          <w:sz w:val="32"/>
          <w:szCs w:val="32"/>
          <w:lang w:eastAsia="zh-CN"/>
        </w:rPr>
        <w:t>二是</w:t>
      </w:r>
      <w:r>
        <w:rPr>
          <w:rFonts w:hint="eastAsia" w:ascii="仿宋_GB2312" w:hAnsi="仿宋_GB2312" w:eastAsia="仿宋_GB2312" w:cs="仿宋_GB2312"/>
          <w:b/>
          <w:bCs/>
          <w:color w:val="auto"/>
          <w:sz w:val="32"/>
          <w:szCs w:val="32"/>
        </w:rPr>
        <w:t>县级“十四五”水安全保障规划。</w:t>
      </w:r>
      <w:r>
        <w:rPr>
          <w:rFonts w:hint="eastAsia" w:ascii="仿宋_GB2312" w:hAnsi="仿宋_GB2312" w:eastAsia="仿宋_GB2312" w:cs="仿宋_GB2312"/>
          <w:color w:val="auto"/>
          <w:sz w:val="32"/>
          <w:szCs w:val="32"/>
        </w:rPr>
        <w:t>落实湖南省水安全战略，着力补齐水利工程短板，建设战略性和网络型水利基础设施，加快完善防洪、饮水、用水、河湖生态四大体系，全面提升水安全保障能力。</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bCs/>
          <w:color w:val="auto"/>
          <w:sz w:val="32"/>
          <w:szCs w:val="32"/>
        </w:rPr>
        <w:t>县级“十四五”水利规划。</w:t>
      </w:r>
      <w:r>
        <w:rPr>
          <w:rFonts w:hint="eastAsia" w:ascii="仿宋_GB2312" w:hAnsi="仿宋_GB2312" w:eastAsia="仿宋_GB2312" w:cs="仿宋_GB2312"/>
          <w:color w:val="auto"/>
          <w:sz w:val="32"/>
          <w:szCs w:val="32"/>
        </w:rPr>
        <w:t>对2016年前群众集资建设和各类项目支持的人饮工程进行维修和改造，涉及11个乡镇30多处供水工程，主要对管网、水源工程、蓄水池等进行维修和改造。</w:t>
      </w:r>
      <w:r>
        <w:rPr>
          <w:rFonts w:hint="eastAsia" w:ascii="仿宋_GB2312" w:hAnsi="仿宋_GB2312" w:eastAsia="仿宋_GB2312" w:cs="仿宋_GB2312"/>
          <w:color w:val="auto"/>
          <w:sz w:val="32"/>
          <w:szCs w:val="32"/>
          <w:lang w:eastAsia="zh-CN"/>
        </w:rPr>
        <w:t>四是</w:t>
      </w:r>
      <w:r>
        <w:rPr>
          <w:rFonts w:hint="eastAsia" w:ascii="仿宋_GB2312" w:hAnsi="仿宋_GB2312" w:eastAsia="仿宋_GB2312" w:cs="仿宋_GB2312"/>
          <w:color w:val="auto"/>
          <w:sz w:val="32"/>
          <w:szCs w:val="32"/>
        </w:rPr>
        <w:t>县级“十四五”农村供水保障规划</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建立一个覆盖全县所有消毒设备的远程监测系统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实现对全县所有消毒设备的运行情况的在线实时监测和管理，提升水质监督管理水平</w:t>
      </w:r>
      <w:r>
        <w:rPr>
          <w:rFonts w:hint="eastAsia" w:ascii="仿宋_GB2312" w:hAnsi="仿宋_GB2312" w:eastAsia="仿宋_GB2312" w:cs="仿宋_GB2312"/>
          <w:color w:val="auto"/>
          <w:sz w:val="32"/>
          <w:szCs w:val="32"/>
          <w:lang w:val="en-US" w:eastAsia="zh-CN"/>
        </w:rPr>
        <w:t>.做好</w:t>
      </w:r>
      <w:r>
        <w:rPr>
          <w:rFonts w:hint="eastAsia" w:ascii="仿宋_GB2312" w:hAnsi="仿宋_GB2312" w:eastAsia="仿宋_GB2312" w:cs="仿宋_GB2312"/>
          <w:color w:val="auto"/>
          <w:sz w:val="32"/>
          <w:szCs w:val="32"/>
        </w:rPr>
        <w:t>河流超标洪水防御预案</w:t>
      </w:r>
      <w:r>
        <w:rPr>
          <w:rFonts w:hint="eastAsia" w:ascii="仿宋_GB2312" w:hAnsi="仿宋_GB2312" w:eastAsia="仿宋_GB2312" w:cs="仿宋_GB2312"/>
          <w:color w:val="auto"/>
          <w:sz w:val="32"/>
          <w:szCs w:val="32"/>
          <w:lang w:eastAsia="zh-CN"/>
        </w:rPr>
        <w:t>。与湖南中天水利水电勘察设计有限公司签订了设计合同，总金额为</w:t>
      </w:r>
      <w:r>
        <w:rPr>
          <w:rFonts w:hint="eastAsia" w:ascii="仿宋_GB2312" w:hAnsi="仿宋_GB2312" w:eastAsia="仿宋_GB2312" w:cs="仿宋_GB2312"/>
          <w:color w:val="auto"/>
          <w:sz w:val="32"/>
          <w:szCs w:val="32"/>
          <w:lang w:val="en-US" w:eastAsia="zh-CN"/>
        </w:rPr>
        <w:t>47.62万元，支付10万元。</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3、水库大坝安全鉴定：</w:t>
      </w:r>
      <w:r>
        <w:rPr>
          <w:rFonts w:hint="eastAsia" w:ascii="仿宋_GB2312" w:hAnsi="仿宋_GB2312" w:eastAsia="仿宋_GB2312" w:cs="仿宋_GB2312"/>
          <w:color w:val="auto"/>
          <w:sz w:val="32"/>
          <w:szCs w:val="32"/>
        </w:rPr>
        <w:t>根据水利部颁发的《水库大坝安全鉴定办法》、《湖南省水利厅办公室关于进一步做好全省水库大坝安全鉴定工作的通知》(湘水办函[2019]113号).《水利部办公厅关于加强水库大坝安全鉴定和降等报废工作的通知》(办运管[2020]40号),水库大坝实行定期安全鉴定制度,首次安全鉴定在竣工验收后5年内进行，以后每隔6-10年鉴定一次。按照电站“一站一策”方案，小水电清理整改</w:t>
      </w:r>
      <w:r>
        <w:rPr>
          <w:rFonts w:hint="eastAsia" w:ascii="仿宋_GB2312" w:hAnsi="仿宋_GB2312" w:eastAsia="仿宋_GB2312" w:cs="仿宋_GB2312"/>
          <w:color w:val="auto"/>
          <w:sz w:val="32"/>
          <w:szCs w:val="32"/>
          <w:lang w:eastAsia="zh-CN"/>
        </w:rPr>
        <w:t>及</w:t>
      </w:r>
      <w:r>
        <w:rPr>
          <w:rFonts w:hint="eastAsia" w:ascii="仿宋_GB2312" w:hAnsi="仿宋_GB2312" w:eastAsia="仿宋_GB2312" w:cs="仿宋_GB2312"/>
          <w:color w:val="auto"/>
          <w:sz w:val="32"/>
          <w:szCs w:val="32"/>
        </w:rPr>
        <w:t>水利部2020年小型水库安全运行专项检查问题清单大田、姑召、板凳坡水库</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半溪、芦冲、刘坪、苗冲、钟家垅、水桶溪、地门前、大坪坡、坪南、塘洞、新溪冲)需完成大坝安全鉴定。</w:t>
      </w:r>
      <w:r>
        <w:rPr>
          <w:rFonts w:hint="eastAsia" w:ascii="仿宋_GB2312" w:hAnsi="仿宋_GB2312" w:eastAsia="仿宋_GB2312" w:cs="仿宋_GB2312"/>
          <w:color w:val="auto"/>
          <w:sz w:val="32"/>
          <w:szCs w:val="32"/>
          <w:lang w:eastAsia="zh-CN"/>
        </w:rPr>
        <w:t>该项目</w:t>
      </w:r>
      <w:r>
        <w:rPr>
          <w:rFonts w:hint="eastAsia" w:ascii="仿宋_GB2312" w:hAnsi="仿宋_GB2312" w:eastAsia="仿宋_GB2312" w:cs="仿宋_GB2312"/>
          <w:color w:val="auto"/>
          <w:sz w:val="32"/>
          <w:szCs w:val="32"/>
          <w:lang w:val="en-US" w:eastAsia="zh-CN"/>
        </w:rPr>
        <w:t>2021年列入预算，2021年9月16日与水发规划设计有限公司鉴定《工程(勘察）设计合同，合同总45.65万元。已支付20.2万元。</w:t>
      </w:r>
      <w:r>
        <w:rPr>
          <w:rFonts w:hint="eastAsia" w:ascii="仿宋_GB2312" w:hAnsi="仿宋_GB2312" w:eastAsia="仿宋_GB2312" w:cs="仿宋_GB2312"/>
          <w:color w:val="auto"/>
          <w:sz w:val="32"/>
          <w:szCs w:val="32"/>
        </w:rPr>
        <w:br w:type="textWrapping"/>
      </w:r>
      <w:r>
        <w:rPr>
          <w:rFonts w:hint="eastAsia" w:ascii="仿宋_GB2312" w:hAnsi="仿宋_GB2312" w:eastAsia="仿宋_GB2312" w:cs="仿宋_GB2312"/>
          <w:color w:val="auto"/>
          <w:sz w:val="32"/>
          <w:szCs w:val="32"/>
          <w:lang w:val="en-US" w:eastAsia="zh-CN"/>
        </w:rPr>
        <w:t xml:space="preserve">    4、农村饮水安全工程设计。2018脱贫攻坚农村饮水安全5个乡镇197个村民小组，与肇庆市水利水电勘测设计有限公司签订《建设工程设计合同》合同总金额48.3万元，已支付34.6万元（其中：本年支年10万元）；新晃县2019年农村饮水安全巩固提升工程设计工程与湖南九一工程设计有限公司签订了合同，总金额为31.88万元，本年度总支付10万元。</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5、其他经费：主要用于项目办公费及项目实施工作出差，总计42050元，有利的促进了水利项目的实施。</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default" w:ascii="仿宋_GB2312" w:hAnsi="微软雅黑" w:eastAsia="仿宋_GB2312"/>
          <w:color w:val="auto"/>
          <w:sz w:val="32"/>
          <w:szCs w:val="32"/>
          <w:lang w:val="en-US" w:eastAsia="zh-CN"/>
        </w:rPr>
      </w:pPr>
      <w:r>
        <w:rPr>
          <w:rFonts w:hint="eastAsia" w:ascii="仿宋_GB2312" w:hAnsi="仿宋_GB2312" w:eastAsia="仿宋_GB2312" w:cs="仿宋_GB2312"/>
          <w:color w:val="auto"/>
          <w:sz w:val="32"/>
          <w:szCs w:val="32"/>
        </w:rPr>
        <w:t>城乡供水一体化前期6万</w:t>
      </w:r>
      <w:r>
        <w:rPr>
          <w:rFonts w:hint="eastAsia" w:ascii="仿宋_GB2312" w:hAnsi="仿宋_GB2312" w:eastAsia="仿宋_GB2312" w:cs="仿宋_GB2312"/>
          <w:color w:val="auto"/>
          <w:sz w:val="32"/>
          <w:szCs w:val="32"/>
          <w:lang w:eastAsia="zh-CN"/>
        </w:rPr>
        <w:t>元</w:t>
      </w:r>
      <w:r>
        <w:rPr>
          <w:rFonts w:hint="eastAsia" w:ascii="仿宋_GB2312" w:hAnsi="仿宋_GB2312" w:eastAsia="仿宋_GB2312" w:cs="仿宋_GB2312"/>
          <w:color w:val="auto"/>
          <w:sz w:val="32"/>
          <w:szCs w:val="32"/>
        </w:rPr>
        <w:t>，县级空间布局规划10万元，水库大坝安全鉴定20.2万</w:t>
      </w:r>
      <w:r>
        <w:rPr>
          <w:rFonts w:hint="eastAsia" w:ascii="仿宋_GB2312" w:hAnsi="仿宋_GB2312" w:eastAsia="仿宋_GB2312" w:cs="仿宋_GB2312"/>
          <w:color w:val="auto"/>
          <w:sz w:val="32"/>
          <w:szCs w:val="32"/>
          <w:lang w:eastAsia="zh-CN"/>
        </w:rPr>
        <w:t>元</w:t>
      </w:r>
      <w:r>
        <w:rPr>
          <w:rFonts w:hint="eastAsia" w:ascii="仿宋_GB2312" w:hAnsi="仿宋_GB2312" w:eastAsia="仿宋_GB2312" w:cs="仿宋_GB2312"/>
          <w:color w:val="auto"/>
          <w:sz w:val="32"/>
          <w:szCs w:val="32"/>
        </w:rPr>
        <w:t>，办公费42050元，2018人饮设计费10万</w:t>
      </w:r>
      <w:r>
        <w:rPr>
          <w:rFonts w:hint="eastAsia" w:ascii="仿宋_GB2312" w:hAnsi="仿宋_GB2312" w:eastAsia="仿宋_GB2312" w:cs="仿宋_GB2312"/>
          <w:color w:val="auto"/>
          <w:sz w:val="32"/>
          <w:szCs w:val="32"/>
          <w:lang w:eastAsia="zh-CN"/>
        </w:rPr>
        <w:t>元</w:t>
      </w:r>
      <w:r>
        <w:rPr>
          <w:rFonts w:hint="eastAsia" w:ascii="仿宋_GB2312" w:hAnsi="仿宋_GB2312" w:eastAsia="仿宋_GB2312" w:cs="仿宋_GB2312"/>
          <w:color w:val="auto"/>
          <w:sz w:val="32"/>
          <w:szCs w:val="32"/>
        </w:rPr>
        <w:t>，2019人饮设计费10万</w:t>
      </w:r>
      <w:r>
        <w:rPr>
          <w:rFonts w:hint="eastAsia" w:ascii="仿宋_GB2312" w:hAnsi="仿宋_GB2312" w:eastAsia="仿宋_GB2312" w:cs="仿宋_GB2312"/>
          <w:color w:val="auto"/>
          <w:sz w:val="32"/>
          <w:szCs w:val="32"/>
          <w:lang w:eastAsia="zh-CN"/>
        </w:rPr>
        <w:t>元</w:t>
      </w:r>
      <w:r>
        <w:rPr>
          <w:rFonts w:hint="eastAsia" w:ascii="仿宋_GB2312" w:hAnsi="仿宋_GB2312" w:eastAsia="仿宋_GB2312" w:cs="仿宋_GB2312"/>
          <w:color w:val="auto"/>
          <w:sz w:val="32"/>
          <w:szCs w:val="32"/>
          <w:lang w:val="en-US" w:eastAsia="zh-CN"/>
        </w:rPr>
        <w:t>.总计拨款604050元。</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w:t>
      </w:r>
      <w:r>
        <w:rPr>
          <w:rFonts w:hint="eastAsia" w:ascii="楷体_GB2312" w:hAnsi="楷体_GB2312" w:eastAsia="楷体_GB2312" w:cs="楷体_GB2312"/>
          <w:b/>
          <w:bCs/>
          <w:color w:val="auto"/>
          <w:sz w:val="32"/>
          <w:szCs w:val="32"/>
        </w:rPr>
        <w:t>二）项目绩效目标。</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微软雅黑" w:eastAsia="仿宋_GB2312"/>
          <w:color w:val="auto"/>
          <w:sz w:val="32"/>
          <w:szCs w:val="32"/>
          <w:lang w:eastAsia="zh-CN"/>
        </w:rPr>
      </w:pPr>
      <w:r>
        <w:rPr>
          <w:rFonts w:hint="eastAsia" w:ascii="仿宋_GB2312" w:hAnsi="微软雅黑" w:eastAsia="仿宋_GB2312"/>
          <w:color w:val="auto"/>
          <w:sz w:val="32"/>
          <w:szCs w:val="32"/>
        </w:rPr>
        <w:t>总体目标：完</w:t>
      </w:r>
      <w:r>
        <w:rPr>
          <w:rFonts w:hint="eastAsia" w:ascii="仿宋_GB2312" w:hAnsi="微软雅黑" w:eastAsia="仿宋_GB2312"/>
          <w:color w:val="auto"/>
          <w:sz w:val="32"/>
          <w:szCs w:val="32"/>
          <w:lang w:eastAsia="zh-CN"/>
        </w:rPr>
        <w:t>成水利项目前期工作，促进我县水利建设稳步发展，保障水利工程的顺利实施，确保水库的安全运行。</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二、绩效评价工作开展情况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仿宋_GB2312" w:hAnsi="微软雅黑" w:eastAsia="仿宋_GB2312"/>
          <w:color w:val="auto"/>
          <w:sz w:val="32"/>
          <w:szCs w:val="32"/>
          <w:lang w:eastAsia="zh-CN"/>
        </w:rPr>
      </w:pPr>
      <w:r>
        <w:rPr>
          <w:rFonts w:hint="eastAsia" w:ascii="楷体_GB2312" w:hAnsi="楷体_GB2312" w:eastAsia="楷体_GB2312" w:cs="楷体_GB2312"/>
          <w:b/>
          <w:bCs/>
          <w:color w:val="auto"/>
          <w:sz w:val="32"/>
          <w:szCs w:val="32"/>
        </w:rPr>
        <w:t>（一）绩效</w:t>
      </w:r>
      <w:r>
        <w:rPr>
          <w:rFonts w:hint="eastAsia" w:ascii="楷体_GB2312" w:hAnsi="楷体_GB2312" w:eastAsia="楷体_GB2312" w:cs="楷体_GB2312"/>
          <w:b/>
          <w:bCs/>
          <w:color w:val="auto"/>
          <w:sz w:val="32"/>
          <w:szCs w:val="32"/>
          <w:lang w:eastAsia="zh-CN"/>
        </w:rPr>
        <w:t>评价目的、对象和范围：</w:t>
      </w:r>
      <w:r>
        <w:rPr>
          <w:rFonts w:hint="eastAsia" w:ascii="仿宋_GB2312" w:hAnsi="微软雅黑" w:eastAsia="仿宋_GB2312"/>
          <w:color w:val="auto"/>
          <w:sz w:val="32"/>
          <w:szCs w:val="32"/>
          <w:lang w:eastAsia="zh-CN"/>
        </w:rPr>
        <w:t>绩效评价目的是为进一步规范水利前期专项资金管理，强化绩效和责任意识，切实提高专项资金使用效益。评价对象为水利前期项目。评价范围包括2022年度水利前期项目。</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仿宋_GB2312" w:hAnsi="微软雅黑" w:eastAsia="仿宋_GB2312"/>
          <w:color w:val="auto"/>
          <w:sz w:val="32"/>
          <w:szCs w:val="32"/>
          <w:lang w:eastAsia="zh-CN"/>
        </w:rPr>
      </w:pPr>
      <w:r>
        <w:rPr>
          <w:rFonts w:hint="eastAsia" w:ascii="楷体_GB2312" w:hAnsi="楷体_GB2312" w:eastAsia="楷体_GB2312" w:cs="楷体_GB2312"/>
          <w:b/>
          <w:bCs/>
          <w:color w:val="auto"/>
          <w:sz w:val="32"/>
          <w:szCs w:val="32"/>
        </w:rPr>
        <w:t>（二）绩效评价原则：</w:t>
      </w:r>
      <w:r>
        <w:rPr>
          <w:rFonts w:hint="eastAsia" w:ascii="仿宋_GB2312" w:hAnsi="微软雅黑" w:eastAsia="仿宋_GB2312"/>
          <w:color w:val="auto"/>
          <w:sz w:val="32"/>
          <w:szCs w:val="32"/>
          <w:lang w:eastAsia="zh-CN"/>
        </w:rPr>
        <w:t>坚持实事求是、公平、公开原则；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_GB2312" w:hAnsi="微软雅黑" w:eastAsia="仿宋_GB2312"/>
          <w:color w:val="auto"/>
          <w:sz w:val="32"/>
          <w:szCs w:val="32"/>
        </w:rPr>
      </w:pPr>
      <w:r>
        <w:rPr>
          <w:rFonts w:hint="eastAsia" w:ascii="楷体_GB2312" w:hAnsi="楷体_GB2312" w:eastAsia="楷体_GB2312" w:cs="楷体_GB2312"/>
          <w:b/>
          <w:bCs/>
          <w:color w:val="auto"/>
          <w:sz w:val="32"/>
          <w:szCs w:val="32"/>
        </w:rPr>
        <w:t>（三）绩效评价工作过程</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楷体_GB2312" w:hAnsi="微软雅黑" w:eastAsia="楷体_GB2312"/>
          <w:b/>
          <w:color w:val="auto"/>
          <w:sz w:val="32"/>
          <w:szCs w:val="32"/>
        </w:rPr>
      </w:pPr>
      <w:r>
        <w:rPr>
          <w:rFonts w:hint="eastAsia" w:ascii="仿宋_GB2312" w:hAnsi="微软雅黑" w:eastAsia="仿宋_GB2312"/>
          <w:color w:val="auto"/>
          <w:sz w:val="32"/>
          <w:szCs w:val="32"/>
          <w:lang w:eastAsia="zh-CN"/>
        </w:rPr>
        <w:t>根据《湖南省预算支出绩效评价管理办法》（湘财绩〔2020〕7号）和《新晃侗族自治县财政局关于开展2022年度部门预算支出绩效自评工作的通知》（晃财绩〔2023〕24号）等文件要求，我单位成立了绩效自评工作小组，对水利前期专项资金项目支出开展了绩效自评工作。组织人员收集项目资料，检查会计凭证，在规定的时间内，对项目的实施过程进行了全面、科学、细致的评价。</w:t>
      </w:r>
      <w:r>
        <w:rPr>
          <w:rFonts w:hint="eastAsia" w:ascii="仿宋_GB2312" w:hAnsi="微软雅黑" w:eastAsia="仿宋_GB2312"/>
          <w:color w:val="auto"/>
          <w:sz w:val="32"/>
          <w:szCs w:val="32"/>
          <w:lang w:eastAsia="zh-CN"/>
        </w:rPr>
        <w:br w:type="textWrapping"/>
      </w:r>
      <w:r>
        <w:rPr>
          <w:rFonts w:hint="eastAsia" w:ascii="仿宋_GB2312" w:hAnsi="微软雅黑" w:eastAsia="仿宋_GB2312"/>
          <w:color w:val="auto"/>
          <w:sz w:val="32"/>
          <w:szCs w:val="32"/>
          <w:lang w:val="en-US" w:eastAsia="zh-CN"/>
        </w:rPr>
        <w:t xml:space="preserve">  </w:t>
      </w:r>
      <w:r>
        <w:rPr>
          <w:rFonts w:hint="eastAsia" w:ascii="黑体" w:hAnsi="黑体" w:eastAsia="黑体" w:cs="黑体"/>
          <w:b w:val="0"/>
          <w:bCs/>
          <w:color w:val="auto"/>
          <w:sz w:val="32"/>
          <w:szCs w:val="32"/>
          <w:lang w:val="en-US" w:eastAsia="zh-CN"/>
        </w:rPr>
        <w:t xml:space="preserve"> </w:t>
      </w:r>
      <w:r>
        <w:rPr>
          <w:rFonts w:hint="eastAsia" w:ascii="黑体" w:hAnsi="黑体" w:eastAsia="黑体" w:cs="黑体"/>
          <w:b w:val="0"/>
          <w:bCs/>
          <w:color w:val="auto"/>
          <w:sz w:val="32"/>
          <w:szCs w:val="32"/>
        </w:rPr>
        <w:t>三、综合评价情况及评价结论</w:t>
      </w:r>
    </w:p>
    <w:p>
      <w:pPr>
        <w:pStyle w:val="2"/>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微软雅黑" w:eastAsia="仿宋_GB2312"/>
          <w:color w:val="auto"/>
          <w:sz w:val="32"/>
          <w:szCs w:val="32"/>
          <w:lang w:eastAsia="zh-CN"/>
        </w:rPr>
      </w:pPr>
      <w:r>
        <w:rPr>
          <w:rFonts w:hint="eastAsia" w:ascii="仿宋_GB2312" w:hAnsi="微软雅黑" w:eastAsia="仿宋_GB2312"/>
          <w:color w:val="auto"/>
          <w:sz w:val="32"/>
          <w:szCs w:val="32"/>
          <w:lang w:eastAsia="zh-CN"/>
        </w:rPr>
        <w:t>通过对水利人饮工程的设计，水利工程规划与编制工作，使我县水利建设迈上了一个新台阶。本次自评，对照项目绩效目标，从项目预算编制、项目组织管理、资金使用、项目产出、项目效益、满意度等方面逐一分析评价，总体自评得分</w:t>
      </w:r>
      <w:r>
        <w:rPr>
          <w:rFonts w:hint="eastAsia" w:ascii="仿宋_GB2312" w:hAnsi="微软雅黑" w:eastAsia="仿宋_GB2312"/>
          <w:color w:val="auto"/>
          <w:sz w:val="32"/>
          <w:szCs w:val="32"/>
          <w:lang w:val="en-US" w:eastAsia="zh-CN"/>
        </w:rPr>
        <w:t>100</w:t>
      </w:r>
      <w:r>
        <w:rPr>
          <w:rFonts w:hint="eastAsia" w:ascii="仿宋_GB2312" w:hAnsi="微软雅黑" w:eastAsia="仿宋_GB2312"/>
          <w:color w:val="auto"/>
          <w:sz w:val="32"/>
          <w:szCs w:val="32"/>
          <w:lang w:eastAsia="zh-CN"/>
        </w:rPr>
        <w:t>分，绩效评价等级为“优”。</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四、绩效评价指标分析</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（一）</w:t>
      </w:r>
      <w:r>
        <w:rPr>
          <w:rFonts w:hint="eastAsia" w:ascii="楷体_GB2312" w:hAnsi="楷体_GB2312" w:eastAsia="楷体_GB2312" w:cs="楷体_GB2312"/>
          <w:b/>
          <w:bCs/>
          <w:color w:val="auto"/>
          <w:sz w:val="32"/>
          <w:szCs w:val="32"/>
        </w:rPr>
        <w:t>项目决策情况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微软雅黑" w:eastAsia="仿宋_GB2312"/>
          <w:color w:val="auto"/>
          <w:sz w:val="32"/>
          <w:szCs w:val="32"/>
        </w:rPr>
      </w:pPr>
      <w:r>
        <w:rPr>
          <w:rFonts w:hint="eastAsia" w:ascii="仿宋_GB2312" w:hAnsi="微软雅黑" w:eastAsia="仿宋_GB2312"/>
          <w:color w:val="auto"/>
          <w:sz w:val="32"/>
          <w:szCs w:val="32"/>
          <w:lang w:eastAsia="zh-CN"/>
        </w:rPr>
        <w:t>县本级财政预算的水利前期工作经费，</w:t>
      </w:r>
      <w:r>
        <w:rPr>
          <w:rFonts w:hint="eastAsia" w:ascii="仿宋_GB2312" w:hAnsi="微软雅黑" w:eastAsia="仿宋_GB2312"/>
          <w:color w:val="auto"/>
          <w:sz w:val="32"/>
          <w:szCs w:val="32"/>
        </w:rPr>
        <w:t>严格按照</w:t>
      </w:r>
      <w:r>
        <w:rPr>
          <w:rFonts w:hint="eastAsia" w:ascii="仿宋_GB2312" w:hAnsi="微软雅黑" w:eastAsia="仿宋_GB2312"/>
          <w:color w:val="auto"/>
          <w:sz w:val="32"/>
          <w:szCs w:val="32"/>
          <w:lang w:eastAsia="zh-CN"/>
        </w:rPr>
        <w:t>预算资金管理办法之</w:t>
      </w:r>
      <w:r>
        <w:rPr>
          <w:rFonts w:hint="eastAsia" w:ascii="仿宋_GB2312" w:hAnsi="微软雅黑" w:eastAsia="仿宋_GB2312"/>
          <w:color w:val="auto"/>
          <w:sz w:val="32"/>
          <w:szCs w:val="32"/>
        </w:rPr>
        <w:t>规定进行使用。</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（二）项目过程情况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微软雅黑" w:eastAsia="仿宋_GB2312"/>
          <w:color w:val="auto"/>
          <w:sz w:val="32"/>
          <w:szCs w:val="32"/>
          <w:lang w:val="en-US" w:eastAsia="zh-CN"/>
        </w:rPr>
      </w:pPr>
      <w:r>
        <w:rPr>
          <w:rFonts w:hint="eastAsia" w:ascii="仿宋_GB2312" w:hAnsi="微软雅黑" w:eastAsia="仿宋_GB2312"/>
          <w:color w:val="auto"/>
          <w:sz w:val="32"/>
          <w:szCs w:val="32"/>
          <w:lang w:eastAsia="zh-CN"/>
        </w:rPr>
        <w:t>完成了</w:t>
      </w:r>
      <w:r>
        <w:rPr>
          <w:rFonts w:hint="eastAsia" w:ascii="仿宋_GB2312" w:hAnsi="微软雅黑" w:eastAsia="仿宋_GB2312"/>
          <w:color w:val="auto"/>
          <w:sz w:val="32"/>
          <w:szCs w:val="32"/>
        </w:rPr>
        <w:t>城乡供水一体化</w:t>
      </w:r>
      <w:r>
        <w:rPr>
          <w:rFonts w:hint="eastAsia" w:ascii="仿宋_GB2312" w:hAnsi="微软雅黑" w:eastAsia="仿宋_GB2312"/>
          <w:color w:val="auto"/>
          <w:sz w:val="32"/>
          <w:szCs w:val="32"/>
          <w:lang w:eastAsia="zh-CN"/>
        </w:rPr>
        <w:t>编制</w:t>
      </w:r>
      <w:r>
        <w:rPr>
          <w:rFonts w:hint="eastAsia" w:ascii="仿宋_GB2312" w:hAnsi="微软雅黑" w:eastAsia="仿宋_GB2312"/>
          <w:color w:val="auto"/>
          <w:sz w:val="32"/>
          <w:szCs w:val="32"/>
        </w:rPr>
        <w:t>，县级空间布局规划</w:t>
      </w:r>
      <w:r>
        <w:rPr>
          <w:rFonts w:hint="eastAsia" w:ascii="仿宋_GB2312" w:hAnsi="微软雅黑" w:eastAsia="仿宋_GB2312"/>
          <w:color w:val="auto"/>
          <w:sz w:val="32"/>
          <w:szCs w:val="32"/>
          <w:lang w:eastAsia="zh-CN"/>
        </w:rPr>
        <w:t>与编制</w:t>
      </w:r>
      <w:r>
        <w:rPr>
          <w:rFonts w:hint="eastAsia" w:ascii="仿宋_GB2312" w:hAnsi="微软雅黑" w:eastAsia="仿宋_GB2312"/>
          <w:color w:val="auto"/>
          <w:sz w:val="32"/>
          <w:szCs w:val="32"/>
          <w:lang w:val="en-US" w:eastAsia="zh-CN"/>
        </w:rPr>
        <w:t>3个</w:t>
      </w:r>
      <w:r>
        <w:rPr>
          <w:rFonts w:hint="eastAsia" w:ascii="仿宋_GB2312" w:hAnsi="微软雅黑" w:eastAsia="仿宋_GB2312"/>
          <w:color w:val="auto"/>
          <w:sz w:val="32"/>
          <w:szCs w:val="32"/>
        </w:rPr>
        <w:t>，</w:t>
      </w:r>
      <w:r>
        <w:rPr>
          <w:rFonts w:hint="eastAsia" w:ascii="仿宋_GB2312" w:hAnsi="微软雅黑" w:eastAsia="仿宋_GB2312"/>
          <w:color w:val="auto"/>
          <w:sz w:val="32"/>
          <w:szCs w:val="32"/>
          <w:lang w:val="en-US" w:eastAsia="zh-CN"/>
        </w:rPr>
        <w:t>14个</w:t>
      </w:r>
      <w:r>
        <w:rPr>
          <w:rFonts w:hint="eastAsia" w:ascii="仿宋_GB2312" w:hAnsi="微软雅黑" w:eastAsia="仿宋_GB2312"/>
          <w:color w:val="auto"/>
          <w:sz w:val="32"/>
          <w:szCs w:val="32"/>
        </w:rPr>
        <w:t>水库大坝安全鉴定，</w:t>
      </w:r>
      <w:r>
        <w:rPr>
          <w:rFonts w:hint="eastAsia" w:ascii="仿宋_GB2312" w:hAnsi="微软雅黑" w:eastAsia="仿宋_GB2312"/>
          <w:color w:val="auto"/>
          <w:sz w:val="32"/>
          <w:szCs w:val="32"/>
          <w:lang w:val="en-US" w:eastAsia="zh-CN"/>
        </w:rPr>
        <w:t>2018脱贫攻坚农村饮水安全</w:t>
      </w:r>
      <w:r>
        <w:rPr>
          <w:rFonts w:hint="eastAsia" w:ascii="仿宋_GB2312" w:hAnsi="微软雅黑" w:eastAsia="仿宋_GB2312"/>
          <w:color w:val="auto"/>
          <w:sz w:val="32"/>
          <w:szCs w:val="32"/>
        </w:rPr>
        <w:t>，</w:t>
      </w:r>
      <w:r>
        <w:rPr>
          <w:rFonts w:hint="eastAsia" w:ascii="仿宋_GB2312" w:hAnsi="微软雅黑" w:eastAsia="仿宋_GB2312"/>
          <w:color w:val="auto"/>
          <w:sz w:val="32"/>
          <w:szCs w:val="32"/>
          <w:lang w:val="en-US" w:eastAsia="zh-CN"/>
        </w:rPr>
        <w:t>新晃县2019年农村饮水安全巩固提升工程设计，相关水利工程建设管理与实施工作。</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（三）项目产出情况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hAnsi="微软雅黑" w:eastAsia="仿宋_GB2312"/>
          <w:color w:val="auto"/>
          <w:sz w:val="32"/>
          <w:szCs w:val="32"/>
        </w:rPr>
      </w:pPr>
      <w:r>
        <w:rPr>
          <w:rFonts w:hint="eastAsia" w:ascii="仿宋_GB2312" w:hAnsi="微软雅黑" w:eastAsia="仿宋_GB2312"/>
          <w:color w:val="auto"/>
          <w:sz w:val="32"/>
          <w:szCs w:val="32"/>
        </w:rPr>
        <w:t>1.产出指标完成情况：在县委、县政府的高度重视下，</w:t>
      </w:r>
      <w:r>
        <w:rPr>
          <w:rFonts w:hint="eastAsia" w:ascii="仿宋_GB2312" w:hAnsi="微软雅黑" w:eastAsia="仿宋_GB2312"/>
          <w:color w:val="auto"/>
          <w:sz w:val="32"/>
          <w:szCs w:val="32"/>
          <w:lang w:eastAsia="zh-CN"/>
        </w:rPr>
        <w:t>完成了水利项目的规划、编制及设计</w:t>
      </w:r>
      <w:r>
        <w:rPr>
          <w:rFonts w:hint="eastAsia" w:ascii="仿宋_GB2312" w:hAnsi="微软雅黑" w:eastAsia="仿宋_GB2312"/>
          <w:color w:val="auto"/>
          <w:sz w:val="32"/>
          <w:szCs w:val="32"/>
          <w:lang w:val="en-US" w:eastAsia="zh-CN"/>
        </w:rPr>
        <w:t>20个</w:t>
      </w:r>
      <w:r>
        <w:rPr>
          <w:rFonts w:hint="eastAsia" w:ascii="仿宋_GB2312" w:hAnsi="微软雅黑" w:eastAsia="仿宋_GB2312"/>
          <w:color w:val="auto"/>
          <w:sz w:val="32"/>
          <w:szCs w:val="32"/>
        </w:rPr>
        <w:t>，完成率100%，，质量达标率为100%。</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hAnsi="微软雅黑" w:eastAsia="仿宋_GB2312"/>
          <w:color w:val="auto"/>
          <w:sz w:val="32"/>
          <w:szCs w:val="32"/>
        </w:rPr>
      </w:pPr>
      <w:r>
        <w:rPr>
          <w:rFonts w:hint="eastAsia" w:ascii="仿宋_GB2312" w:hAnsi="微软雅黑" w:eastAsia="仿宋_GB2312"/>
          <w:color w:val="auto"/>
          <w:sz w:val="32"/>
          <w:szCs w:val="32"/>
        </w:rPr>
        <w:t>2.满意度指标完成情况：受益人口满意度为&gt;=</w:t>
      </w:r>
      <w:r>
        <w:rPr>
          <w:rFonts w:hint="eastAsia" w:ascii="仿宋_GB2312" w:hAnsi="微软雅黑" w:eastAsia="仿宋_GB2312"/>
          <w:color w:val="auto"/>
          <w:sz w:val="32"/>
          <w:szCs w:val="32"/>
          <w:lang w:val="en-US" w:eastAsia="zh-CN"/>
        </w:rPr>
        <w:t>100</w:t>
      </w:r>
      <w:r>
        <w:rPr>
          <w:rFonts w:hint="eastAsia" w:ascii="仿宋_GB2312" w:hAnsi="微软雅黑" w:eastAsia="仿宋_GB2312"/>
          <w:color w:val="auto"/>
          <w:sz w:val="32"/>
          <w:szCs w:val="32"/>
        </w:rPr>
        <w: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（四）项目效益情况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ascii="仿宋_GB2312" w:hAnsi="微软雅黑" w:eastAsia="仿宋_GB2312"/>
          <w:color w:val="auto"/>
          <w:sz w:val="32"/>
          <w:szCs w:val="32"/>
        </w:rPr>
      </w:pPr>
      <w:r>
        <w:rPr>
          <w:rFonts w:hint="eastAsia" w:ascii="仿宋_GB2312" w:hAnsi="微软雅黑" w:eastAsia="仿宋_GB2312"/>
          <w:color w:val="auto"/>
          <w:sz w:val="32"/>
          <w:szCs w:val="32"/>
          <w:lang w:val="en-US" w:eastAsia="zh-CN"/>
        </w:rPr>
        <w:t>水利项目前期工作的开展，促进了我县水利建设的可持续发展,产生了良好的</w:t>
      </w:r>
      <w:r>
        <w:rPr>
          <w:rFonts w:hint="eastAsia" w:ascii="仿宋_GB2312" w:hAnsi="微软雅黑" w:eastAsia="仿宋_GB2312"/>
          <w:color w:val="auto"/>
          <w:sz w:val="32"/>
          <w:szCs w:val="32"/>
        </w:rPr>
        <w:t>社会效益</w:t>
      </w:r>
      <w:r>
        <w:rPr>
          <w:rFonts w:hint="eastAsia" w:ascii="仿宋_GB2312" w:hAnsi="微软雅黑" w:eastAsia="仿宋_GB2312"/>
          <w:color w:val="auto"/>
          <w:sz w:val="32"/>
          <w:szCs w:val="32"/>
          <w:lang w:val="en-US" w:eastAsia="zh-CN"/>
        </w:rPr>
        <w:t>,水利工程建设得到了保障,农村饮水安全得到了保障</w:t>
      </w:r>
      <w:r>
        <w:rPr>
          <w:rFonts w:hint="eastAsia" w:ascii="仿宋_GB2312" w:hAnsi="微软雅黑" w:eastAsia="仿宋_GB2312"/>
          <w:color w:val="auto"/>
          <w:sz w:val="32"/>
          <w:szCs w:val="32"/>
        </w:rPr>
        <w: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五、主要经验及做法存在的问题及原因分析</w:t>
      </w:r>
    </w:p>
    <w:p>
      <w:pPr>
        <w:keepNext w:val="0"/>
        <w:keepLines w:val="0"/>
        <w:pageBreakBefore w:val="0"/>
        <w:widowControl/>
        <w:numPr>
          <w:ilvl w:val="0"/>
          <w:numId w:val="0"/>
        </w:numPr>
        <w:pBdr>
          <w:bottom w:val="single" w:color="FFFFFF" w:sz="4" w:space="31"/>
        </w:pBdr>
        <w:tabs>
          <w:tab w:val="left" w:pos="1440"/>
        </w:tabs>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 w:cs="Times New Roman"/>
          <w:color w:val="auto"/>
          <w:sz w:val="32"/>
          <w:szCs w:val="32"/>
          <w:lang w:val="en-US" w:eastAsia="zh-CN"/>
        </w:rPr>
      </w:pPr>
      <w:r>
        <w:rPr>
          <w:rFonts w:hint="eastAsia" w:ascii="仿宋_GB2312" w:hAnsi="微软雅黑" w:eastAsia="仿宋_GB2312"/>
          <w:color w:val="auto"/>
          <w:sz w:val="32"/>
          <w:szCs w:val="32"/>
          <w:lang w:eastAsia="zh-CN"/>
        </w:rPr>
        <w:t>一是聘请专业水利设计公司完成水利项目设计</w:t>
      </w:r>
      <w:r>
        <w:rPr>
          <w:rFonts w:hint="eastAsia" w:ascii="仿宋_GB2312" w:hAnsi="微软雅黑" w:eastAsia="仿宋_GB2312"/>
          <w:color w:val="auto"/>
          <w:sz w:val="32"/>
          <w:szCs w:val="32"/>
          <w:lang w:val="en-US" w:eastAsia="zh-CN"/>
        </w:rPr>
        <w:t>.为了提高水利项目的工程质量与使用效益,与相关水利设计公司签订合同.二是</w:t>
      </w:r>
      <w:r>
        <w:rPr>
          <w:rFonts w:hint="eastAsia" w:ascii="仿宋_GB2312" w:hAnsi="微软雅黑" w:eastAsia="仿宋_GB2312"/>
          <w:color w:val="auto"/>
          <w:sz w:val="32"/>
          <w:szCs w:val="32"/>
          <w:lang w:eastAsia="zh-CN"/>
        </w:rPr>
        <w:t>水利前期经费投入不足</w:t>
      </w:r>
      <w:r>
        <w:rPr>
          <w:rFonts w:hint="eastAsia" w:ascii="仿宋_GB2312" w:hAnsi="微软雅黑" w:eastAsia="仿宋_GB2312"/>
          <w:color w:val="auto"/>
          <w:sz w:val="32"/>
          <w:szCs w:val="32"/>
        </w:rPr>
        <w:t>。</w:t>
      </w:r>
      <w:r>
        <w:rPr>
          <w:rFonts w:hint="eastAsia" w:ascii="仿宋_GB2312" w:hAnsi="微软雅黑" w:eastAsia="仿宋_GB2312"/>
          <w:color w:val="auto"/>
          <w:sz w:val="32"/>
          <w:szCs w:val="32"/>
          <w:lang w:val="en-US" w:eastAsia="zh-CN"/>
        </w:rPr>
        <w:t>2022年水利前期规划编制与设计投入60余万元,</w:t>
      </w:r>
      <w:r>
        <w:rPr>
          <w:rFonts w:hint="default" w:ascii="Times New Roman" w:hAnsi="Times New Roman" w:eastAsia="仿宋" w:cs="Times New Roman"/>
          <w:color w:val="auto"/>
          <w:sz w:val="32"/>
          <w:szCs w:val="32"/>
          <w:lang w:val="en-US" w:eastAsia="zh-CN"/>
        </w:rPr>
        <w:t>难以</w:t>
      </w:r>
      <w:r>
        <w:rPr>
          <w:rFonts w:hint="eastAsia" w:ascii="Times New Roman" w:hAnsi="Times New Roman" w:eastAsia="仿宋" w:cs="Times New Roman"/>
          <w:color w:val="auto"/>
          <w:sz w:val="32"/>
          <w:szCs w:val="32"/>
          <w:lang w:val="en-US" w:eastAsia="zh-CN"/>
        </w:rPr>
        <w:t>全面</w:t>
      </w:r>
      <w:r>
        <w:rPr>
          <w:rFonts w:hint="default" w:ascii="Times New Roman" w:hAnsi="Times New Roman" w:eastAsia="仿宋" w:cs="Times New Roman"/>
          <w:color w:val="auto"/>
          <w:sz w:val="32"/>
          <w:szCs w:val="32"/>
          <w:lang w:val="en-US" w:eastAsia="zh-CN"/>
        </w:rPr>
        <w:t>开</w:t>
      </w:r>
      <w:r>
        <w:rPr>
          <w:rFonts w:hint="eastAsia" w:ascii="Times New Roman" w:hAnsi="Times New Roman" w:eastAsia="仿宋" w:cs="Times New Roman"/>
          <w:color w:val="auto"/>
          <w:sz w:val="32"/>
          <w:szCs w:val="32"/>
          <w:lang w:val="en-US" w:eastAsia="zh-CN"/>
        </w:rPr>
        <w:t>展水利</w:t>
      </w:r>
      <w:r>
        <w:rPr>
          <w:rFonts w:hint="default" w:ascii="Times New Roman" w:hAnsi="Times New Roman" w:eastAsia="仿宋" w:cs="Times New Roman"/>
          <w:color w:val="auto"/>
          <w:sz w:val="32"/>
          <w:szCs w:val="32"/>
          <w:lang w:val="en-US" w:eastAsia="zh-CN"/>
        </w:rPr>
        <w:t>可研，初设等项目前期工作</w:t>
      </w:r>
      <w:r>
        <w:rPr>
          <w:rFonts w:hint="eastAsia" w:ascii="Times New Roman" w:hAnsi="Times New Roman" w:eastAsia="仿宋" w:cs="Times New Roman"/>
          <w:color w:val="auto"/>
          <w:sz w:val="32"/>
          <w:szCs w:val="32"/>
          <w:lang w:val="en-US" w:eastAsia="zh-CN"/>
        </w:rPr>
        <w:t>。由于我县项目前期经费欠款金额大，水利设计单位参与我县的水利项目设计积极性不高，影响水利前期规划编制工作，</w:t>
      </w:r>
      <w:r>
        <w:rPr>
          <w:rFonts w:hint="default" w:ascii="Times New Roman" w:hAnsi="Times New Roman" w:eastAsia="仿宋" w:cs="Times New Roman"/>
          <w:color w:val="auto"/>
          <w:sz w:val="32"/>
          <w:szCs w:val="32"/>
          <w:lang w:val="en-US" w:eastAsia="zh-CN"/>
        </w:rPr>
        <w:t>项目争取难度大</w:t>
      </w:r>
      <w:r>
        <w:rPr>
          <w:rFonts w:hint="eastAsia" w:ascii="Times New Roman" w:hAnsi="Times New Roman" w:eastAsia="仿宋" w:cs="Times New Roman"/>
          <w:color w:val="auto"/>
          <w:sz w:val="32"/>
          <w:szCs w:val="32"/>
          <w:lang w:val="en-US" w:eastAsia="zh-CN"/>
        </w:rPr>
        <w:t>。</w:t>
      </w:r>
    </w:p>
    <w:p>
      <w:pPr>
        <w:keepNext w:val="0"/>
        <w:keepLines w:val="0"/>
        <w:pageBreakBefore w:val="0"/>
        <w:widowControl/>
        <w:numPr>
          <w:ilvl w:val="0"/>
          <w:numId w:val="1"/>
        </w:numPr>
        <w:pBdr>
          <w:bottom w:val="single" w:color="FFFFFF" w:sz="4" w:space="31"/>
        </w:pBdr>
        <w:tabs>
          <w:tab w:val="left" w:pos="1440"/>
        </w:tabs>
        <w:kinsoku/>
        <w:wordWrap/>
        <w:overflowPunct/>
        <w:topLinePunct w:val="0"/>
        <w:autoSpaceDE/>
        <w:autoSpaceDN/>
        <w:bidi w:val="0"/>
        <w:adjustRightInd/>
        <w:snapToGrid/>
        <w:spacing w:line="600" w:lineRule="exact"/>
        <w:ind w:firstLine="640" w:firstLineChars="200"/>
        <w:jc w:val="both"/>
        <w:textAlignment w:val="auto"/>
        <w:rPr>
          <w:rFonts w:hint="default"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有关建议：</w:t>
      </w:r>
      <w:r>
        <w:rPr>
          <w:rFonts w:hint="eastAsia" w:ascii="Times New Roman" w:hAnsi="Times New Roman" w:eastAsia="仿宋" w:cs="Times New Roman"/>
          <w:color w:val="auto"/>
          <w:sz w:val="32"/>
          <w:szCs w:val="32"/>
          <w:lang w:val="en-US" w:eastAsia="zh-CN"/>
        </w:rPr>
        <w:t>为了促进我县的水利可持续发展,提高水利前期设计质量,建议财政加大水利前期经费的投入与支付。</w:t>
      </w:r>
    </w:p>
    <w:p>
      <w:pPr>
        <w:keepNext w:val="0"/>
        <w:keepLines w:val="0"/>
        <w:pageBreakBefore w:val="0"/>
        <w:widowControl/>
        <w:numPr>
          <w:ilvl w:val="0"/>
          <w:numId w:val="1"/>
        </w:numPr>
        <w:pBdr>
          <w:bottom w:val="single" w:color="FFFFFF" w:sz="4" w:space="31"/>
        </w:pBdr>
        <w:tabs>
          <w:tab w:val="left" w:pos="1440"/>
        </w:tabs>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其他需要说明的问题</w:t>
      </w:r>
    </w:p>
    <w:p>
      <w:pPr>
        <w:keepNext w:val="0"/>
        <w:keepLines w:val="0"/>
        <w:pageBreakBefore w:val="0"/>
        <w:widowControl/>
        <w:numPr>
          <w:numId w:val="0"/>
        </w:numPr>
        <w:pBdr>
          <w:bottom w:val="single" w:color="FFFFFF" w:sz="4" w:space="31"/>
        </w:pBdr>
        <w:tabs>
          <w:tab w:val="left" w:pos="1440"/>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微软雅黑" w:eastAsia="仿宋_GB2312"/>
          <w:color w:val="auto"/>
          <w:sz w:val="32"/>
          <w:szCs w:val="32"/>
          <w:lang w:eastAsia="zh-CN"/>
        </w:rPr>
      </w:pPr>
      <w:r>
        <w:rPr>
          <w:rFonts w:hint="eastAsia" w:ascii="仿宋_GB2312" w:hAnsi="微软雅黑" w:eastAsia="仿宋_GB2312"/>
          <w:color w:val="auto"/>
          <w:sz w:val="32"/>
          <w:szCs w:val="32"/>
          <w:lang w:eastAsia="zh-CN"/>
        </w:rPr>
        <w:t>无</w:t>
      </w:r>
    </w:p>
    <w:p>
      <w:pPr>
        <w:keepNext w:val="0"/>
        <w:keepLines w:val="0"/>
        <w:pageBreakBefore w:val="0"/>
        <w:widowControl/>
        <w:numPr>
          <w:numId w:val="0"/>
        </w:numPr>
        <w:pBdr>
          <w:bottom w:val="single" w:color="FFFFFF" w:sz="4" w:space="31"/>
        </w:pBdr>
        <w:tabs>
          <w:tab w:val="left" w:pos="1440"/>
        </w:tabs>
        <w:kinsoku/>
        <w:wordWrap/>
        <w:overflowPunct/>
        <w:topLinePunct w:val="0"/>
        <w:autoSpaceDE/>
        <w:autoSpaceDN/>
        <w:bidi w:val="0"/>
        <w:adjustRightInd/>
        <w:snapToGrid/>
        <w:spacing w:line="560" w:lineRule="exact"/>
        <w:jc w:val="both"/>
        <w:textAlignment w:val="auto"/>
        <w:rPr>
          <w:rFonts w:hint="eastAsia" w:ascii="仿宋_GB2312" w:hAnsi="微软雅黑" w:eastAsia="仿宋_GB2312"/>
          <w:color w:val="auto"/>
          <w:sz w:val="32"/>
          <w:szCs w:val="32"/>
          <w:lang w:val="en-US" w:eastAsia="zh-CN"/>
        </w:rPr>
      </w:pPr>
      <w:r>
        <w:rPr>
          <w:rFonts w:ascii="仿宋_GB2312" w:hAnsi="微软雅黑" w:eastAsia="仿宋_GB2312"/>
          <w:color w:val="auto"/>
          <w:sz w:val="32"/>
          <w:szCs w:val="32"/>
        </w:rPr>
        <w:tab/>
      </w:r>
      <w:r>
        <w:rPr>
          <w:rFonts w:hint="eastAsia" w:ascii="仿宋_GB2312" w:hAnsi="微软雅黑" w:eastAsia="仿宋_GB2312"/>
          <w:color w:val="auto"/>
          <w:sz w:val="32"/>
          <w:szCs w:val="32"/>
          <w:lang w:val="en-US" w:eastAsia="zh-CN"/>
        </w:rPr>
        <w:t xml:space="preserve">   </w:t>
      </w:r>
    </w:p>
    <w:p>
      <w:pPr>
        <w:pStyle w:val="7"/>
        <w:keepNext w:val="0"/>
        <w:keepLines w:val="0"/>
        <w:pageBreakBefore w:val="0"/>
        <w:shd w:val="clear" w:color="auto" w:fill="FFFFFF"/>
        <w:tabs>
          <w:tab w:val="left" w:pos="1575"/>
        </w:tabs>
        <w:kinsoku/>
        <w:wordWrap/>
        <w:overflowPunct/>
        <w:topLinePunct w:val="0"/>
        <w:autoSpaceDE/>
        <w:autoSpaceDN/>
        <w:bidi w:val="0"/>
        <w:adjustRightInd/>
        <w:snapToGrid/>
        <w:spacing w:before="0" w:beforeAutospacing="0" w:after="0" w:afterAutospacing="0" w:line="560" w:lineRule="exact"/>
        <w:ind w:firstLine="420"/>
        <w:textAlignment w:val="auto"/>
        <w:rPr>
          <w:rFonts w:hint="eastAsia" w:ascii="仿宋_GB2312" w:hAnsi="微软雅黑" w:eastAsia="仿宋_GB2312"/>
          <w:color w:val="auto"/>
          <w:sz w:val="32"/>
          <w:szCs w:val="32"/>
          <w:lang w:val="en-US" w:eastAsia="zh-CN"/>
        </w:rPr>
      </w:pPr>
      <w:r>
        <w:rPr>
          <w:rFonts w:hint="eastAsia" w:ascii="仿宋_GB2312" w:hAnsi="微软雅黑" w:eastAsia="仿宋_GB2312"/>
          <w:color w:val="auto"/>
          <w:sz w:val="32"/>
          <w:szCs w:val="32"/>
          <w:lang w:val="en-US" w:eastAsia="zh-CN"/>
        </w:rPr>
        <w:t xml:space="preserve">　　　　　　　　　　　　　　新晃侗族自治县水利局                         </w:t>
      </w:r>
    </w:p>
    <w:p>
      <w:pPr>
        <w:pStyle w:val="7"/>
        <w:keepNext w:val="0"/>
        <w:keepLines w:val="0"/>
        <w:pageBreakBefore w:val="0"/>
        <w:shd w:val="clear" w:color="auto" w:fill="FFFFFF"/>
        <w:tabs>
          <w:tab w:val="left" w:pos="1575"/>
        </w:tabs>
        <w:kinsoku/>
        <w:wordWrap/>
        <w:overflowPunct/>
        <w:topLinePunct w:val="0"/>
        <w:autoSpaceDE/>
        <w:autoSpaceDN/>
        <w:bidi w:val="0"/>
        <w:adjustRightInd/>
        <w:snapToGrid/>
        <w:spacing w:before="0" w:beforeAutospacing="0" w:after="0" w:afterAutospacing="0" w:line="560" w:lineRule="exact"/>
        <w:ind w:firstLine="420"/>
        <w:textAlignment w:val="auto"/>
        <w:rPr>
          <w:rFonts w:hint="default" w:ascii="仿宋_GB2312" w:hAnsi="微软雅黑" w:eastAsia="仿宋_GB2312"/>
          <w:color w:val="auto"/>
          <w:sz w:val="32"/>
          <w:szCs w:val="32"/>
          <w:lang w:val="en-US" w:eastAsia="zh-CN"/>
        </w:rPr>
      </w:pPr>
      <w:r>
        <w:rPr>
          <w:rFonts w:hint="eastAsia" w:ascii="仿宋_GB2312" w:hAnsi="微软雅黑" w:eastAsia="仿宋_GB2312"/>
          <w:color w:val="auto"/>
          <w:sz w:val="32"/>
          <w:szCs w:val="32"/>
          <w:lang w:val="en-US" w:eastAsia="zh-CN"/>
        </w:rPr>
        <w:t xml:space="preserve"> 　　　　　　　　　　　　　　　2023年5月12日</w:t>
      </w: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bookmarkStart w:id="0" w:name="_GoBack"/>
      <w:bookmarkEnd w:id="0"/>
    </w:p>
    <w:sectPr>
      <w:footerReference r:id="rId3" w:type="default"/>
      <w:pgSz w:w="11906" w:h="16838"/>
      <w:pgMar w:top="1701" w:right="1417" w:bottom="113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1F85E"/>
    <w:multiLevelType w:val="singleLevel"/>
    <w:tmpl w:val="B791F85E"/>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BkZDA1MmQzODc5ODFkN2IzMmZmNmFiZTE2ZTU3NjMifQ=="/>
  </w:docVars>
  <w:rsids>
    <w:rsidRoot w:val="004464C0"/>
    <w:rsid w:val="00003FD7"/>
    <w:rsid w:val="0000717F"/>
    <w:rsid w:val="000077B8"/>
    <w:rsid w:val="00011E5A"/>
    <w:rsid w:val="000121B3"/>
    <w:rsid w:val="000225B6"/>
    <w:rsid w:val="00022661"/>
    <w:rsid w:val="00022C8F"/>
    <w:rsid w:val="00026742"/>
    <w:rsid w:val="00032949"/>
    <w:rsid w:val="00034554"/>
    <w:rsid w:val="00035C0E"/>
    <w:rsid w:val="0004711C"/>
    <w:rsid w:val="00050EFA"/>
    <w:rsid w:val="000516FA"/>
    <w:rsid w:val="00057C8F"/>
    <w:rsid w:val="0007015B"/>
    <w:rsid w:val="0008371C"/>
    <w:rsid w:val="00085E4B"/>
    <w:rsid w:val="000915B5"/>
    <w:rsid w:val="0009233E"/>
    <w:rsid w:val="00096BD3"/>
    <w:rsid w:val="000A0328"/>
    <w:rsid w:val="000A0A70"/>
    <w:rsid w:val="000B2B06"/>
    <w:rsid w:val="000B2B84"/>
    <w:rsid w:val="000B3132"/>
    <w:rsid w:val="000B4670"/>
    <w:rsid w:val="000C37E1"/>
    <w:rsid w:val="000E18EE"/>
    <w:rsid w:val="000E2FD4"/>
    <w:rsid w:val="000E5EED"/>
    <w:rsid w:val="000E653A"/>
    <w:rsid w:val="000E7C82"/>
    <w:rsid w:val="000F6ED2"/>
    <w:rsid w:val="001110C5"/>
    <w:rsid w:val="001133E5"/>
    <w:rsid w:val="00113659"/>
    <w:rsid w:val="00115DE8"/>
    <w:rsid w:val="00124FAE"/>
    <w:rsid w:val="001265C8"/>
    <w:rsid w:val="00130590"/>
    <w:rsid w:val="0013393B"/>
    <w:rsid w:val="00147A48"/>
    <w:rsid w:val="0015062F"/>
    <w:rsid w:val="001532AF"/>
    <w:rsid w:val="00154036"/>
    <w:rsid w:val="0016202F"/>
    <w:rsid w:val="00172652"/>
    <w:rsid w:val="00181524"/>
    <w:rsid w:val="00182FF4"/>
    <w:rsid w:val="0018410D"/>
    <w:rsid w:val="00184959"/>
    <w:rsid w:val="00185E0D"/>
    <w:rsid w:val="00191A77"/>
    <w:rsid w:val="001960B3"/>
    <w:rsid w:val="0019705C"/>
    <w:rsid w:val="001A1EAA"/>
    <w:rsid w:val="001A56B9"/>
    <w:rsid w:val="001A788A"/>
    <w:rsid w:val="001B22D0"/>
    <w:rsid w:val="001B317A"/>
    <w:rsid w:val="001B7268"/>
    <w:rsid w:val="001B7496"/>
    <w:rsid w:val="001C26EC"/>
    <w:rsid w:val="001C4B1E"/>
    <w:rsid w:val="001D134A"/>
    <w:rsid w:val="001D3758"/>
    <w:rsid w:val="001D62A1"/>
    <w:rsid w:val="001D6F01"/>
    <w:rsid w:val="001E19C7"/>
    <w:rsid w:val="001E22DA"/>
    <w:rsid w:val="001E7566"/>
    <w:rsid w:val="001F6EDE"/>
    <w:rsid w:val="002149CA"/>
    <w:rsid w:val="00215F72"/>
    <w:rsid w:val="00216ACA"/>
    <w:rsid w:val="002177A8"/>
    <w:rsid w:val="002242BF"/>
    <w:rsid w:val="00226AA1"/>
    <w:rsid w:val="00227092"/>
    <w:rsid w:val="00240315"/>
    <w:rsid w:val="00245881"/>
    <w:rsid w:val="00252CBC"/>
    <w:rsid w:val="00257A60"/>
    <w:rsid w:val="00261C15"/>
    <w:rsid w:val="00262D5A"/>
    <w:rsid w:val="00274C4B"/>
    <w:rsid w:val="00280E70"/>
    <w:rsid w:val="0028323E"/>
    <w:rsid w:val="002911DE"/>
    <w:rsid w:val="00292E94"/>
    <w:rsid w:val="00295EC9"/>
    <w:rsid w:val="00296450"/>
    <w:rsid w:val="002A2703"/>
    <w:rsid w:val="002A5FCB"/>
    <w:rsid w:val="002B5548"/>
    <w:rsid w:val="002B7A33"/>
    <w:rsid w:val="002B7B34"/>
    <w:rsid w:val="002B7F6F"/>
    <w:rsid w:val="002C31FD"/>
    <w:rsid w:val="002C6B8D"/>
    <w:rsid w:val="002D3FED"/>
    <w:rsid w:val="002F261F"/>
    <w:rsid w:val="002F3179"/>
    <w:rsid w:val="003000C1"/>
    <w:rsid w:val="00300846"/>
    <w:rsid w:val="00305EAE"/>
    <w:rsid w:val="0031601A"/>
    <w:rsid w:val="00322289"/>
    <w:rsid w:val="00324C88"/>
    <w:rsid w:val="003257F5"/>
    <w:rsid w:val="00325EF0"/>
    <w:rsid w:val="0033502B"/>
    <w:rsid w:val="00335274"/>
    <w:rsid w:val="0033578E"/>
    <w:rsid w:val="00337133"/>
    <w:rsid w:val="00337E8C"/>
    <w:rsid w:val="00340EC1"/>
    <w:rsid w:val="003504A2"/>
    <w:rsid w:val="00351F8C"/>
    <w:rsid w:val="003552B1"/>
    <w:rsid w:val="00356972"/>
    <w:rsid w:val="00357AA5"/>
    <w:rsid w:val="00360EE7"/>
    <w:rsid w:val="003631F7"/>
    <w:rsid w:val="003673E8"/>
    <w:rsid w:val="003750DF"/>
    <w:rsid w:val="003859FA"/>
    <w:rsid w:val="003A5EF1"/>
    <w:rsid w:val="003A6C45"/>
    <w:rsid w:val="003B28F2"/>
    <w:rsid w:val="003B2B2C"/>
    <w:rsid w:val="003B5221"/>
    <w:rsid w:val="003C1355"/>
    <w:rsid w:val="003C75C3"/>
    <w:rsid w:val="003C7EA1"/>
    <w:rsid w:val="003D0087"/>
    <w:rsid w:val="003D6FD6"/>
    <w:rsid w:val="003E0726"/>
    <w:rsid w:val="003E2E9D"/>
    <w:rsid w:val="003F2186"/>
    <w:rsid w:val="003F4E31"/>
    <w:rsid w:val="003F5323"/>
    <w:rsid w:val="003F5F8B"/>
    <w:rsid w:val="00402B61"/>
    <w:rsid w:val="00404FEC"/>
    <w:rsid w:val="0040658D"/>
    <w:rsid w:val="004119D2"/>
    <w:rsid w:val="00415C40"/>
    <w:rsid w:val="0042558C"/>
    <w:rsid w:val="00425C9B"/>
    <w:rsid w:val="00426C2B"/>
    <w:rsid w:val="004357F6"/>
    <w:rsid w:val="0043609C"/>
    <w:rsid w:val="00442468"/>
    <w:rsid w:val="00443B01"/>
    <w:rsid w:val="004464C0"/>
    <w:rsid w:val="00451276"/>
    <w:rsid w:val="004612C6"/>
    <w:rsid w:val="00461546"/>
    <w:rsid w:val="00463907"/>
    <w:rsid w:val="00463E59"/>
    <w:rsid w:val="00467665"/>
    <w:rsid w:val="004725BB"/>
    <w:rsid w:val="00472A12"/>
    <w:rsid w:val="0047696F"/>
    <w:rsid w:val="004773E3"/>
    <w:rsid w:val="00477B1D"/>
    <w:rsid w:val="00481E57"/>
    <w:rsid w:val="0048215A"/>
    <w:rsid w:val="00486DAE"/>
    <w:rsid w:val="004877C2"/>
    <w:rsid w:val="00491B8D"/>
    <w:rsid w:val="00494B03"/>
    <w:rsid w:val="0049695B"/>
    <w:rsid w:val="0049762C"/>
    <w:rsid w:val="004A0657"/>
    <w:rsid w:val="004A27C0"/>
    <w:rsid w:val="004A4AAD"/>
    <w:rsid w:val="004A5CBC"/>
    <w:rsid w:val="004A686E"/>
    <w:rsid w:val="004B3657"/>
    <w:rsid w:val="004B62CD"/>
    <w:rsid w:val="004C06D5"/>
    <w:rsid w:val="004C0F86"/>
    <w:rsid w:val="004C1A51"/>
    <w:rsid w:val="004C6345"/>
    <w:rsid w:val="004C647D"/>
    <w:rsid w:val="004D11AA"/>
    <w:rsid w:val="004D2432"/>
    <w:rsid w:val="004E16A6"/>
    <w:rsid w:val="004E509C"/>
    <w:rsid w:val="004F1D8B"/>
    <w:rsid w:val="004F4885"/>
    <w:rsid w:val="004F6868"/>
    <w:rsid w:val="00503494"/>
    <w:rsid w:val="005076D2"/>
    <w:rsid w:val="00510044"/>
    <w:rsid w:val="0051380E"/>
    <w:rsid w:val="005157A3"/>
    <w:rsid w:val="005157D9"/>
    <w:rsid w:val="00516A31"/>
    <w:rsid w:val="0052016A"/>
    <w:rsid w:val="00521EEE"/>
    <w:rsid w:val="005242A8"/>
    <w:rsid w:val="00524A30"/>
    <w:rsid w:val="00537B0E"/>
    <w:rsid w:val="00540531"/>
    <w:rsid w:val="0054125C"/>
    <w:rsid w:val="005426BE"/>
    <w:rsid w:val="005434B3"/>
    <w:rsid w:val="00544B36"/>
    <w:rsid w:val="005468F3"/>
    <w:rsid w:val="00546E69"/>
    <w:rsid w:val="005502AF"/>
    <w:rsid w:val="005577DC"/>
    <w:rsid w:val="00561224"/>
    <w:rsid w:val="00580CDD"/>
    <w:rsid w:val="005853AB"/>
    <w:rsid w:val="00596CE0"/>
    <w:rsid w:val="005A22BC"/>
    <w:rsid w:val="005A79E9"/>
    <w:rsid w:val="005A7C18"/>
    <w:rsid w:val="005B3A54"/>
    <w:rsid w:val="005B62AB"/>
    <w:rsid w:val="005C7B3D"/>
    <w:rsid w:val="005D0074"/>
    <w:rsid w:val="005D3009"/>
    <w:rsid w:val="005D555C"/>
    <w:rsid w:val="005E0A72"/>
    <w:rsid w:val="005F0A90"/>
    <w:rsid w:val="005F5A8B"/>
    <w:rsid w:val="00610D7D"/>
    <w:rsid w:val="00613551"/>
    <w:rsid w:val="00621523"/>
    <w:rsid w:val="00623F82"/>
    <w:rsid w:val="00624BF5"/>
    <w:rsid w:val="00626E95"/>
    <w:rsid w:val="00627229"/>
    <w:rsid w:val="00630443"/>
    <w:rsid w:val="006375BC"/>
    <w:rsid w:val="00637E5D"/>
    <w:rsid w:val="006416B5"/>
    <w:rsid w:val="00641E36"/>
    <w:rsid w:val="00642FDF"/>
    <w:rsid w:val="0065386B"/>
    <w:rsid w:val="00657508"/>
    <w:rsid w:val="006600C4"/>
    <w:rsid w:val="00661698"/>
    <w:rsid w:val="00671901"/>
    <w:rsid w:val="00676BFB"/>
    <w:rsid w:val="00682906"/>
    <w:rsid w:val="00684BA2"/>
    <w:rsid w:val="00697830"/>
    <w:rsid w:val="006A180F"/>
    <w:rsid w:val="006A4321"/>
    <w:rsid w:val="006A55FE"/>
    <w:rsid w:val="006B3476"/>
    <w:rsid w:val="006B5AAC"/>
    <w:rsid w:val="006B5F7C"/>
    <w:rsid w:val="006B6213"/>
    <w:rsid w:val="006C2989"/>
    <w:rsid w:val="006C5479"/>
    <w:rsid w:val="006C701F"/>
    <w:rsid w:val="006D4387"/>
    <w:rsid w:val="006D487B"/>
    <w:rsid w:val="006E0E88"/>
    <w:rsid w:val="006F0405"/>
    <w:rsid w:val="006F3F8F"/>
    <w:rsid w:val="006F57D2"/>
    <w:rsid w:val="0070178D"/>
    <w:rsid w:val="007124FB"/>
    <w:rsid w:val="0071684B"/>
    <w:rsid w:val="007203D4"/>
    <w:rsid w:val="00726AF2"/>
    <w:rsid w:val="007411FF"/>
    <w:rsid w:val="007428ED"/>
    <w:rsid w:val="007617C1"/>
    <w:rsid w:val="0076412B"/>
    <w:rsid w:val="0076453A"/>
    <w:rsid w:val="007741A4"/>
    <w:rsid w:val="00775227"/>
    <w:rsid w:val="007766B2"/>
    <w:rsid w:val="00783F36"/>
    <w:rsid w:val="00784DB1"/>
    <w:rsid w:val="00785368"/>
    <w:rsid w:val="007A20AA"/>
    <w:rsid w:val="007A6957"/>
    <w:rsid w:val="007B6602"/>
    <w:rsid w:val="007B7B50"/>
    <w:rsid w:val="007C2851"/>
    <w:rsid w:val="007C374B"/>
    <w:rsid w:val="007C4852"/>
    <w:rsid w:val="007C550A"/>
    <w:rsid w:val="007D09B3"/>
    <w:rsid w:val="007D3615"/>
    <w:rsid w:val="007D3632"/>
    <w:rsid w:val="007E161D"/>
    <w:rsid w:val="007E79EA"/>
    <w:rsid w:val="007F0346"/>
    <w:rsid w:val="007F3F7F"/>
    <w:rsid w:val="007F56EA"/>
    <w:rsid w:val="007F6205"/>
    <w:rsid w:val="00803234"/>
    <w:rsid w:val="00803281"/>
    <w:rsid w:val="008053A3"/>
    <w:rsid w:val="00813DF1"/>
    <w:rsid w:val="00814F78"/>
    <w:rsid w:val="00815D4C"/>
    <w:rsid w:val="0082125A"/>
    <w:rsid w:val="00822BF1"/>
    <w:rsid w:val="00826F5B"/>
    <w:rsid w:val="00831947"/>
    <w:rsid w:val="00841272"/>
    <w:rsid w:val="008435B0"/>
    <w:rsid w:val="00847560"/>
    <w:rsid w:val="00850A05"/>
    <w:rsid w:val="008510D2"/>
    <w:rsid w:val="00854666"/>
    <w:rsid w:val="00860CE9"/>
    <w:rsid w:val="008671BB"/>
    <w:rsid w:val="00872708"/>
    <w:rsid w:val="00876FED"/>
    <w:rsid w:val="008804C2"/>
    <w:rsid w:val="00896055"/>
    <w:rsid w:val="008A25C1"/>
    <w:rsid w:val="008A5DBF"/>
    <w:rsid w:val="008A76AD"/>
    <w:rsid w:val="008A7CF0"/>
    <w:rsid w:val="008B13C3"/>
    <w:rsid w:val="008C0713"/>
    <w:rsid w:val="008C7392"/>
    <w:rsid w:val="008D081F"/>
    <w:rsid w:val="008D6B84"/>
    <w:rsid w:val="008E7C7B"/>
    <w:rsid w:val="008F20E2"/>
    <w:rsid w:val="008F4477"/>
    <w:rsid w:val="008F4D86"/>
    <w:rsid w:val="00906DBC"/>
    <w:rsid w:val="00911D59"/>
    <w:rsid w:val="00914BBF"/>
    <w:rsid w:val="00915FDE"/>
    <w:rsid w:val="00924798"/>
    <w:rsid w:val="00930347"/>
    <w:rsid w:val="009341A1"/>
    <w:rsid w:val="00944193"/>
    <w:rsid w:val="009458C5"/>
    <w:rsid w:val="009504C7"/>
    <w:rsid w:val="0095440B"/>
    <w:rsid w:val="00955544"/>
    <w:rsid w:val="00961F65"/>
    <w:rsid w:val="00965387"/>
    <w:rsid w:val="00971B80"/>
    <w:rsid w:val="009752F8"/>
    <w:rsid w:val="0097691B"/>
    <w:rsid w:val="009817B7"/>
    <w:rsid w:val="009854B4"/>
    <w:rsid w:val="00995D14"/>
    <w:rsid w:val="0099614A"/>
    <w:rsid w:val="009A09FD"/>
    <w:rsid w:val="009A28E3"/>
    <w:rsid w:val="009A4137"/>
    <w:rsid w:val="009B0362"/>
    <w:rsid w:val="009B3916"/>
    <w:rsid w:val="009B52F6"/>
    <w:rsid w:val="009C453B"/>
    <w:rsid w:val="009C537B"/>
    <w:rsid w:val="009D0AA5"/>
    <w:rsid w:val="009D2AA7"/>
    <w:rsid w:val="009E2AEE"/>
    <w:rsid w:val="00A04681"/>
    <w:rsid w:val="00A05CC9"/>
    <w:rsid w:val="00A10D38"/>
    <w:rsid w:val="00A13C9B"/>
    <w:rsid w:val="00A15828"/>
    <w:rsid w:val="00A31935"/>
    <w:rsid w:val="00A42C9A"/>
    <w:rsid w:val="00A44FCB"/>
    <w:rsid w:val="00A53D5C"/>
    <w:rsid w:val="00A5534F"/>
    <w:rsid w:val="00A666DE"/>
    <w:rsid w:val="00A706DB"/>
    <w:rsid w:val="00A73917"/>
    <w:rsid w:val="00A76F98"/>
    <w:rsid w:val="00A76FF4"/>
    <w:rsid w:val="00A81A19"/>
    <w:rsid w:val="00A82466"/>
    <w:rsid w:val="00A9054D"/>
    <w:rsid w:val="00A961CB"/>
    <w:rsid w:val="00A9796A"/>
    <w:rsid w:val="00AA001E"/>
    <w:rsid w:val="00AA23D9"/>
    <w:rsid w:val="00AA26B4"/>
    <w:rsid w:val="00AB709D"/>
    <w:rsid w:val="00AB7F5B"/>
    <w:rsid w:val="00AC31C1"/>
    <w:rsid w:val="00AC4632"/>
    <w:rsid w:val="00AC48A9"/>
    <w:rsid w:val="00AD0252"/>
    <w:rsid w:val="00AD310C"/>
    <w:rsid w:val="00AE0B22"/>
    <w:rsid w:val="00AE192C"/>
    <w:rsid w:val="00AE2DFA"/>
    <w:rsid w:val="00AF2D81"/>
    <w:rsid w:val="00B10071"/>
    <w:rsid w:val="00B16BE3"/>
    <w:rsid w:val="00B201BF"/>
    <w:rsid w:val="00B20D04"/>
    <w:rsid w:val="00B24ED9"/>
    <w:rsid w:val="00B31B4F"/>
    <w:rsid w:val="00B31E46"/>
    <w:rsid w:val="00B37E45"/>
    <w:rsid w:val="00B37FA2"/>
    <w:rsid w:val="00B411AD"/>
    <w:rsid w:val="00B42102"/>
    <w:rsid w:val="00B454A8"/>
    <w:rsid w:val="00B455FA"/>
    <w:rsid w:val="00B457EF"/>
    <w:rsid w:val="00B53D6F"/>
    <w:rsid w:val="00B57EC9"/>
    <w:rsid w:val="00B61B2D"/>
    <w:rsid w:val="00B65DB5"/>
    <w:rsid w:val="00B72DFB"/>
    <w:rsid w:val="00B7380A"/>
    <w:rsid w:val="00B75141"/>
    <w:rsid w:val="00B809A9"/>
    <w:rsid w:val="00B85711"/>
    <w:rsid w:val="00B85E3C"/>
    <w:rsid w:val="00B86DD4"/>
    <w:rsid w:val="00B9467A"/>
    <w:rsid w:val="00BA0BAC"/>
    <w:rsid w:val="00BA5085"/>
    <w:rsid w:val="00BB7077"/>
    <w:rsid w:val="00BC303B"/>
    <w:rsid w:val="00BC4200"/>
    <w:rsid w:val="00BC54FC"/>
    <w:rsid w:val="00BC5E88"/>
    <w:rsid w:val="00BC6C97"/>
    <w:rsid w:val="00BC6F35"/>
    <w:rsid w:val="00BC7CAF"/>
    <w:rsid w:val="00BD0840"/>
    <w:rsid w:val="00BD7DC0"/>
    <w:rsid w:val="00BE515A"/>
    <w:rsid w:val="00BE7E1C"/>
    <w:rsid w:val="00BF2230"/>
    <w:rsid w:val="00C01F45"/>
    <w:rsid w:val="00C17027"/>
    <w:rsid w:val="00C179A9"/>
    <w:rsid w:val="00C206F9"/>
    <w:rsid w:val="00C21178"/>
    <w:rsid w:val="00C25FE6"/>
    <w:rsid w:val="00C3012F"/>
    <w:rsid w:val="00C36E41"/>
    <w:rsid w:val="00C37212"/>
    <w:rsid w:val="00C46768"/>
    <w:rsid w:val="00C52755"/>
    <w:rsid w:val="00C549ED"/>
    <w:rsid w:val="00C552F4"/>
    <w:rsid w:val="00C55574"/>
    <w:rsid w:val="00C56864"/>
    <w:rsid w:val="00C62B04"/>
    <w:rsid w:val="00C64A51"/>
    <w:rsid w:val="00C65763"/>
    <w:rsid w:val="00C738F5"/>
    <w:rsid w:val="00C7528B"/>
    <w:rsid w:val="00C752F9"/>
    <w:rsid w:val="00C777B2"/>
    <w:rsid w:val="00C85B8F"/>
    <w:rsid w:val="00C87443"/>
    <w:rsid w:val="00C879E5"/>
    <w:rsid w:val="00CB067C"/>
    <w:rsid w:val="00CB0FF8"/>
    <w:rsid w:val="00CB7011"/>
    <w:rsid w:val="00CC48E1"/>
    <w:rsid w:val="00CD04EB"/>
    <w:rsid w:val="00CD1AC6"/>
    <w:rsid w:val="00CD1E89"/>
    <w:rsid w:val="00CD36D1"/>
    <w:rsid w:val="00CE11C6"/>
    <w:rsid w:val="00CE7CE4"/>
    <w:rsid w:val="00CF3D0A"/>
    <w:rsid w:val="00CF7E3F"/>
    <w:rsid w:val="00D0517F"/>
    <w:rsid w:val="00D068FB"/>
    <w:rsid w:val="00D16AE1"/>
    <w:rsid w:val="00D17EC8"/>
    <w:rsid w:val="00D250E1"/>
    <w:rsid w:val="00D27E56"/>
    <w:rsid w:val="00D3420F"/>
    <w:rsid w:val="00D44371"/>
    <w:rsid w:val="00D54B9F"/>
    <w:rsid w:val="00D60710"/>
    <w:rsid w:val="00D63509"/>
    <w:rsid w:val="00D648B6"/>
    <w:rsid w:val="00D65649"/>
    <w:rsid w:val="00D72D36"/>
    <w:rsid w:val="00D72DAB"/>
    <w:rsid w:val="00D81212"/>
    <w:rsid w:val="00D8257B"/>
    <w:rsid w:val="00D8275B"/>
    <w:rsid w:val="00D827F9"/>
    <w:rsid w:val="00D82A15"/>
    <w:rsid w:val="00D876B5"/>
    <w:rsid w:val="00D94F27"/>
    <w:rsid w:val="00D971F8"/>
    <w:rsid w:val="00DA29E3"/>
    <w:rsid w:val="00DA3239"/>
    <w:rsid w:val="00DA4EC8"/>
    <w:rsid w:val="00DB0243"/>
    <w:rsid w:val="00DB0528"/>
    <w:rsid w:val="00DB2CA8"/>
    <w:rsid w:val="00DB2CF8"/>
    <w:rsid w:val="00DB3166"/>
    <w:rsid w:val="00DC35EE"/>
    <w:rsid w:val="00DC68AA"/>
    <w:rsid w:val="00DD52DD"/>
    <w:rsid w:val="00DD5975"/>
    <w:rsid w:val="00DE5C17"/>
    <w:rsid w:val="00DF1507"/>
    <w:rsid w:val="00DF2C33"/>
    <w:rsid w:val="00DF54D5"/>
    <w:rsid w:val="00DF742E"/>
    <w:rsid w:val="00E00B7E"/>
    <w:rsid w:val="00E22DB1"/>
    <w:rsid w:val="00E23682"/>
    <w:rsid w:val="00E265A7"/>
    <w:rsid w:val="00E4400A"/>
    <w:rsid w:val="00E5270E"/>
    <w:rsid w:val="00E57F3E"/>
    <w:rsid w:val="00E62A77"/>
    <w:rsid w:val="00E77662"/>
    <w:rsid w:val="00E81EE1"/>
    <w:rsid w:val="00EA6922"/>
    <w:rsid w:val="00EB233E"/>
    <w:rsid w:val="00EB2394"/>
    <w:rsid w:val="00EB6412"/>
    <w:rsid w:val="00EB6D47"/>
    <w:rsid w:val="00EC6F85"/>
    <w:rsid w:val="00ED2CD1"/>
    <w:rsid w:val="00ED353F"/>
    <w:rsid w:val="00ED64BE"/>
    <w:rsid w:val="00ED7EBA"/>
    <w:rsid w:val="00EE0727"/>
    <w:rsid w:val="00EE32F8"/>
    <w:rsid w:val="00EE4415"/>
    <w:rsid w:val="00EE6ECB"/>
    <w:rsid w:val="00EE7004"/>
    <w:rsid w:val="00EE781C"/>
    <w:rsid w:val="00EF1451"/>
    <w:rsid w:val="00EF3362"/>
    <w:rsid w:val="00EF3F80"/>
    <w:rsid w:val="00EF6ADC"/>
    <w:rsid w:val="00EF6F6B"/>
    <w:rsid w:val="00F040A5"/>
    <w:rsid w:val="00F17C6C"/>
    <w:rsid w:val="00F21D4A"/>
    <w:rsid w:val="00F22E26"/>
    <w:rsid w:val="00F24968"/>
    <w:rsid w:val="00F33381"/>
    <w:rsid w:val="00F4690B"/>
    <w:rsid w:val="00F64171"/>
    <w:rsid w:val="00F81EFE"/>
    <w:rsid w:val="00F905D7"/>
    <w:rsid w:val="00FA2160"/>
    <w:rsid w:val="00FA216B"/>
    <w:rsid w:val="00FA5245"/>
    <w:rsid w:val="00FB2251"/>
    <w:rsid w:val="00FC5FBB"/>
    <w:rsid w:val="00FD657D"/>
    <w:rsid w:val="00FE4DCA"/>
    <w:rsid w:val="00FE6C71"/>
    <w:rsid w:val="00FF25F6"/>
    <w:rsid w:val="00FF393D"/>
    <w:rsid w:val="00FF55BC"/>
    <w:rsid w:val="00FF69CF"/>
    <w:rsid w:val="0202673A"/>
    <w:rsid w:val="038F6558"/>
    <w:rsid w:val="05AC3439"/>
    <w:rsid w:val="05B20F4D"/>
    <w:rsid w:val="080F229A"/>
    <w:rsid w:val="08FC43BA"/>
    <w:rsid w:val="0BDF3653"/>
    <w:rsid w:val="0DEF7A0D"/>
    <w:rsid w:val="0E0B2140"/>
    <w:rsid w:val="0EC94C55"/>
    <w:rsid w:val="11EB1FA0"/>
    <w:rsid w:val="13390E33"/>
    <w:rsid w:val="137B3C64"/>
    <w:rsid w:val="14951F61"/>
    <w:rsid w:val="167A07E4"/>
    <w:rsid w:val="18D909A6"/>
    <w:rsid w:val="19745C48"/>
    <w:rsid w:val="19D07006"/>
    <w:rsid w:val="19EF04BE"/>
    <w:rsid w:val="1FB45B95"/>
    <w:rsid w:val="1FCE0F2F"/>
    <w:rsid w:val="2120725A"/>
    <w:rsid w:val="213D685E"/>
    <w:rsid w:val="223A5CF9"/>
    <w:rsid w:val="254D2A6F"/>
    <w:rsid w:val="2653235E"/>
    <w:rsid w:val="26834513"/>
    <w:rsid w:val="26FD2D09"/>
    <w:rsid w:val="28D724B8"/>
    <w:rsid w:val="2E6376D6"/>
    <w:rsid w:val="2EB07483"/>
    <w:rsid w:val="2EB95263"/>
    <w:rsid w:val="30316111"/>
    <w:rsid w:val="32AF043E"/>
    <w:rsid w:val="32BE0DA6"/>
    <w:rsid w:val="32D06D32"/>
    <w:rsid w:val="34075851"/>
    <w:rsid w:val="344E3D06"/>
    <w:rsid w:val="35E35948"/>
    <w:rsid w:val="367D34CD"/>
    <w:rsid w:val="3ABE5731"/>
    <w:rsid w:val="3B902E4B"/>
    <w:rsid w:val="3D6C76C2"/>
    <w:rsid w:val="3EBF78A7"/>
    <w:rsid w:val="411E510D"/>
    <w:rsid w:val="418D4040"/>
    <w:rsid w:val="44A1408B"/>
    <w:rsid w:val="44C71617"/>
    <w:rsid w:val="44F1485D"/>
    <w:rsid w:val="45265C19"/>
    <w:rsid w:val="4821023C"/>
    <w:rsid w:val="4AF96EEC"/>
    <w:rsid w:val="4D267823"/>
    <w:rsid w:val="4F5148A6"/>
    <w:rsid w:val="503C00EA"/>
    <w:rsid w:val="523335D2"/>
    <w:rsid w:val="56A45C5C"/>
    <w:rsid w:val="58775B45"/>
    <w:rsid w:val="589B4392"/>
    <w:rsid w:val="59344D8D"/>
    <w:rsid w:val="5A866A0C"/>
    <w:rsid w:val="5C7165E1"/>
    <w:rsid w:val="5DDC5898"/>
    <w:rsid w:val="5E391380"/>
    <w:rsid w:val="5E746DF6"/>
    <w:rsid w:val="61434996"/>
    <w:rsid w:val="62ED70F1"/>
    <w:rsid w:val="662F5543"/>
    <w:rsid w:val="66664368"/>
    <w:rsid w:val="688A18E7"/>
    <w:rsid w:val="697B1A8D"/>
    <w:rsid w:val="69C66A35"/>
    <w:rsid w:val="6B713F07"/>
    <w:rsid w:val="6BCE0FD6"/>
    <w:rsid w:val="6C532C5C"/>
    <w:rsid w:val="6FED6D05"/>
    <w:rsid w:val="70097D62"/>
    <w:rsid w:val="73794986"/>
    <w:rsid w:val="73BE7927"/>
    <w:rsid w:val="74366AEB"/>
    <w:rsid w:val="74927732"/>
    <w:rsid w:val="75905D80"/>
    <w:rsid w:val="76F459ED"/>
    <w:rsid w:val="78961451"/>
    <w:rsid w:val="78D34A43"/>
    <w:rsid w:val="79A8143C"/>
    <w:rsid w:val="7B6C0247"/>
    <w:rsid w:val="7C4E5B9F"/>
    <w:rsid w:val="7EA15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cs="Calibri"/>
      <w:kern w:val="0"/>
      <w:sz w:val="20"/>
      <w:szCs w:val="21"/>
    </w:rPr>
  </w:style>
  <w:style w:type="paragraph" w:styleId="3">
    <w:name w:val="Body Text"/>
    <w:basedOn w:val="1"/>
    <w:next w:val="4"/>
    <w:qFormat/>
    <w:uiPriority w:val="0"/>
    <w:pPr>
      <w:spacing w:after="120"/>
    </w:pPr>
  </w:style>
  <w:style w:type="paragraph" w:styleId="4">
    <w:name w:val="toc 5"/>
    <w:basedOn w:val="1"/>
    <w:next w:val="1"/>
    <w:qFormat/>
    <w:uiPriority w:val="0"/>
    <w:pPr>
      <w:widowControl w:val="0"/>
      <w:ind w:left="1680" w:leftChars="800"/>
      <w:jc w:val="both"/>
    </w:pPr>
    <w:rPr>
      <w:rFonts w:ascii="Times New Roman" w:hAnsi="Times New Roman" w:eastAsia="宋体" w:cs="Calibri"/>
      <w:kern w:val="2"/>
      <w:sz w:val="21"/>
      <w:szCs w:val="24"/>
      <w:lang w:val="en-US" w:eastAsia="zh-CN" w:bidi="ar-SA"/>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0"/>
    <w:basedOn w:val="1"/>
    <w:qFormat/>
    <w:uiPriority w:val="0"/>
    <w:pPr>
      <w:widowControl/>
      <w:snapToGrid w:val="0"/>
    </w:pPr>
    <w:rPr>
      <w:kern w:val="0"/>
      <w:szCs w:val="21"/>
    </w:rPr>
  </w:style>
  <w:style w:type="character" w:customStyle="1" w:styleId="11">
    <w:name w:val="页眉 Char"/>
    <w:basedOn w:val="9"/>
    <w:link w:val="6"/>
    <w:semiHidden/>
    <w:qFormat/>
    <w:uiPriority w:val="99"/>
    <w:rPr>
      <w:rFonts w:asciiTheme="minorHAnsi" w:hAnsiTheme="minorHAnsi" w:eastAsiaTheme="minorEastAsia" w:cstheme="minorBidi"/>
      <w:kern w:val="2"/>
      <w:sz w:val="18"/>
      <w:szCs w:val="18"/>
    </w:rPr>
  </w:style>
  <w:style w:type="character" w:customStyle="1" w:styleId="12">
    <w:name w:val="页脚 Char"/>
    <w:basedOn w:val="9"/>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2741</Words>
  <Characters>2913</Characters>
  <Lines>17</Lines>
  <Paragraphs>4</Paragraphs>
  <TotalTime>4</TotalTime>
  <ScaleCrop>false</ScaleCrop>
  <LinksUpToDate>false</LinksUpToDate>
  <CharactersWithSpaces>2966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2023-05-05T00:52:00Z</dcterms:created>
  <dc:creator>lenovo</dc:creator>
  <cp:lastModifiedBy>桔子</cp:lastModifiedBy>
  <cp:lastPrinted>2023-05-25T09:25:27Z</cp:lastPrinted>
  <dcterms:modified xsi:type="dcterms:W3CDTF">2023-05-25T09:25:30Z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A9DD570F6D3348ECB4C301CA616A1526_12</vt:lpwstr>
  </property>
</Properties>
</file>