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/>
        <w:jc w:val="left"/>
        <w:rPr>
          <w:rFonts w:hint="eastAsia"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附件1-2</w:t>
      </w:r>
    </w:p>
    <w:p>
      <w:pPr>
        <w:pStyle w:val="3"/>
        <w:widowControl w:val="0"/>
        <w:spacing w:before="0" w:beforeAutospacing="0" w:after="0" w:afterAutospacing="0" w:line="800" w:lineRule="exact"/>
        <w:jc w:val="center"/>
        <w:rPr>
          <w:rStyle w:val="6"/>
          <w:rFonts w:ascii="黑体" w:hAnsi="黑体" w:eastAsia="黑体" w:cs="Times New Roman"/>
          <w:b w:val="0"/>
          <w:spacing w:val="-23"/>
          <w:sz w:val="36"/>
          <w:szCs w:val="36"/>
        </w:rPr>
      </w:pPr>
      <w:r>
        <w:rPr>
          <w:rStyle w:val="6"/>
          <w:rFonts w:ascii="黑体" w:hAnsi="黑体" w:eastAsia="黑体" w:cs="Times New Roman"/>
          <w:b w:val="0"/>
          <w:spacing w:val="-23"/>
          <w:sz w:val="36"/>
          <w:szCs w:val="36"/>
        </w:rPr>
        <w:t>202</w:t>
      </w:r>
      <w:r>
        <w:rPr>
          <w:rStyle w:val="6"/>
          <w:rFonts w:hint="eastAsia" w:ascii="黑体" w:hAnsi="黑体" w:eastAsia="黑体" w:cs="Times New Roman"/>
          <w:b w:val="0"/>
          <w:spacing w:val="-23"/>
          <w:sz w:val="36"/>
          <w:szCs w:val="36"/>
          <w:lang w:val="en-US" w:eastAsia="zh-CN"/>
        </w:rPr>
        <w:t>4</w:t>
      </w:r>
      <w:r>
        <w:rPr>
          <w:rStyle w:val="6"/>
          <w:rFonts w:ascii="黑体" w:hAnsi="黑体" w:eastAsia="黑体" w:cs="Times New Roman"/>
          <w:b w:val="0"/>
          <w:spacing w:val="-23"/>
          <w:sz w:val="36"/>
          <w:szCs w:val="36"/>
        </w:rPr>
        <w:t>年度</w:t>
      </w:r>
      <w:r>
        <w:rPr>
          <w:rStyle w:val="6"/>
          <w:rFonts w:hint="eastAsia" w:ascii="黑体" w:hAnsi="黑体" w:eastAsia="黑体" w:cs="Times New Roman"/>
          <w:b w:val="0"/>
          <w:spacing w:val="-23"/>
          <w:sz w:val="36"/>
          <w:szCs w:val="36"/>
        </w:rPr>
        <w:t>新晃县</w:t>
      </w:r>
      <w:r>
        <w:rPr>
          <w:rStyle w:val="6"/>
          <w:rFonts w:hint="eastAsia" w:ascii="黑体" w:hAnsi="黑体" w:eastAsia="黑体" w:cs="Times New Roman"/>
          <w:b w:val="0"/>
          <w:spacing w:val="-23"/>
          <w:sz w:val="36"/>
          <w:szCs w:val="36"/>
          <w:lang w:eastAsia="zh-CN"/>
        </w:rPr>
        <w:t>农业农村局</w:t>
      </w:r>
      <w:r>
        <w:rPr>
          <w:rStyle w:val="6"/>
          <w:rFonts w:ascii="黑体" w:hAnsi="黑体" w:eastAsia="黑体" w:cs="Times New Roman"/>
          <w:b w:val="0"/>
          <w:spacing w:val="-23"/>
          <w:sz w:val="36"/>
          <w:szCs w:val="36"/>
        </w:rPr>
        <w:t>整体支出绩效自评报告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一、部门（单位）基本概况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rPr>
          <w:rFonts w:hint="eastAsia" w:ascii="仿宋" w:hAnsi="仿宋" w:eastAsia="仿宋" w:cs="仿宋"/>
          <w:color w:val="000000"/>
          <w:sz w:val="32"/>
          <w:szCs w:val="32"/>
          <w:highlight w:val="yellow"/>
          <w:shd w:val="clear" w:color="auto" w:fill="FFFFFF"/>
        </w:rPr>
      </w:pPr>
      <w:r>
        <w:rPr>
          <w:rFonts w:hint="eastAsia" w:ascii="仿宋_GB2312" w:hAnsi="宋体" w:eastAsia="仿宋_GB2312" w:cs="Arial"/>
          <w:b/>
          <w:kern w:val="0"/>
          <w:sz w:val="32"/>
          <w:szCs w:val="32"/>
        </w:rPr>
        <w:t>（一）职能职责</w:t>
      </w:r>
      <w:r>
        <w:rPr>
          <w:rFonts w:hint="eastAsia" w:ascii="宋体" w:hAnsi="宋体" w:eastAsia="仿宋_GB2312" w:cs="Arial"/>
          <w:b/>
          <w:kern w:val="0"/>
          <w:sz w:val="32"/>
          <w:szCs w:val="32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bottom"/>
        <w:rPr>
          <w:rFonts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</w:rPr>
      </w:pPr>
      <w:bookmarkStart w:id="0" w:name="FUNCRESP"/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</w:rPr>
        <w:t>1、贯彻执行中央、省、市、县有关农业和农村工作的方针政策和农业法律法规，统筹推动发展农村社会事业、农村公共服务，农村文化、农田建设、农村基础设施和乡村治理等。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bottom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</w:rPr>
        <w:t>2、负责农业农村局机关及直属事业单位人事、劳动工资、财务计划、机构编制工作，指导有关社团工作、负责指导本县农业项目的申报、项目的实施监督工作。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textAlignment w:val="bottom"/>
        <w:rPr>
          <w:rFonts w:hint="eastAsia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</w:rPr>
        <w:t>3、完成县委、县政府交办的其它工作。</w:t>
      </w:r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rPr>
          <w:rFonts w:hint="eastAsia" w:ascii="仿宋_GB2312" w:hAnsi="宋体" w:eastAsia="仿宋_GB2312" w:cs="Arial"/>
          <w:b/>
          <w:kern w:val="0"/>
          <w:sz w:val="32"/>
          <w:szCs w:val="32"/>
        </w:rPr>
      </w:pPr>
      <w:r>
        <w:rPr>
          <w:rFonts w:hint="eastAsia" w:ascii="仿宋_GB2312" w:hAnsi="宋体" w:eastAsia="仿宋_GB2312" w:cs="Arial"/>
          <w:kern w:val="0"/>
          <w:sz w:val="32"/>
          <w:szCs w:val="32"/>
        </w:rPr>
        <w:t>　　</w:t>
      </w:r>
      <w:r>
        <w:rPr>
          <w:rFonts w:hint="eastAsia" w:ascii="仿宋_GB2312" w:hAnsi="宋体" w:eastAsia="仿宋_GB2312" w:cs="Arial"/>
          <w:b/>
          <w:kern w:val="0"/>
          <w:sz w:val="32"/>
          <w:szCs w:val="32"/>
        </w:rPr>
        <w:t>（二）机构设置</w:t>
      </w:r>
      <w:r>
        <w:rPr>
          <w:rFonts w:hint="eastAsia" w:ascii="宋体" w:hAnsi="宋体" w:eastAsia="仿宋_GB2312" w:cs="Arial"/>
          <w:b/>
          <w:kern w:val="0"/>
          <w:sz w:val="32"/>
          <w:szCs w:val="32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bottom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</w:rPr>
      </w:pPr>
      <w:bookmarkStart w:id="1" w:name="ORG_SET"/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</w:rPr>
        <w:t>1、农业农村局，编制数109名。202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</w:rPr>
        <w:t>年年末在职人数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  <w:lang w:val="en-US" w:eastAsia="zh-CN"/>
        </w:rPr>
        <w:t>85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</w:rPr>
        <w:t>人，财政全额拨款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  <w:lang w:val="en-US" w:eastAsia="zh-CN"/>
        </w:rPr>
        <w:t>85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</w:rPr>
        <w:t>人，退休人员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  <w:lang w:val="en-US" w:eastAsia="zh-CN"/>
        </w:rPr>
        <w:t>111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</w:rPr>
        <w:t>人，遗属补助人员2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</w:rPr>
        <w:t>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bottom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</w:rPr>
        <w:t>2、内设机构：办公室、秘书室、法规股(行政审批服务股)、改革发展规划与计划财务股、乡村产业发展和市场与信息化股（巩固拓展产业扶贫成果办公室）、农村社会事业促进股、农业资源保护与利用股（土肥工作站、农村能源管理站）、种植业管理股(农药管理、农作物种业管理、科教、粮油管理、植保植检)、养殖业管理股（畜禽种业管理）、农田建设股（农业机械化管理股）、中药材服务中心（农业科技服务站）、动物疫病预防控制中心（农产品质量安全监管股），农业行政执法大队，农民素质教育中心，烟叶生产管理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bottom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</w:rPr>
        <w:t>3、二级机构包括：畜牧水产事务中心（独立核算）、农村经营服务站（独立核算）、农机事务中心（非独立核算）。</w:t>
      </w:r>
      <w:bookmarkEnd w:id="1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rPr>
          <w:rFonts w:hint="eastAsia"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（三）收支总体情况和年末固定资产状况</w:t>
      </w:r>
    </w:p>
    <w:p>
      <w:pPr>
        <w:pStyle w:val="3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rPr>
          <w:rFonts w:hint="eastAsia" w:ascii="仿宋_GB2312" w:eastAsia="仿宋_GB2312"/>
          <w:sz w:val="32"/>
          <w:szCs w:val="32"/>
          <w:highlight w:val="yellow"/>
        </w:rPr>
      </w:pPr>
      <w:bookmarkStart w:id="2" w:name="OLE_LINK1"/>
      <w:r>
        <w:rPr>
          <w:rFonts w:hint="eastAsia" w:ascii="仿宋_GB2312" w:hAnsi="仿宋" w:eastAsia="仿宋_GB2312"/>
          <w:sz w:val="32"/>
          <w:szCs w:val="32"/>
          <w:highlight w:val="none"/>
        </w:rPr>
        <w:t>202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年财政拨款收入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172914416.59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元，财政拨款支出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172914416.59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元。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基本支出共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18682265.91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元，其中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人员经费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支出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15800634.41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元，用于在职人员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工资、社会保障缴费及奖金；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  <w:t>公用经费支出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2881631.5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元用于单位日常工作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运转年末财政拨款结转和结余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8704.58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  <w:t>万元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。</w:t>
      </w:r>
      <w:r>
        <w:rPr>
          <w:rFonts w:hint="eastAsia" w:ascii="仿宋_GB2312" w:eastAsia="仿宋_GB2312"/>
          <w:sz w:val="32"/>
          <w:szCs w:val="32"/>
          <w:highlight w:val="none"/>
        </w:rPr>
        <w:t>年末固定资产原值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9107260.36</w:t>
      </w:r>
      <w:r>
        <w:rPr>
          <w:rFonts w:hint="eastAsia" w:ascii="仿宋_GB2312" w:eastAsia="仿宋_GB2312"/>
          <w:sz w:val="32"/>
          <w:szCs w:val="32"/>
          <w:highlight w:val="none"/>
        </w:rPr>
        <w:t>元，资产已计提折旧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6324791.44</w:t>
      </w:r>
      <w:r>
        <w:rPr>
          <w:rFonts w:hint="eastAsia" w:ascii="仿宋_GB2312" w:eastAsia="仿宋_GB2312"/>
          <w:sz w:val="32"/>
          <w:szCs w:val="32"/>
          <w:highlight w:val="none"/>
        </w:rPr>
        <w:t>元，固定资产净值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2782468.92</w:t>
      </w:r>
      <w:r>
        <w:rPr>
          <w:rFonts w:hint="eastAsia" w:ascii="仿宋_GB2312" w:eastAsia="仿宋_GB2312"/>
          <w:sz w:val="32"/>
          <w:szCs w:val="32"/>
          <w:highlight w:val="none"/>
        </w:rPr>
        <w:t>元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，在建工程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65257613.7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元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</w:p>
    <w:bookmarkEnd w:id="2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rPr>
          <w:rFonts w:hint="eastAsia" w:ascii="仿宋_GB2312" w:eastAsia="仿宋_GB2312"/>
          <w:b/>
          <w:kern w:val="0"/>
          <w:sz w:val="32"/>
          <w:szCs w:val="32"/>
        </w:rPr>
      </w:pPr>
      <w:r>
        <w:rPr>
          <w:rFonts w:hint="eastAsia" w:ascii="仿宋_GB2312" w:eastAsia="仿宋_GB2312"/>
          <w:b/>
          <w:kern w:val="0"/>
          <w:sz w:val="32"/>
          <w:szCs w:val="32"/>
        </w:rPr>
        <w:t>（四）财政财务管理制度及执行情况</w:t>
      </w:r>
    </w:p>
    <w:p>
      <w:pPr>
        <w:pStyle w:val="3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sz w:val="32"/>
          <w:szCs w:val="32"/>
          <w:highlight w:val="none"/>
        </w:rPr>
        <w:t>本单位对财务管理规范，积极进行财政部门组织的决算、编报、审核等方面工作按时完成，认真如实填报各项支出。</w:t>
      </w:r>
      <w:r>
        <w:rPr>
          <w:rFonts w:hint="eastAsia" w:ascii="仿宋_GB2312" w:eastAsia="仿宋_GB2312"/>
          <w:sz w:val="32"/>
          <w:szCs w:val="32"/>
          <w:highlight w:val="none"/>
        </w:rPr>
        <w:t>在资金使用过程中，严格资金管理：一是加强领导，制定了资金管理制度。二是按照财务法律法规要求，加强经费使用和管理，用好资金，尽量提高资金使用效率。三是对资金的拨付、使用和管理严格按照财务管理制度执行，购置东西经过专人验收。四是专款专用，不挪用，非专款用途的开支不列入专项支出。五是每项支出的单据入帐都有经办人、证明人和领导批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二、部门（单位）整体支出绩效状况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highlight w:val="yellow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按照中央厉行节约反对浪费的要求，我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局</w:t>
      </w:r>
      <w:r>
        <w:rPr>
          <w:rFonts w:hint="eastAsia" w:ascii="仿宋_GB2312" w:eastAsia="仿宋_GB2312"/>
          <w:sz w:val="32"/>
          <w:szCs w:val="32"/>
          <w:highlight w:val="none"/>
        </w:rPr>
        <w:t>采取了完善制度，把好关口，紧缩支出等有力措施，做到“先预算，后开支；有预算，不超支；无预算，不开支”。硬化预算约束，厉行节约，制止奢侈浪费，保证重点，兼顾一般，充分提高资金的使用效率，增强财务工作的计划性、透明度，以收促支，有效保障农机化事业的发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rPr>
          <w:rFonts w:hint="default" w:ascii="仿宋_GB2312" w:eastAsia="宋体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2024年我局完成粮食生产稳定增长、做好脱贫攻坚和乡村振兴衔接工作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加快发展乡村产业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  <w:highlight w:val="none"/>
        </w:rPr>
        <w:t>持续推进推进农业基础设施建设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完成高标准农田建设任务、推进农业资源保护与利用、抓好农产品质量安全监管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  <w:highlight w:val="none"/>
        </w:rPr>
        <w:t>第三次全国土壤普查 、受污染耕地种植结构调整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  <w:highlight w:val="none"/>
        </w:rPr>
        <w:t>强化农业科技推广应用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  <w:highlight w:val="none"/>
        </w:rPr>
        <w:t>积极推进农业综合行政执法等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。一、</w:t>
      </w:r>
      <w:r>
        <w:rPr>
          <w:rFonts w:hint="eastAsia" w:ascii="仿宋_GB2312" w:eastAsia="仿宋_GB2312"/>
          <w:sz w:val="32"/>
          <w:szCs w:val="32"/>
          <w:highlight w:val="none"/>
        </w:rPr>
        <w:t>成本指标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  <w:highlight w:val="none"/>
        </w:rPr>
        <w:t>经济成本指标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highlight w:val="none"/>
        </w:rPr>
        <w:t>严管区退出水稻种植补贴投入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70.3万元。</w:t>
      </w:r>
      <w:r>
        <w:rPr>
          <w:rFonts w:hint="eastAsia" w:ascii="仿宋_GB2312" w:eastAsia="仿宋_GB2312"/>
          <w:sz w:val="32"/>
          <w:szCs w:val="32"/>
          <w:highlight w:val="none"/>
        </w:rPr>
        <w:t>社会成本指标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highlight w:val="none"/>
        </w:rPr>
        <w:t>对社会发展无负面影响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  <w:highlight w:val="none"/>
        </w:rPr>
        <w:t>生态环境成本指标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highlight w:val="none"/>
        </w:rPr>
        <w:t>对自然生态环境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无</w:t>
      </w:r>
      <w:r>
        <w:rPr>
          <w:rFonts w:hint="eastAsia" w:ascii="仿宋_GB2312" w:eastAsia="仿宋_GB2312"/>
          <w:sz w:val="32"/>
          <w:szCs w:val="32"/>
          <w:highlight w:val="none"/>
        </w:rPr>
        <w:t>负面影响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。二、</w:t>
      </w:r>
      <w:r>
        <w:rPr>
          <w:rFonts w:hint="eastAsia" w:ascii="仿宋_GB2312" w:eastAsia="仿宋_GB2312"/>
          <w:sz w:val="32"/>
          <w:szCs w:val="32"/>
          <w:highlight w:val="none"/>
        </w:rPr>
        <w:t>产出指标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  <w:highlight w:val="none"/>
        </w:rPr>
        <w:t>数量指标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highlight w:val="none"/>
        </w:rPr>
        <w:t>农产品质量安全快速检测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大于等于</w:t>
      </w:r>
      <w:r>
        <w:rPr>
          <w:rFonts w:hint="eastAsia" w:ascii="仿宋_GB2312" w:eastAsia="仿宋_GB2312"/>
          <w:sz w:val="32"/>
          <w:szCs w:val="32"/>
          <w:highlight w:val="none"/>
        </w:rPr>
        <w:t>7100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批次。</w:t>
      </w:r>
      <w:r>
        <w:rPr>
          <w:rFonts w:hint="eastAsia" w:ascii="仿宋_GB2312" w:eastAsia="仿宋_GB2312"/>
          <w:sz w:val="32"/>
          <w:szCs w:val="32"/>
          <w:highlight w:val="none"/>
        </w:rPr>
        <w:t>农产品定性定量监测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大于等于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300批次。</w:t>
      </w:r>
      <w:r>
        <w:rPr>
          <w:rFonts w:hint="eastAsia" w:ascii="仿宋_GB2312" w:eastAsia="仿宋_GB2312"/>
          <w:sz w:val="32"/>
          <w:szCs w:val="32"/>
          <w:highlight w:val="none"/>
        </w:rPr>
        <w:t>完成水稻示范片4个，面积1000亩。完成578个表层样点采集并流转至第三方公司进行检测化验 、完成578个表层样点分析化验且数据真实可靠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。</w:t>
      </w:r>
      <w:r>
        <w:rPr>
          <w:rFonts w:hint="eastAsia" w:ascii="仿宋_GB2312" w:eastAsia="仿宋_GB2312"/>
          <w:sz w:val="32"/>
          <w:szCs w:val="32"/>
          <w:highlight w:val="none"/>
        </w:rPr>
        <w:t>严管区2343.275亩全部退出水稻种植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  <w:highlight w:val="none"/>
        </w:rPr>
        <w:t>完成高标准农田年度建设任务 1.93万亩。质量指标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highlight w:val="none"/>
        </w:rPr>
        <w:t>各个项目验收全部合格。时效指标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highlight w:val="none"/>
        </w:rPr>
        <w:t>各项项目及时完成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。三、</w:t>
      </w:r>
      <w:r>
        <w:rPr>
          <w:rFonts w:hint="eastAsia" w:ascii="仿宋_GB2312" w:eastAsia="仿宋_GB2312"/>
          <w:sz w:val="32"/>
          <w:szCs w:val="32"/>
          <w:highlight w:val="none"/>
        </w:rPr>
        <w:t>效益指标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  <w:highlight w:val="none"/>
        </w:rPr>
        <w:t>经济效益指标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highlight w:val="none"/>
        </w:rPr>
        <w:t>稻谷种植收益比上年增加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  <w:highlight w:val="none"/>
        </w:rPr>
        <w:t>社会效益指标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:</w:t>
      </w:r>
      <w:r>
        <w:rPr>
          <w:rFonts w:hint="eastAsia" w:ascii="仿宋_GB2312" w:eastAsia="仿宋_GB2312"/>
          <w:sz w:val="32"/>
          <w:szCs w:val="32"/>
          <w:highlight w:val="none"/>
        </w:rPr>
        <w:t>社会生产力水平不断提高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  <w:highlight w:val="none"/>
        </w:rPr>
        <w:t>生态效益指标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highlight w:val="none"/>
        </w:rPr>
        <w:t>通过退出水稻种植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逐年对严管区进行治理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  <w:highlight w:val="none"/>
        </w:rPr>
        <w:t>耕地抛荒面积低于上年度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  <w:highlight w:val="none"/>
        </w:rPr>
        <w:t>可持续影响指标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highlight w:val="none"/>
        </w:rPr>
        <w:t>水资源利用率逐步提升。通过退出水稻种植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逐年对严管区进行治理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逐步改良我县农业生产环境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。四、</w:t>
      </w:r>
      <w:r>
        <w:rPr>
          <w:rFonts w:hint="eastAsia" w:ascii="仿宋_GB2312" w:eastAsia="仿宋_GB2312"/>
          <w:sz w:val="32"/>
          <w:szCs w:val="32"/>
          <w:highlight w:val="none"/>
        </w:rPr>
        <w:t>满意度指标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highlight w:val="none"/>
        </w:rPr>
        <w:t>社会公众满意度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大于等于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90%。</w:t>
      </w:r>
      <w:bookmarkStart w:id="3" w:name="_GoBack"/>
      <w:bookmarkEnd w:id="3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三、存在的问题及原因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从财政批复我局部门预算看，部门预算基本围绕保人员经费、公用经费包干进行。从实际工资运行和决算情况看，除基本支出外，单位每年要负担一些财政无预算的刚性支出，如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项目运行</w:t>
      </w:r>
      <w:r>
        <w:rPr>
          <w:rFonts w:hint="eastAsia" w:ascii="仿宋_GB2312" w:eastAsia="仿宋_GB2312"/>
          <w:sz w:val="32"/>
          <w:szCs w:val="32"/>
          <w:highlight w:val="none"/>
        </w:rPr>
        <w:t>工作支出没有预算公用经费等，资金缺口大，单位只能靠挤占基本支出和项目经费，单位运转困难。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四、提高财政资金绩效的措施与建议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仿宋_GB2312" w:eastAsia="仿宋_GB2312" w:cs="宋体" w:hAnsiTheme="minorEastAsia"/>
          <w:kern w:val="0"/>
          <w:sz w:val="32"/>
          <w:szCs w:val="32"/>
          <w:highlight w:val="none"/>
        </w:rPr>
      </w:pPr>
      <w:r>
        <w:rPr>
          <w:rFonts w:hint="eastAsia" w:ascii="仿宋_GB2312" w:eastAsia="仿宋_GB2312" w:cs="宋体" w:hAnsiTheme="minorEastAsia"/>
          <w:kern w:val="0"/>
          <w:sz w:val="32"/>
          <w:szCs w:val="32"/>
          <w:highlight w:val="none"/>
        </w:rPr>
        <w:t>1.科学合理编制预算，严格执行预算 。加强预算编制的前瞻性，按政策规定及本部门的发展规划，结合上一年度预算执行情况和本年度预算收支变化因素，科学、合理编制本年预算草案，避免项目支出与基本支出划分不准或预算支出与实际执行出现偏差，加强预算支出的审核、跟踪及预算执行情况分析，提高预算编制严谨性和可控性。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 w:cs="宋体" w:hAnsiTheme="minorEastAsia"/>
          <w:kern w:val="0"/>
          <w:sz w:val="32"/>
          <w:szCs w:val="32"/>
          <w:highlight w:val="none"/>
        </w:rPr>
        <w:t>2.规范账务处理，提高财务信息质量。严格按照《会计法》、《行政单位会计制度》、《行政单位财务规则》等规定执行财务核算，并结合实际情况，完整、准确地披露相关信息，做到决算与预算相衔接。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rPr>
          <w:rFonts w:hint="eastAsia" w:ascii="黑体" w:hAnsi="黑体" w:eastAsia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sz w:val="32"/>
          <w:szCs w:val="32"/>
          <w:highlight w:val="none"/>
        </w:rPr>
        <w:t>五、附件（佐证依据）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提供自评报告的有关文件、资料等，以进一步解释和证明报告所反映的相关内容。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rPr>
          <w:rFonts w:hint="eastAsia" w:ascii="仿宋_GB2312" w:eastAsia="仿宋_GB2312"/>
          <w:color w:val="auto"/>
          <w:sz w:val="32"/>
          <w:szCs w:val="32"/>
          <w:highlight w:val="none"/>
        </w:rPr>
      </w:pP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 xml:space="preserve">                      </w:t>
      </w:r>
      <w:r>
        <w:rPr>
          <w:rFonts w:hint="eastAsia" w:ascii="仿宋_GB2312" w:eastAsia="仿宋_GB2312"/>
          <w:sz w:val="32"/>
          <w:szCs w:val="32"/>
        </w:rPr>
        <w:t xml:space="preserve">        </w:t>
      </w:r>
    </w:p>
    <w:p>
      <w:pPr>
        <w:spacing w:line="560" w:lineRule="exact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 xml:space="preserve">                         </w:t>
      </w:r>
      <w:r>
        <w:rPr>
          <w:rFonts w:hint="eastAsia" w:ascii="仿宋_GB2312" w:eastAsia="仿宋_GB2312"/>
          <w:kern w:val="0"/>
          <w:sz w:val="32"/>
          <w:szCs w:val="32"/>
        </w:rPr>
        <w:t>新晃</w:t>
      </w: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>侗族自治县</w:t>
      </w:r>
      <w:r>
        <w:rPr>
          <w:rFonts w:hint="eastAsia" w:ascii="仿宋_GB2312" w:eastAsia="仿宋_GB2312"/>
          <w:kern w:val="0"/>
          <w:sz w:val="32"/>
          <w:szCs w:val="32"/>
        </w:rPr>
        <w:t>县</w:t>
      </w:r>
      <w:r>
        <w:rPr>
          <w:rFonts w:hint="eastAsia" w:ascii="仿宋_GB2312" w:eastAsia="仿宋_GB2312"/>
          <w:kern w:val="0"/>
          <w:sz w:val="32"/>
          <w:szCs w:val="32"/>
          <w:lang w:eastAsia="zh-CN"/>
        </w:rPr>
        <w:t>农业农村局</w:t>
      </w:r>
    </w:p>
    <w:p>
      <w:r>
        <w:rPr>
          <w:rFonts w:hint="eastAsia" w:ascii="仿宋_GB2312" w:eastAsia="仿宋_GB2312"/>
          <w:sz w:val="32"/>
          <w:szCs w:val="32"/>
        </w:rPr>
        <w:t xml:space="preserve">                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2025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19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4NDFiNDg1NzA1N2I1YmEzZjhjNDZmNTFlMDkxNmUifQ=="/>
    <w:docVar w:name="KSO_WPS_MARK_KEY" w:val="a6c7e12d-4eaa-4b5c-80a0-e86c2daf7cb2"/>
  </w:docVars>
  <w:rsids>
    <w:rsidRoot w:val="2FE41EFE"/>
    <w:rsid w:val="0A973CE1"/>
    <w:rsid w:val="194C7D1C"/>
    <w:rsid w:val="1ADA477D"/>
    <w:rsid w:val="20894618"/>
    <w:rsid w:val="2B7269C4"/>
    <w:rsid w:val="2C8D7E9A"/>
    <w:rsid w:val="2FE41EFE"/>
    <w:rsid w:val="303B2D42"/>
    <w:rsid w:val="3D137D41"/>
    <w:rsid w:val="40DF2587"/>
    <w:rsid w:val="45984CDC"/>
    <w:rsid w:val="51D40E56"/>
    <w:rsid w:val="562D451D"/>
    <w:rsid w:val="6ACF271F"/>
    <w:rsid w:val="746D33B5"/>
    <w:rsid w:val="7B0C4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/>
    </w:p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6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2297</Words>
  <Characters>2515</Characters>
  <Lines>0</Lines>
  <Paragraphs>0</Paragraphs>
  <TotalTime>1</TotalTime>
  <ScaleCrop>false</ScaleCrop>
  <LinksUpToDate>false</LinksUpToDate>
  <CharactersWithSpaces>2607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2023-05-10T00:46:00Z</dcterms:created>
  <dc:creator>Administrator</dc:creator>
  <cp:lastModifiedBy>水瓶座属马</cp:lastModifiedBy>
  <dcterms:modified xsi:type="dcterms:W3CDTF">2025-03-19T09:03:57Z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D0B0572F17A64C318DD67230DB0C1528_11</vt:lpwstr>
  </property>
</Properties>
</file>