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  <w:u w:val="none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u w:val="none"/>
          <w:lang w:eastAsia="zh-CN"/>
        </w:rPr>
        <w:t>新晃侗族自治县农业农村局专项业务费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>
      <w:pPr>
        <w:pStyle w:val="2"/>
        <w:ind w:left="0" w:leftChars="0" w:firstLine="0" w:firstLineChars="0"/>
        <w:jc w:val="both"/>
        <w:rPr>
          <w:rFonts w:hint="eastAsia"/>
        </w:rPr>
      </w:pPr>
      <w:bookmarkStart w:id="0" w:name="_GoBack"/>
      <w:bookmarkEnd w:id="0"/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认真履行基层党建主体责任，坚持以抓党建促业务工作发展,完成农业农村局相关工作，抓好乡村振兴工作，重视农业农村发展，提高粮食产量，提升农民生活幸福高。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项目绩效目标。</w:t>
      </w:r>
    </w:p>
    <w:p>
      <w:pPr>
        <w:numPr>
          <w:numId w:val="0"/>
        </w:numPr>
        <w:spacing w:line="240" w:lineRule="auto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维持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日常工作运行、完成农业综合行政执法工作、农机安全生产工作、农机购置补贴工作、农机推广工作等。</w:t>
      </w:r>
    </w:p>
    <w:p>
      <w:pPr>
        <w:spacing w:line="560" w:lineRule="exact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业务经费（日常运行、农业综合行政执法运行经费、农机安全生产工作、农机购置补贴工作、农机推广工作等）；绩效评价目的是提升预算管理水平、增强项目单位资金支出责任、优化公共资源配置、节约公共支出成本，促进财政资金的合理配置和提高公共产品的服务质量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right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1.科学公正。绩效评价应当运用科学合理的方法，按照规范的程序，对项目绩效进行客观、公正的反映。2.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3.激励约束。绩效评价结果应与预算安排、政策调整、改进管理实质性挂钩，体现奖优罚劣和激励相容导向，有效要安排、低效要压减、无效要问责。4.公开透明。绩效评价结果应依法依规公开，并自觉接受社会监督。</w:t>
      </w:r>
    </w:p>
    <w:p>
      <w:pPr>
        <w:numPr>
          <w:numId w:val="0"/>
        </w:numPr>
        <w:spacing w:line="560" w:lineRule="exact"/>
        <w:ind w:left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评价指标体系（附表说明）；计划标准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绩效评价工作过程。</w:t>
      </w:r>
    </w:p>
    <w:p>
      <w:pPr>
        <w:pStyle w:val="2"/>
        <w:numPr>
          <w:numId w:val="0"/>
        </w:numPr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1.确定评价对象和评价范围；2.组成绩效评价工作小组；3.制定评价工作方案；4.根据项目完成情况和项目绩效目标表进行打分；5.制作项目支出绩效自评表。</w:t>
      </w:r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>
      <w:pPr>
        <w:pStyle w:val="2"/>
        <w:numPr>
          <w:ilvl w:val="0"/>
          <w:numId w:val="0"/>
        </w:numPr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项目预算及预期绩效目标编制水平评分得8分，预算执行率评分得10分，项目组织管理水平评分得9分，资金支出合理合规评分得10分，项目产出评分得30分，项目效益（效果）评分得18分，满意度评分得10分。本次自评，对照项目绩效目标，从项目预算编制、项目组织管理、资金使用、项目产出、项目效益、满意度等方面逐一分析评价，总体自评得分95分，绩效评价等级为“优秀”。</w:t>
      </w:r>
    </w:p>
    <w:p>
      <w:pPr>
        <w:spacing w:line="560" w:lineRule="exact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>
      <w:pPr>
        <w:spacing w:line="560" w:lineRule="exact"/>
        <w:ind w:firstLine="1280" w:firstLineChars="400"/>
        <w:jc w:val="left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年初做预算编制，邀请财政局一共制定预算。</w:t>
      </w:r>
    </w:p>
    <w:p>
      <w:pPr>
        <w:numPr>
          <w:ilvl w:val="0"/>
          <w:numId w:val="2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项目过程情况。</w:t>
      </w:r>
    </w:p>
    <w:p>
      <w:pPr>
        <w:numPr>
          <w:ilvl w:val="0"/>
          <w:numId w:val="0"/>
        </w:numPr>
        <w:spacing w:line="240" w:lineRule="auto"/>
        <w:ind w:left="0" w:leftChars="0" w:firstLine="640" w:firstLineChars="200"/>
        <w:jc w:val="left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年初制定全年日常工作计划、完成农业综合行政执法工作、农机安全生产工作、农机购置补贴工作、农机推广工作等。</w:t>
      </w:r>
    </w:p>
    <w:p>
      <w:pPr>
        <w:numPr>
          <w:ilvl w:val="0"/>
          <w:numId w:val="2"/>
        </w:numPr>
        <w:spacing w:line="560" w:lineRule="exact"/>
        <w:ind w:left="1"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项目产出情况。</w:t>
      </w:r>
    </w:p>
    <w:p>
      <w:pPr>
        <w:pStyle w:val="2"/>
        <w:numPr>
          <w:numId w:val="0"/>
        </w:numPr>
        <w:spacing w:after="0" w:line="240" w:lineRule="auto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维持全年日常工作运行，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保障农业综合行政执法运行经费，完成农机安全生产工作、农机购置补贴工作、农机推广工作等专项业务费正常发放。</w:t>
      </w:r>
    </w:p>
    <w:p>
      <w:pPr>
        <w:numPr>
          <w:ilvl w:val="0"/>
          <w:numId w:val="2"/>
        </w:numPr>
        <w:spacing w:line="560" w:lineRule="exact"/>
        <w:ind w:left="1"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项目效益情况。</w:t>
      </w:r>
    </w:p>
    <w:p>
      <w:pPr>
        <w:pStyle w:val="2"/>
        <w:numPr>
          <w:ilvl w:val="0"/>
          <w:numId w:val="0"/>
        </w:numPr>
        <w:spacing w:after="0" w:line="240" w:lineRule="auto"/>
        <w:ind w:left="0" w:leftChars="0"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1.经济成本指标：专项业务经费成本59.69万元。2.质量指标：农机购置补贴准确率100%。3.时效指标：按时完成各项工作。4.社会效益指标：社会生产力水平效果显著提高。5.可持续影响指标：促进粮食生产可持续发展。6.服务对象满意度指标:满意度高于95%。</w:t>
      </w:r>
    </w:p>
    <w:p>
      <w:pPr>
        <w:spacing w:line="560" w:lineRule="exact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>
      <w:pPr>
        <w:pStyle w:val="2"/>
        <w:numPr>
          <w:ilvl w:val="0"/>
          <w:numId w:val="0"/>
        </w:numPr>
        <w:spacing w:after="0" w:line="240" w:lineRule="auto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无</w:t>
      </w:r>
    </w:p>
    <w:p>
      <w:pPr>
        <w:numPr>
          <w:numId w:val="0"/>
        </w:numPr>
        <w:spacing w:line="560" w:lineRule="exact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六、</w:t>
      </w:r>
      <w:r>
        <w:rPr>
          <w:rFonts w:hint="eastAsia" w:ascii="宋体" w:hAnsi="宋体" w:cs="宋体"/>
          <w:b/>
          <w:sz w:val="32"/>
          <w:szCs w:val="32"/>
        </w:rPr>
        <w:t>有关建议</w:t>
      </w:r>
    </w:p>
    <w:p>
      <w:pPr>
        <w:pStyle w:val="2"/>
        <w:numPr>
          <w:ilvl w:val="0"/>
          <w:numId w:val="0"/>
        </w:numPr>
        <w:spacing w:after="0" w:line="240" w:lineRule="auto"/>
        <w:ind w:left="0" w:leftChars="0" w:firstLine="640" w:firstLineChars="200"/>
        <w:jc w:val="both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无</w:t>
      </w:r>
    </w:p>
    <w:p>
      <w:pPr>
        <w:numPr>
          <w:numId w:val="0"/>
        </w:numPr>
        <w:spacing w:line="560" w:lineRule="exact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七、</w:t>
      </w:r>
      <w:r>
        <w:rPr>
          <w:rFonts w:hint="eastAsia" w:ascii="宋体" w:hAnsi="宋体" w:cs="宋体"/>
          <w:b/>
          <w:sz w:val="32"/>
          <w:szCs w:val="32"/>
        </w:rPr>
        <w:t>其他需要说明的问题</w:t>
      </w:r>
    </w:p>
    <w:p>
      <w:pPr>
        <w:pStyle w:val="2"/>
        <w:numPr>
          <w:ilvl w:val="0"/>
          <w:numId w:val="0"/>
        </w:numPr>
        <w:spacing w:after="0" w:line="240" w:lineRule="auto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无</w:t>
      </w:r>
    </w:p>
    <w:p>
      <w:pPr>
        <w:pStyle w:val="2"/>
        <w:numPr>
          <w:numId w:val="0"/>
        </w:numPr>
        <w:ind w:leftChars="200"/>
        <w:jc w:val="both"/>
        <w:rPr>
          <w:rFonts w:hint="eastAsia"/>
        </w:rPr>
      </w:pPr>
    </w:p>
    <w:p>
      <w:pPr>
        <w:pStyle w:val="4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widowControl w:val="0"/>
        <w:spacing w:before="0" w:beforeAutospacing="0" w:after="0" w:afterAutospacing="0" w:line="520" w:lineRule="exact"/>
        <w:ind w:left="5120" w:hanging="5120" w:hangingChars="1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新晃侗族自治县农业农村局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8CD6DD"/>
    <w:multiLevelType w:val="singleLevel"/>
    <w:tmpl w:val="CD8CD6D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F54E44"/>
    <w:multiLevelType w:val="singleLevel"/>
    <w:tmpl w:val="3DF54E4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4NDFiNDg1NzA1N2I1YmEzZjhjNDZmNTFlMDkxNmUifQ=="/>
    <w:docVar w:name="KSO_WPS_MARK_KEY" w:val="9546fa52-b378-4fb0-a461-1f49f38bc6bd"/>
  </w:docVars>
  <w:rsids>
    <w:rsidRoot w:val="00000000"/>
    <w:rsid w:val="1E494590"/>
    <w:rsid w:val="2251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spacing w:after="200"/>
      <w:ind w:firstLine="420" w:firstLineChars="100"/>
      <w:jc w:val="center"/>
    </w:pPr>
    <w:rPr>
      <w:rFonts w:ascii="楷体_GB2312" w:eastAsia="楷体_GB2312"/>
      <w:sz w:val="24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290</Words>
  <Characters>295</Characters>
  <Lines>0</Lines>
  <Paragraphs>0</Paragraphs>
  <TotalTime>3</TotalTime>
  <ScaleCrop>false</ScaleCrop>
  <LinksUpToDate>false</LinksUpToDate>
  <CharactersWithSpaces>361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水瓶座属马</cp:lastModifiedBy>
  <dcterms:modified xsi:type="dcterms:W3CDTF">2025-03-18T01:02:20Z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0CD048FE2EDA459490098F6CE7289B07_12</vt:lpwstr>
  </property>
</Properties>
</file>