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粗宋简体"/>
          <w:w w:val="85"/>
          <w:kern w:val="0"/>
          <w:sz w:val="44"/>
          <w:szCs w:val="44"/>
        </w:rPr>
      </w:pPr>
      <w:r>
        <w:rPr>
          <w:rFonts w:eastAsia="方正粗宋简体"/>
          <w:w w:val="85"/>
          <w:kern w:val="0"/>
          <w:sz w:val="44"/>
          <w:szCs w:val="44"/>
        </w:rPr>
        <w:t>20</w:t>
      </w:r>
      <w:r>
        <w:rPr>
          <w:rFonts w:hint="eastAsia" w:eastAsia="方正粗宋简体"/>
          <w:w w:val="85"/>
          <w:kern w:val="0"/>
          <w:sz w:val="44"/>
          <w:szCs w:val="44"/>
          <w:lang w:val="en-US" w:eastAsia="zh-CN"/>
        </w:rPr>
        <w:t>20</w:t>
      </w:r>
      <w:r>
        <w:rPr>
          <w:rFonts w:hAnsi="方正粗宋简体" w:eastAsia="方正粗宋简体"/>
          <w:w w:val="85"/>
          <w:kern w:val="0"/>
          <w:sz w:val="44"/>
          <w:szCs w:val="44"/>
        </w:rPr>
        <w:t>年度新晃侗族自治县部门（</w:t>
      </w:r>
      <w:r>
        <w:rPr>
          <w:rFonts w:hint="eastAsia" w:hAnsi="方正粗宋简体" w:eastAsia="方正粗宋简体"/>
          <w:w w:val="85"/>
          <w:kern w:val="0"/>
          <w:sz w:val="44"/>
          <w:szCs w:val="44"/>
        </w:rPr>
        <w:t>交通局</w:t>
      </w:r>
      <w:r>
        <w:rPr>
          <w:rFonts w:hAnsi="方正粗宋简体" w:eastAsia="方正粗宋简体"/>
          <w:w w:val="85"/>
          <w:kern w:val="0"/>
          <w:sz w:val="44"/>
          <w:szCs w:val="44"/>
        </w:rPr>
        <w:t>）整体支出绩</w:t>
      </w:r>
    </w:p>
    <w:p>
      <w:pPr>
        <w:spacing w:line="500" w:lineRule="exact"/>
        <w:jc w:val="center"/>
        <w:rPr>
          <w:rFonts w:eastAsia="方正粗宋简体"/>
          <w:w w:val="85"/>
          <w:kern w:val="0"/>
          <w:sz w:val="44"/>
          <w:szCs w:val="44"/>
        </w:rPr>
      </w:pPr>
      <w:r>
        <w:rPr>
          <w:rFonts w:hAnsi="方正粗宋简体" w:eastAsia="方正粗宋简体"/>
          <w:w w:val="85"/>
          <w:kern w:val="0"/>
          <w:sz w:val="44"/>
          <w:szCs w:val="44"/>
        </w:rPr>
        <w:t>效评价指标体系</w:t>
      </w:r>
    </w:p>
    <w:tbl>
      <w:tblPr>
        <w:tblStyle w:val="4"/>
        <w:tblW w:w="0" w:type="auto"/>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780"/>
        <w:gridCol w:w="796"/>
        <w:gridCol w:w="720"/>
        <w:gridCol w:w="3575"/>
        <w:gridCol w:w="1977"/>
        <w:gridCol w:w="989"/>
        <w:gridCol w:w="51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Header/>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9"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投入(共20分)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预算编制(共10分)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整体</w:t>
            </w:r>
          </w:p>
          <w:p>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设有整体绩效目标2分；目标设定依据充分符合客观实际1分；目标清晰、细化1分；目标可衡量1分。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Cs w:val="21"/>
              </w:rPr>
              <w:t>交通运输局20</w:t>
            </w:r>
            <w:r>
              <w:rPr>
                <w:rFonts w:hint="eastAsia" w:eastAsia="楷体_GB2312"/>
                <w:kern w:val="0"/>
                <w:szCs w:val="21"/>
                <w:lang w:val="en-US" w:eastAsia="zh-CN"/>
              </w:rPr>
              <w:t>20</w:t>
            </w:r>
            <w:r>
              <w:rPr>
                <w:rFonts w:hint="eastAsia" w:eastAsia="楷体_GB2312"/>
                <w:kern w:val="0"/>
                <w:szCs w:val="21"/>
              </w:rPr>
              <w:t>年部门预算绩效目标表</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51"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项目均设有绩效目标1分；目标科学合理1分；目标明确1分；目标细化1分；目标量化1分。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Cs w:val="21"/>
              </w:rPr>
              <w:t>交通运输局20</w:t>
            </w:r>
            <w:r>
              <w:rPr>
                <w:rFonts w:hint="eastAsia" w:eastAsia="楷体_GB2312"/>
                <w:kern w:val="0"/>
                <w:szCs w:val="21"/>
                <w:lang w:val="en-US" w:eastAsia="zh-CN"/>
              </w:rPr>
              <w:t>20</w:t>
            </w:r>
            <w:r>
              <w:rPr>
                <w:rFonts w:hint="eastAsia" w:eastAsia="楷体_GB2312"/>
                <w:kern w:val="0"/>
                <w:szCs w:val="21"/>
              </w:rPr>
              <w:t>年部门预算绩效目标表</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9"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预算配置(共10分)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在职</w:t>
            </w:r>
          </w:p>
          <w:p>
            <w:pPr>
              <w:spacing w:line="300" w:lineRule="exact"/>
              <w:jc w:val="center"/>
              <w:rPr>
                <w:rFonts w:eastAsia="楷体_GB2312"/>
                <w:kern w:val="0"/>
                <w:sz w:val="24"/>
              </w:rPr>
            </w:pPr>
            <w:r>
              <w:rPr>
                <w:rFonts w:eastAsia="楷体_GB2312"/>
                <w:kern w:val="0"/>
                <w:sz w:val="24"/>
              </w:rPr>
              <w:t>人员</w:t>
            </w:r>
          </w:p>
          <w:p>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在职人员控制率=[在职人员数/编制数]×100%</w:t>
            </w:r>
          </w:p>
          <w:p>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pPr>
              <w:spacing w:line="300" w:lineRule="exact"/>
              <w:rPr>
                <w:rFonts w:eastAsia="楷体_GB2312"/>
                <w:kern w:val="0"/>
                <w:sz w:val="24"/>
              </w:rPr>
            </w:pPr>
            <w:r>
              <w:rPr>
                <w:rFonts w:eastAsia="楷体_GB2312"/>
                <w:kern w:val="0"/>
                <w:sz w:val="24"/>
              </w:rPr>
              <w:t>编制数：机构编制部门核定批复的部门的人员编制数(含临时人员)。</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22</w:t>
            </w:r>
            <w:r>
              <w:rPr>
                <w:rFonts w:hint="eastAsia" w:eastAsia="楷体_GB2312"/>
                <w:kern w:val="0"/>
                <w:sz w:val="24"/>
              </w:rPr>
              <w:t>/9*100%=</w:t>
            </w:r>
            <w:r>
              <w:rPr>
                <w:rFonts w:hint="eastAsia" w:eastAsia="楷体_GB2312"/>
                <w:kern w:val="0"/>
                <w:sz w:val="24"/>
                <w:lang w:val="en-US" w:eastAsia="zh-CN"/>
              </w:rPr>
              <w:t>244</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“三公经费”变动率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“三公经费”变动率=[本年度“三公经费”预算总额/上年度“三公经费”预算总额] ×100%</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35</w:t>
            </w:r>
            <w:r>
              <w:rPr>
                <w:rFonts w:hint="eastAsia" w:eastAsia="楷体_GB2312"/>
                <w:kern w:val="0"/>
                <w:sz w:val="24"/>
              </w:rPr>
              <w:t>/</w:t>
            </w:r>
            <w:r>
              <w:rPr>
                <w:rFonts w:hint="eastAsia" w:eastAsia="楷体_GB2312"/>
                <w:kern w:val="0"/>
                <w:sz w:val="24"/>
                <w:lang w:val="en-US" w:eastAsia="zh-CN"/>
              </w:rPr>
              <w:t>38</w:t>
            </w:r>
            <w:r>
              <w:rPr>
                <w:rFonts w:hint="eastAsia" w:eastAsia="楷体_GB2312"/>
                <w:kern w:val="0"/>
                <w:sz w:val="24"/>
              </w:rPr>
              <w:t>*100%=9</w:t>
            </w:r>
            <w:r>
              <w:rPr>
                <w:rFonts w:hint="eastAsia" w:eastAsia="楷体_GB2312"/>
                <w:kern w:val="0"/>
                <w:sz w:val="24"/>
                <w:lang w:val="en-US" w:eastAsia="zh-CN"/>
              </w:rPr>
              <w:t>2.11</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3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重点项目预算保障率=（重点项目预算/项目总预算）×100%。</w:t>
            </w:r>
          </w:p>
          <w:p>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结果≥80%，得4分；80%＞结果≥60%，得2分；结果＜60%，得0分。</w:t>
            </w:r>
          </w:p>
        </w:tc>
        <w:tc>
          <w:tcPr>
            <w:tcW w:w="989" w:type="dxa"/>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不适用</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5"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过程(共30分)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预算执行（15分）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项目预算执行率=[项目预算执行数/项目预算数]×100%。</w:t>
            </w:r>
          </w:p>
          <w:p>
            <w:pPr>
              <w:spacing w:line="300" w:lineRule="exact"/>
              <w:rPr>
                <w:rFonts w:eastAsia="楷体_GB2312"/>
                <w:kern w:val="0"/>
                <w:sz w:val="24"/>
              </w:rPr>
            </w:pPr>
            <w:r>
              <w:rPr>
                <w:rFonts w:eastAsia="楷体_GB2312"/>
                <w:kern w:val="0"/>
                <w:sz w:val="24"/>
              </w:rPr>
              <w:t>项目预算执行数：部门本年度实际执行的项目预算数。</w:t>
            </w:r>
          </w:p>
          <w:p>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95%≤结果≤100%，得5分；90%≤结果＜95%，得3分；80%≤结果＜90%，得1分；结果＜80%，得0分。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301</w:t>
            </w:r>
            <w:r>
              <w:rPr>
                <w:rFonts w:hint="eastAsia" w:eastAsia="楷体_GB2312"/>
                <w:kern w:val="0"/>
                <w:sz w:val="24"/>
              </w:rPr>
              <w:t>/</w:t>
            </w:r>
            <w:r>
              <w:rPr>
                <w:rFonts w:hint="eastAsia" w:eastAsia="楷体_GB2312"/>
                <w:kern w:val="0"/>
                <w:sz w:val="24"/>
                <w:lang w:val="en-US" w:eastAsia="zh-CN"/>
              </w:rPr>
              <w:t>320</w:t>
            </w:r>
            <w:r>
              <w:rPr>
                <w:rFonts w:hint="eastAsia" w:eastAsia="楷体_GB2312"/>
                <w:kern w:val="0"/>
                <w:sz w:val="24"/>
              </w:rPr>
              <w:t>*100%=</w:t>
            </w:r>
            <w:r>
              <w:rPr>
                <w:rFonts w:hint="eastAsia" w:eastAsia="楷体_GB2312"/>
                <w:kern w:val="0"/>
                <w:sz w:val="24"/>
                <w:lang w:val="en-US" w:eastAsia="zh-CN"/>
              </w:rPr>
              <w:t>94</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预算调整率=[预算调整数/预算数]×100%</w:t>
            </w:r>
          </w:p>
          <w:p>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结果≤5%，得3分；</w:t>
            </w:r>
          </w:p>
          <w:p>
            <w:pPr>
              <w:spacing w:line="300" w:lineRule="exact"/>
              <w:jc w:val="left"/>
              <w:rPr>
                <w:rFonts w:eastAsia="楷体_GB2312"/>
                <w:kern w:val="0"/>
                <w:sz w:val="24"/>
              </w:rPr>
            </w:pPr>
            <w:r>
              <w:rPr>
                <w:rFonts w:eastAsia="楷体_GB2312"/>
                <w:kern w:val="0"/>
                <w:sz w:val="24"/>
              </w:rPr>
              <w:t>5%＜结果≤10%，得1分；结果＞10%，得0分。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0</w:t>
            </w:r>
            <w:r>
              <w:rPr>
                <w:rFonts w:hint="eastAsia" w:eastAsia="楷体_GB2312"/>
                <w:kern w:val="0"/>
                <w:sz w:val="24"/>
              </w:rPr>
              <w:t>/</w:t>
            </w:r>
            <w:r>
              <w:rPr>
                <w:rFonts w:hint="eastAsia" w:eastAsia="楷体_GB2312"/>
                <w:kern w:val="0"/>
                <w:sz w:val="24"/>
                <w:lang w:val="en-US" w:eastAsia="zh-CN"/>
              </w:rPr>
              <w:t>852</w:t>
            </w:r>
            <w:r>
              <w:rPr>
                <w:rFonts w:hint="eastAsia" w:eastAsia="楷体_GB2312"/>
                <w:kern w:val="0"/>
                <w:sz w:val="24"/>
              </w:rPr>
              <w:t>*100%=</w:t>
            </w:r>
            <w:r>
              <w:rPr>
                <w:rFonts w:hint="eastAsia" w:eastAsia="楷体_GB2312"/>
                <w:kern w:val="0"/>
                <w:sz w:val="24"/>
                <w:lang w:val="en-US" w:eastAsia="zh-CN"/>
              </w:rPr>
              <w:t>0</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公用</w:t>
            </w:r>
          </w:p>
          <w:p>
            <w:pPr>
              <w:spacing w:line="300" w:lineRule="exact"/>
              <w:jc w:val="center"/>
              <w:rPr>
                <w:rFonts w:eastAsia="楷体_GB2312"/>
                <w:kern w:val="0"/>
                <w:sz w:val="24"/>
              </w:rPr>
            </w:pPr>
            <w:r>
              <w:rPr>
                <w:rFonts w:eastAsia="楷体_GB2312"/>
                <w:kern w:val="0"/>
                <w:sz w:val="24"/>
              </w:rPr>
              <w:t>经费</w:t>
            </w:r>
          </w:p>
          <w:p>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公用经费控制率=[公用经费实际支出总额/公用经费预算安排总额]×100%</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结果≤100%，得2分；结果＞100%，得0分。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95</w:t>
            </w:r>
            <w:r>
              <w:rPr>
                <w:rFonts w:hint="eastAsia" w:eastAsia="楷体_GB2312"/>
                <w:kern w:val="0"/>
                <w:sz w:val="24"/>
              </w:rPr>
              <w:t>/</w:t>
            </w:r>
            <w:r>
              <w:rPr>
                <w:rFonts w:hint="eastAsia" w:eastAsia="楷体_GB2312"/>
                <w:kern w:val="0"/>
                <w:sz w:val="24"/>
                <w:lang w:val="en-US" w:eastAsia="zh-CN"/>
              </w:rPr>
              <w:t>99</w:t>
            </w:r>
            <w:r>
              <w:rPr>
                <w:rFonts w:hint="eastAsia" w:eastAsia="楷体_GB2312"/>
                <w:kern w:val="0"/>
                <w:sz w:val="24"/>
              </w:rPr>
              <w:t>*100%=</w:t>
            </w:r>
            <w:r>
              <w:rPr>
                <w:rFonts w:hint="eastAsia" w:eastAsia="楷体_GB2312"/>
                <w:kern w:val="0"/>
                <w:sz w:val="24"/>
                <w:lang w:val="en-US" w:eastAsia="zh-CN"/>
              </w:rPr>
              <w:t>95.96</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spacing w:val="-20"/>
                <w:kern w:val="0"/>
                <w:sz w:val="24"/>
              </w:rPr>
            </w:pPr>
            <w:r>
              <w:rPr>
                <w:rFonts w:eastAsia="楷体_GB2312"/>
                <w:spacing w:val="-20"/>
                <w:kern w:val="0"/>
                <w:sz w:val="24"/>
              </w:rPr>
              <w:t>“三公经费”控制率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“三公经费”控制率=[“三公经费”实际支出总额/“三公经费”预算安排总额]×100%</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7</w:t>
            </w:r>
            <w:r>
              <w:rPr>
                <w:rFonts w:hint="eastAsia" w:eastAsia="楷体_GB2312"/>
                <w:kern w:val="0"/>
                <w:sz w:val="24"/>
              </w:rPr>
              <w:t>/38*100%=</w:t>
            </w:r>
            <w:r>
              <w:rPr>
                <w:rFonts w:hint="eastAsia" w:eastAsia="楷体_GB2312"/>
                <w:kern w:val="0"/>
                <w:sz w:val="24"/>
                <w:lang w:val="en-US" w:eastAsia="zh-CN"/>
              </w:rPr>
              <w:t>18.42</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政府</w:t>
            </w:r>
          </w:p>
          <w:p>
            <w:pPr>
              <w:spacing w:line="300" w:lineRule="exact"/>
              <w:jc w:val="center"/>
              <w:rPr>
                <w:rFonts w:eastAsia="楷体_GB2312"/>
                <w:kern w:val="0"/>
                <w:sz w:val="24"/>
              </w:rPr>
            </w:pPr>
            <w:r>
              <w:rPr>
                <w:rFonts w:eastAsia="楷体_GB2312"/>
                <w:kern w:val="0"/>
                <w:sz w:val="24"/>
              </w:rPr>
              <w:t>采购</w:t>
            </w:r>
          </w:p>
          <w:p>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政府采购完成率=（政府采购完成项目数/政府采购预算项目数）×100%；</w:t>
            </w:r>
          </w:p>
          <w:p>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按照完成率得分，若完成率＜50%，得0分。</w:t>
            </w:r>
          </w:p>
        </w:tc>
        <w:tc>
          <w:tcPr>
            <w:tcW w:w="989" w:type="dxa"/>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不适用</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w:t>
            </w:r>
          </w:p>
          <w:p>
            <w:pPr>
              <w:spacing w:before="100" w:beforeAutospacing="1" w:after="100" w:afterAutospacing="1"/>
              <w:jc w:val="center"/>
              <w:rPr>
                <w:rFonts w:eastAsia="楷体_GB2312"/>
                <w:kern w:val="0"/>
                <w:sz w:val="24"/>
              </w:rPr>
            </w:pPr>
            <w:r>
              <w:rPr>
                <w:rFonts w:eastAsia="楷体_GB2312"/>
                <w:kern w:val="0"/>
                <w:sz w:val="24"/>
              </w:rPr>
              <w:t>管理（10分）</w:t>
            </w:r>
          </w:p>
        </w:tc>
        <w:tc>
          <w:tcPr>
            <w:tcW w:w="796" w:type="dxa"/>
            <w:tcMar>
              <w:top w:w="0" w:type="dxa"/>
              <w:left w:w="105" w:type="dxa"/>
              <w:bottom w:w="0" w:type="dxa"/>
              <w:right w:w="105" w:type="dxa"/>
            </w:tcMar>
            <w:vAlign w:val="center"/>
          </w:tcPr>
          <w:p>
            <w:pPr>
              <w:spacing w:line="280" w:lineRule="exact"/>
              <w:jc w:val="center"/>
              <w:rPr>
                <w:rFonts w:eastAsia="楷体_GB2312"/>
                <w:kern w:val="0"/>
                <w:sz w:val="24"/>
              </w:rPr>
            </w:pPr>
            <w:r>
              <w:rPr>
                <w:rFonts w:eastAsia="楷体_GB2312"/>
                <w:kern w:val="0"/>
                <w:sz w:val="24"/>
              </w:rPr>
              <w:t>资金</w:t>
            </w:r>
          </w:p>
          <w:p>
            <w:pPr>
              <w:spacing w:line="280" w:lineRule="exact"/>
              <w:jc w:val="center"/>
              <w:rPr>
                <w:rFonts w:eastAsia="楷体_GB2312"/>
                <w:kern w:val="0"/>
                <w:sz w:val="24"/>
              </w:rPr>
            </w:pPr>
            <w:r>
              <w:rPr>
                <w:rFonts w:eastAsia="楷体_GB2312"/>
                <w:kern w:val="0"/>
                <w:sz w:val="24"/>
              </w:rPr>
              <w:t>管理</w:t>
            </w:r>
          </w:p>
          <w:p>
            <w:pPr>
              <w:spacing w:line="280" w:lineRule="exact"/>
              <w:jc w:val="center"/>
              <w:rPr>
                <w:rFonts w:eastAsia="楷体_GB2312"/>
                <w:kern w:val="0"/>
                <w:sz w:val="24"/>
              </w:rPr>
            </w:pPr>
            <w:r>
              <w:rPr>
                <w:rFonts w:eastAsia="楷体_GB2312"/>
                <w:kern w:val="0"/>
                <w:sz w:val="24"/>
              </w:rPr>
              <w:t>制度</w:t>
            </w:r>
          </w:p>
          <w:p>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每发现一项问题，扣1分，扣完为止。</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内部控制制服</w:t>
            </w:r>
          </w:p>
        </w:tc>
        <w:tc>
          <w:tcPr>
            <w:tcW w:w="523" w:type="dxa"/>
            <w:gridSpan w:val="2"/>
            <w:vMerge w:val="restart"/>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合规性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合规率100%得2分；合规率每下降1%，扣0.5分，扣完为止。</w:t>
            </w:r>
          </w:p>
        </w:tc>
        <w:tc>
          <w:tcPr>
            <w:tcW w:w="989" w:type="dxa"/>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符合</w:t>
            </w:r>
          </w:p>
        </w:tc>
        <w:tc>
          <w:tcPr>
            <w:tcW w:w="523" w:type="dxa"/>
            <w:gridSpan w:val="2"/>
            <w:vMerge w:val="continue"/>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相符率100%得2分；相符率每下降1%，扣0.5分，扣完为止。</w:t>
            </w:r>
          </w:p>
        </w:tc>
        <w:tc>
          <w:tcPr>
            <w:tcW w:w="989" w:type="dxa"/>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相符</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没发现违法违规问题或发现违法违纪行为并积极制定措施全部整改的，得3分；部分整改的，视整改情况得1-2分；未整改的，得0分。</w:t>
            </w:r>
          </w:p>
        </w:tc>
        <w:tc>
          <w:tcPr>
            <w:tcW w:w="989" w:type="dxa"/>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全部整改</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资产管理（5分）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制度</w:t>
            </w:r>
          </w:p>
          <w:p>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每发现一项问题，扣0.5分，扣完为止。</w:t>
            </w:r>
          </w:p>
        </w:tc>
        <w:tc>
          <w:tcPr>
            <w:tcW w:w="989" w:type="dxa"/>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内部控制</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每发现一项问题，扣0.5分，扣完为止。</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无法使用设备未上报</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固定</w:t>
            </w:r>
          </w:p>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固定资产利用率=（实际在用固定资产总额/所有固定资产总额）×100%</w:t>
            </w:r>
          </w:p>
        </w:tc>
        <w:tc>
          <w:tcPr>
            <w:tcW w:w="1977"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99%≤结果≤100%，得2分；90%≤结果＜99%，得1分；结果＜90%，得0分。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97%</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84"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产出与效果(共50分)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p>
          <w:p>
            <w:pPr>
              <w:spacing w:before="100" w:beforeAutospacing="1" w:after="100" w:afterAutospacing="1"/>
              <w:jc w:val="center"/>
              <w:rPr>
                <w:rFonts w:eastAsia="楷体_GB2312"/>
                <w:kern w:val="0"/>
                <w:sz w:val="24"/>
              </w:rPr>
            </w:pPr>
            <w:r>
              <w:rPr>
                <w:rFonts w:eastAsia="楷体_GB2312"/>
                <w:kern w:val="0"/>
                <w:sz w:val="24"/>
              </w:rPr>
              <w:t>产出指标（30分）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Cs w:val="21"/>
              </w:rPr>
              <w:t>交通运输局20</w:t>
            </w:r>
            <w:r>
              <w:rPr>
                <w:rFonts w:hint="eastAsia" w:eastAsia="楷体_GB2312"/>
                <w:kern w:val="0"/>
                <w:szCs w:val="21"/>
                <w:lang w:val="en-US" w:eastAsia="zh-CN"/>
              </w:rPr>
              <w:t>20</w:t>
            </w:r>
            <w:r>
              <w:rPr>
                <w:rFonts w:hint="eastAsia" w:eastAsia="楷体_GB2312"/>
                <w:kern w:val="0"/>
                <w:szCs w:val="21"/>
              </w:rPr>
              <w:t>年部门预算绩效目标表</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08"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Cs w:val="21"/>
              </w:rPr>
              <w:t>交通运输局20</w:t>
            </w:r>
            <w:r>
              <w:rPr>
                <w:rFonts w:hint="eastAsia" w:eastAsia="楷体_GB2312"/>
                <w:kern w:val="0"/>
                <w:szCs w:val="21"/>
                <w:lang w:val="en-US" w:eastAsia="zh-CN"/>
              </w:rPr>
              <w:t>20</w:t>
            </w:r>
            <w:r>
              <w:rPr>
                <w:rFonts w:hint="eastAsia" w:eastAsia="楷体_GB2312"/>
                <w:kern w:val="0"/>
                <w:szCs w:val="21"/>
              </w:rPr>
              <w:t>年部门预算绩效目标表</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4"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Cs w:val="21"/>
              </w:rPr>
              <w:t>20</w:t>
            </w:r>
            <w:r>
              <w:rPr>
                <w:rFonts w:hint="eastAsia" w:eastAsia="楷体_GB2312"/>
                <w:kern w:val="0"/>
                <w:szCs w:val="21"/>
                <w:lang w:val="en-US" w:eastAsia="zh-CN"/>
              </w:rPr>
              <w:t>20</w:t>
            </w:r>
            <w:r>
              <w:rPr>
                <w:rFonts w:hint="eastAsia" w:eastAsia="楷体_GB2312"/>
                <w:kern w:val="0"/>
                <w:szCs w:val="21"/>
              </w:rPr>
              <w:t>年部门预算绩效目标表</w:t>
            </w:r>
            <w:r>
              <w:rPr>
                <w:rFonts w:hint="eastAsia" w:eastAsia="楷体_GB2312"/>
                <w:kern w:val="0"/>
                <w:sz w:val="24"/>
              </w:rPr>
              <w:t>。</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效益指标（20分）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经济</w:t>
            </w:r>
          </w:p>
          <w:p>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p>
            <w:pPr>
              <w:spacing w:before="100" w:beforeAutospacing="1" w:after="100" w:afterAutospacing="1"/>
              <w:jc w:val="center"/>
              <w:rPr>
                <w:rFonts w:eastAsia="楷体_GB2312"/>
                <w:kern w:val="0"/>
                <w:sz w:val="24"/>
              </w:rPr>
            </w:pPr>
            <w:r>
              <w:rPr>
                <w:rFonts w:eastAsia="楷体_GB2312"/>
                <w:kern w:val="0"/>
                <w:sz w:val="24"/>
              </w:rPr>
              <w:t>（根据需要增减指标并赋分值）</w:t>
            </w:r>
          </w:p>
          <w:p>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设置</w:t>
            </w:r>
            <w:bookmarkStart w:id="0" w:name="_GoBack"/>
            <w:bookmarkEnd w:id="0"/>
            <w:r>
              <w:rPr>
                <w:rFonts w:hint="eastAsia" w:eastAsia="楷体_GB2312"/>
                <w:kern w:val="0"/>
                <w:sz w:val="24"/>
              </w:rPr>
              <w:t>并严格执行</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6"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社会</w:t>
            </w:r>
          </w:p>
          <w:p>
            <w:pPr>
              <w:spacing w:line="300" w:lineRule="exact"/>
              <w:jc w:val="center"/>
              <w:rPr>
                <w:rFonts w:eastAsia="楷体_GB2312"/>
                <w:kern w:val="0"/>
                <w:sz w:val="24"/>
              </w:rPr>
            </w:pPr>
            <w:r>
              <w:rPr>
                <w:rFonts w:eastAsia="楷体_GB2312"/>
                <w:kern w:val="0"/>
                <w:sz w:val="24"/>
              </w:rPr>
              <w:t>效益</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设置并严格执行</w:t>
            </w:r>
          </w:p>
        </w:tc>
        <w:tc>
          <w:tcPr>
            <w:tcW w:w="523" w:type="dxa"/>
            <w:gridSpan w:val="2"/>
            <w:tcMar>
              <w:top w:w="0" w:type="dxa"/>
              <w:left w:w="105" w:type="dxa"/>
              <w:bottom w:w="0" w:type="dxa"/>
              <w:right w:w="105" w:type="dxa"/>
            </w:tcMar>
            <w:vAlign w:val="center"/>
          </w:tcPr>
          <w:p>
            <w:pPr>
              <w:jc w:val="center"/>
              <w:rPr>
                <w:rFonts w:hint="eastAsia"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6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环境</w:t>
            </w:r>
          </w:p>
          <w:p>
            <w:pPr>
              <w:spacing w:line="300" w:lineRule="exact"/>
              <w:jc w:val="center"/>
              <w:rPr>
                <w:rFonts w:eastAsia="楷体_GB2312"/>
                <w:kern w:val="0"/>
                <w:sz w:val="24"/>
              </w:rPr>
            </w:pPr>
            <w:r>
              <w:rPr>
                <w:rFonts w:eastAsia="楷体_GB2312"/>
                <w:kern w:val="0"/>
                <w:sz w:val="24"/>
              </w:rPr>
              <w:t>效益</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设置并严格执行</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6"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可持续性</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设置并严格执行</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调查得到满意度比较高</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1" w:type="dxa"/>
          <w:trHeight w:val="1125" w:hRule="atLeast"/>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评价等次</w:t>
            </w:r>
          </w:p>
        </w:tc>
        <w:tc>
          <w:tcPr>
            <w:tcW w:w="9349" w:type="dxa"/>
            <w:gridSpan w:val="7"/>
            <w:tcMar>
              <w:top w:w="0" w:type="dxa"/>
              <w:left w:w="105" w:type="dxa"/>
              <w:bottom w:w="0" w:type="dxa"/>
              <w:right w:w="105" w:type="dxa"/>
            </w:tcMar>
            <w:vAlign w:val="center"/>
          </w:tcPr>
          <w:p>
            <w:pPr>
              <w:spacing w:before="100" w:beforeAutospacing="1" w:after="100" w:afterAutospacing="1"/>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 xml:space="preserve">□优秀  90分≤得分≤100分；  </w:t>
            </w:r>
            <w:r>
              <w:rPr>
                <w:rFonts w:hint="eastAsia" w:ascii="楷体_GB2312" w:hAnsi="楷体_GB2312" w:eastAsia="楷体_GB2312" w:cs="楷体_GB2312"/>
                <w:kern w:val="0"/>
                <w:sz w:val="24"/>
                <w:lang w:eastAsia="zh-CN"/>
              </w:rPr>
              <w:t>☑</w:t>
            </w:r>
            <w:r>
              <w:rPr>
                <w:rFonts w:hint="eastAsia" w:ascii="楷体_GB2312" w:hAnsi="楷体_GB2312" w:eastAsia="楷体_GB2312" w:cs="楷体_GB2312"/>
                <w:kern w:val="0"/>
                <w:sz w:val="24"/>
              </w:rPr>
              <w:t>良好  75分≤得分＜90分；□一般  60分≤得分＜75分；  □较差  得分＜60分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2C"/>
    <w:rsid w:val="00044E2C"/>
    <w:rsid w:val="00250FBD"/>
    <w:rsid w:val="007F73C2"/>
    <w:rsid w:val="00BA4C44"/>
    <w:rsid w:val="00ED1146"/>
    <w:rsid w:val="1BA755B4"/>
    <w:rsid w:val="412B4977"/>
    <w:rsid w:val="5BB8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492</Words>
  <Characters>2805</Characters>
  <Lines>23</Lines>
  <Paragraphs>6</Paragraphs>
  <TotalTime>43</TotalTime>
  <ScaleCrop>false</ScaleCrop>
  <LinksUpToDate>false</LinksUpToDate>
  <CharactersWithSpaces>3291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2020-11-18T07:23:00Z</dcterms:created>
  <dc:creator>Administrator</dc:creator>
  <cp:lastModifiedBy>ASUS</cp:lastModifiedBy>
  <dcterms:modified xsi:type="dcterms:W3CDTF">2021-09-07T00:36:08Z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