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5F1EE">
      <w:pPr>
        <w:keepNext w:val="0"/>
        <w:keepLines w:val="0"/>
        <w:pageBreakBefore w:val="0"/>
        <w:kinsoku/>
        <w:wordWrap/>
        <w:overflowPunct/>
        <w:topLinePunct w:val="0"/>
        <w:autoSpaceDE/>
        <w:autoSpaceDN/>
        <w:bidi w:val="0"/>
        <w:adjustRightInd/>
        <w:snapToGrid/>
        <w:spacing w:line="440" w:lineRule="exact"/>
        <w:ind w:left="0" w:leftChars="0" w:firstLine="0" w:firstLineChars="0"/>
        <w:jc w:val="both"/>
        <w:rPr>
          <w:rFonts w:hint="eastAsia" w:ascii="宋体" w:hAnsi="宋体" w:eastAsia="宋体" w:cs="宋体"/>
          <w:b/>
          <w:bCs/>
          <w:w w:val="85"/>
          <w:kern w:val="0"/>
          <w:sz w:val="44"/>
          <w:szCs w:val="44"/>
        </w:rPr>
      </w:pPr>
      <w:bookmarkStart w:id="0" w:name="_GoBack"/>
      <w:bookmarkEnd w:id="0"/>
      <w:r>
        <w:rPr>
          <w:rFonts w:hint="eastAsia" w:ascii="宋体" w:hAnsi="宋体" w:eastAsia="宋体" w:cs="宋体"/>
          <w:b/>
          <w:bCs/>
          <w:w w:val="85"/>
          <w:kern w:val="0"/>
          <w:sz w:val="44"/>
          <w:szCs w:val="44"/>
        </w:rPr>
        <w:t>202</w:t>
      </w:r>
      <w:r>
        <w:rPr>
          <w:rFonts w:hint="eastAsia" w:ascii="宋体" w:hAnsi="宋体" w:cs="宋体"/>
          <w:b/>
          <w:bCs/>
          <w:w w:val="85"/>
          <w:kern w:val="0"/>
          <w:sz w:val="44"/>
          <w:szCs w:val="44"/>
          <w:lang w:val="en-US" w:eastAsia="zh-CN"/>
        </w:rPr>
        <w:t>4</w:t>
      </w:r>
      <w:r>
        <w:rPr>
          <w:rFonts w:hint="eastAsia" w:ascii="宋体" w:hAnsi="宋体" w:eastAsia="宋体" w:cs="宋体"/>
          <w:b/>
          <w:bCs/>
          <w:w w:val="85"/>
          <w:kern w:val="0"/>
          <w:sz w:val="44"/>
          <w:szCs w:val="44"/>
        </w:rPr>
        <w:t>年度新晃</w:t>
      </w:r>
      <w:r>
        <w:rPr>
          <w:rFonts w:hint="eastAsia" w:ascii="宋体" w:hAnsi="宋体" w:eastAsia="宋体" w:cs="宋体"/>
          <w:b/>
          <w:bCs/>
          <w:w w:val="85"/>
          <w:kern w:val="0"/>
          <w:sz w:val="44"/>
          <w:szCs w:val="44"/>
          <w:lang w:eastAsia="zh-CN"/>
        </w:rPr>
        <w:t>县</w:t>
      </w:r>
      <w:r>
        <w:rPr>
          <w:rFonts w:hint="eastAsia" w:ascii="宋体" w:hAnsi="宋体" w:cs="宋体"/>
          <w:b/>
          <w:bCs/>
          <w:w w:val="85"/>
          <w:kern w:val="0"/>
          <w:sz w:val="44"/>
          <w:szCs w:val="44"/>
          <w:lang w:eastAsia="zh-CN"/>
        </w:rPr>
        <w:t>住建局</w:t>
      </w:r>
      <w:r>
        <w:rPr>
          <w:rFonts w:hint="eastAsia" w:ascii="宋体" w:hAnsi="宋体" w:eastAsia="宋体" w:cs="宋体"/>
          <w:b/>
          <w:bCs/>
          <w:w w:val="85"/>
          <w:kern w:val="0"/>
          <w:sz w:val="44"/>
          <w:szCs w:val="44"/>
        </w:rPr>
        <w:t>财政支出项目</w:t>
      </w:r>
      <w:r>
        <w:rPr>
          <w:rFonts w:hint="eastAsia" w:ascii="宋体" w:hAnsi="宋体" w:eastAsia="宋体" w:cs="宋体"/>
          <w:b/>
          <w:bCs/>
          <w:w w:val="85"/>
          <w:kern w:val="0"/>
          <w:sz w:val="44"/>
          <w:szCs w:val="44"/>
          <w:lang w:val="en-US" w:eastAsia="zh-CN"/>
        </w:rPr>
        <w:t xml:space="preserve">         （</w:t>
      </w:r>
      <w:r>
        <w:rPr>
          <w:rFonts w:hint="eastAsia" w:ascii="宋体" w:hAnsi="宋体" w:cs="宋体"/>
          <w:b/>
          <w:bCs/>
          <w:w w:val="85"/>
          <w:kern w:val="0"/>
          <w:sz w:val="44"/>
          <w:szCs w:val="44"/>
          <w:lang w:val="en-US" w:eastAsia="zh-CN"/>
        </w:rPr>
        <w:t>离退休人员生活补助</w:t>
      </w:r>
      <w:r>
        <w:rPr>
          <w:rFonts w:hint="eastAsia" w:ascii="宋体" w:hAnsi="宋体" w:eastAsia="宋体" w:cs="宋体"/>
          <w:b/>
          <w:bCs/>
          <w:w w:val="85"/>
          <w:kern w:val="0"/>
          <w:sz w:val="44"/>
          <w:szCs w:val="44"/>
          <w:lang w:val="en-US" w:eastAsia="zh-CN"/>
        </w:rPr>
        <w:t>）</w:t>
      </w:r>
      <w:r>
        <w:rPr>
          <w:rFonts w:hint="eastAsia" w:ascii="宋体" w:hAnsi="宋体" w:eastAsia="宋体" w:cs="宋体"/>
          <w:b/>
          <w:bCs/>
          <w:w w:val="85"/>
          <w:kern w:val="0"/>
          <w:sz w:val="44"/>
          <w:szCs w:val="44"/>
        </w:rPr>
        <w:t>绩效自评报告</w:t>
      </w:r>
    </w:p>
    <w:p w14:paraId="1793C90E">
      <w:pPr>
        <w:keepNext w:val="0"/>
        <w:keepLines w:val="0"/>
        <w:pageBreakBefore w:val="0"/>
        <w:kinsoku/>
        <w:wordWrap/>
        <w:overflowPunct/>
        <w:topLinePunct w:val="0"/>
        <w:autoSpaceDE/>
        <w:autoSpaceDN/>
        <w:bidi w:val="0"/>
        <w:adjustRightInd/>
        <w:snapToGrid/>
        <w:spacing w:line="440" w:lineRule="exact"/>
        <w:jc w:val="center"/>
        <w:rPr>
          <w:rFonts w:hint="eastAsia" w:asciiTheme="majorEastAsia" w:hAnsiTheme="majorEastAsia" w:eastAsiaTheme="majorEastAsia" w:cstheme="majorEastAsia"/>
          <w:b/>
          <w:bCs/>
          <w:w w:val="85"/>
          <w:kern w:val="0"/>
          <w:sz w:val="44"/>
          <w:szCs w:val="44"/>
        </w:rPr>
      </w:pPr>
      <w:r>
        <w:rPr>
          <w:rFonts w:hint="eastAsia" w:asciiTheme="majorEastAsia" w:hAnsiTheme="majorEastAsia" w:eastAsiaTheme="majorEastAsia" w:cstheme="majorEastAsia"/>
          <w:b/>
          <w:bCs/>
          <w:w w:val="85"/>
          <w:kern w:val="0"/>
          <w:sz w:val="44"/>
          <w:szCs w:val="44"/>
        </w:rPr>
        <w:t> </w:t>
      </w:r>
    </w:p>
    <w:p w14:paraId="103CE4EF">
      <w:pPr>
        <w:keepNext w:val="0"/>
        <w:keepLines w:val="0"/>
        <w:pageBreakBefore w:val="0"/>
        <w:kinsoku/>
        <w:wordWrap/>
        <w:overflowPunct/>
        <w:topLinePunct w:val="0"/>
        <w:autoSpaceDE/>
        <w:autoSpaceDN/>
        <w:bidi w:val="0"/>
        <w:adjustRightInd/>
        <w:snapToGrid/>
        <w:spacing w:line="440" w:lineRule="exact"/>
        <w:jc w:val="both"/>
        <w:rPr>
          <w:rFonts w:eastAsia="仿宋_GB2312"/>
          <w:b/>
          <w:bCs/>
          <w:sz w:val="32"/>
          <w:szCs w:val="32"/>
        </w:rPr>
      </w:pPr>
      <w:r>
        <w:rPr>
          <w:rFonts w:eastAsia="仿宋_GB2312"/>
          <w:b/>
          <w:sz w:val="28"/>
          <w:szCs w:val="28"/>
        </w:rPr>
        <w:t>一、</w:t>
      </w:r>
      <w:r>
        <w:rPr>
          <w:rFonts w:hint="eastAsia" w:eastAsia="仿宋_GB2312"/>
          <w:b/>
          <w:bCs/>
          <w:sz w:val="32"/>
          <w:szCs w:val="32"/>
        </w:rPr>
        <w:t>基本情况</w:t>
      </w:r>
    </w:p>
    <w:p w14:paraId="11119B2C">
      <w:pPr>
        <w:keepNext w:val="0"/>
        <w:keepLines w:val="0"/>
        <w:pageBreakBefore w:val="0"/>
        <w:numPr>
          <w:ilvl w:val="0"/>
          <w:numId w:val="0"/>
        </w:numPr>
        <w:kinsoku/>
        <w:wordWrap/>
        <w:overflowPunct/>
        <w:topLinePunct w:val="0"/>
        <w:autoSpaceDE/>
        <w:autoSpaceDN/>
        <w:bidi w:val="0"/>
        <w:adjustRightInd/>
        <w:snapToGrid/>
        <w:spacing w:line="440" w:lineRule="exact"/>
        <w:ind w:leftChars="200"/>
        <w:jc w:val="left"/>
        <w:rPr>
          <w:rFonts w:hint="eastAsia" w:eastAsia="仿宋_GB2312"/>
          <w:b/>
          <w:bCs/>
          <w:sz w:val="32"/>
          <w:szCs w:val="32"/>
        </w:rPr>
      </w:pPr>
      <w:r>
        <w:rPr>
          <w:rFonts w:hint="eastAsia" w:eastAsia="仿宋_GB2312"/>
          <w:sz w:val="32"/>
          <w:szCs w:val="32"/>
        </w:rPr>
        <w:t>（一）项目概况。</w:t>
      </w:r>
    </w:p>
    <w:p w14:paraId="578B5AFD">
      <w:pPr>
        <w:keepNext w:val="0"/>
        <w:keepLines w:val="0"/>
        <w:pageBreakBefore w:val="0"/>
        <w:kinsoku/>
        <w:overflowPunct/>
        <w:topLinePunct w:val="0"/>
        <w:autoSpaceDE/>
        <w:autoSpaceDN/>
        <w:bidi w:val="0"/>
        <w:adjustRightInd/>
        <w:spacing w:line="400" w:lineRule="exact"/>
        <w:ind w:firstLine="640" w:firstLineChars="200"/>
        <w:rPr>
          <w:rFonts w:ascii="仿宋" w:hAnsi="仿宋" w:eastAsia="仿宋" w:cs="仿宋"/>
          <w:sz w:val="32"/>
          <w:szCs w:val="32"/>
        </w:rPr>
      </w:pPr>
      <w:r>
        <w:rPr>
          <w:rFonts w:hint="eastAsia" w:ascii="仿宋" w:hAnsi="仿宋" w:eastAsia="仿宋" w:cs="仿宋"/>
          <w:i w:val="0"/>
          <w:iCs w:val="0"/>
          <w:caps w:val="0"/>
          <w:color w:val="3D3D3D"/>
          <w:spacing w:val="0"/>
          <w:sz w:val="32"/>
          <w:szCs w:val="32"/>
          <w:shd w:val="clear" w:color="auto" w:fill="FFFFFF"/>
          <w:lang w:eastAsia="zh-CN"/>
        </w:rPr>
        <w:t>新晃县住建局</w:t>
      </w:r>
      <w:r>
        <w:rPr>
          <w:rFonts w:hint="eastAsia" w:ascii="仿宋" w:hAnsi="仿宋" w:eastAsia="仿宋" w:cs="仿宋"/>
          <w:sz w:val="32"/>
          <w:szCs w:val="32"/>
        </w:rPr>
        <w:t>是承担牵头推进新型城市化战略的日常工作；承担规范、监督和管理房地产开发市场的责任；牵头组织拟订房地产开发市场监管政策并监督执行，提出房地产开发建设行业发展计划；负责监督和管理全县建筑市场主体活动</w:t>
      </w:r>
      <w:r>
        <w:rPr>
          <w:rFonts w:hint="eastAsia" w:ascii="仿宋" w:hAnsi="仿宋" w:eastAsia="仿宋" w:cs="仿宋"/>
          <w:sz w:val="32"/>
          <w:szCs w:val="32"/>
          <w:lang w:val="en-US" w:eastAsia="zh-CN"/>
        </w:rPr>
        <w:t>。</w:t>
      </w:r>
    </w:p>
    <w:p w14:paraId="694AD05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150" w:afterAutospacing="0" w:line="440" w:lineRule="exact"/>
        <w:ind w:left="0" w:right="0" w:firstLine="420"/>
        <w:jc w:val="both"/>
        <w:rPr>
          <w:rFonts w:hint="eastAsia" w:ascii="仿宋" w:hAnsi="仿宋" w:eastAsia="仿宋" w:cs="仿宋"/>
          <w:i w:val="0"/>
          <w:iCs w:val="0"/>
          <w:caps w:val="0"/>
          <w:color w:val="3D3D3D"/>
          <w:spacing w:val="0"/>
          <w:sz w:val="32"/>
          <w:szCs w:val="32"/>
        </w:rPr>
      </w:pPr>
    </w:p>
    <w:p w14:paraId="73110E1D">
      <w:pPr>
        <w:keepNext w:val="0"/>
        <w:keepLines w:val="0"/>
        <w:pageBreakBefore w:val="0"/>
        <w:numPr>
          <w:ilvl w:val="0"/>
          <w:numId w:val="1"/>
        </w:numPr>
        <w:kinsoku/>
        <w:wordWrap/>
        <w:overflowPunct/>
        <w:topLinePunct w:val="0"/>
        <w:autoSpaceDE/>
        <w:autoSpaceDN/>
        <w:bidi w:val="0"/>
        <w:adjustRightInd/>
        <w:snapToGrid/>
        <w:spacing w:line="440" w:lineRule="exact"/>
        <w:ind w:left="-40" w:leftChars="0" w:firstLine="640" w:firstLineChars="0"/>
        <w:jc w:val="left"/>
        <w:rPr>
          <w:rFonts w:hint="eastAsia" w:eastAsia="仿宋_GB2312"/>
          <w:sz w:val="32"/>
          <w:szCs w:val="32"/>
        </w:rPr>
      </w:pPr>
      <w:r>
        <w:rPr>
          <w:rFonts w:hint="eastAsia" w:eastAsia="仿宋_GB2312"/>
          <w:sz w:val="32"/>
          <w:szCs w:val="32"/>
        </w:rPr>
        <w:t>项目绩效目标。</w:t>
      </w:r>
    </w:p>
    <w:p w14:paraId="6F50C3B0">
      <w:pPr>
        <w:keepNext w:val="0"/>
        <w:keepLines w:val="0"/>
        <w:pageBreakBefore w:val="0"/>
        <w:numPr>
          <w:ilvl w:val="0"/>
          <w:numId w:val="2"/>
        </w:numPr>
        <w:kinsoku/>
        <w:wordWrap/>
        <w:overflowPunct/>
        <w:topLinePunct w:val="0"/>
        <w:autoSpaceDE/>
        <w:autoSpaceDN/>
        <w:bidi w:val="0"/>
        <w:adjustRightInd/>
        <w:snapToGrid/>
        <w:spacing w:line="440" w:lineRule="exact"/>
        <w:ind w:left="0" w:firstLine="640" w:firstLineChars="200"/>
        <w:textAlignment w:val="auto"/>
        <w:rPr>
          <w:rFonts w:hint="eastAsia" w:ascii="仿宋" w:hAnsi="仿宋" w:eastAsia="仿宋" w:cs="仿宋"/>
          <w:i w:val="0"/>
          <w:iCs w:val="0"/>
          <w:caps w:val="0"/>
          <w:color w:val="000000"/>
          <w:spacing w:val="0"/>
          <w:sz w:val="32"/>
          <w:szCs w:val="32"/>
          <w:shd w:val="clear" w:color="auto" w:fill="FFFFFF"/>
        </w:rPr>
      </w:pPr>
      <w:r>
        <w:rPr>
          <w:rFonts w:hint="eastAsia" w:ascii="仿宋_GB2312" w:eastAsia="仿宋_GB2312"/>
          <w:color w:val="000000"/>
          <w:sz w:val="32"/>
          <w:szCs w:val="32"/>
          <w:lang w:val="en-US" w:eastAsia="zh-CN"/>
        </w:rPr>
        <w:t xml:space="preserve">项目绩效总目标: </w:t>
      </w:r>
      <w:r>
        <w:rPr>
          <w:rFonts w:hint="eastAsia" w:ascii="仿宋" w:hAnsi="仿宋" w:eastAsia="仿宋" w:cs="仿宋"/>
          <w:sz w:val="32"/>
          <w:szCs w:val="32"/>
        </w:rPr>
        <w:t>负责指导、协调、监督房地产开发市场的管理；</w:t>
      </w:r>
    </w:p>
    <w:p w14:paraId="35554524">
      <w:pPr>
        <w:keepNext w:val="0"/>
        <w:keepLines w:val="0"/>
        <w:pageBreakBefore w:val="0"/>
        <w:kinsoku/>
        <w:overflowPunct/>
        <w:topLinePunct w:val="0"/>
        <w:autoSpaceDE/>
        <w:autoSpaceDN/>
        <w:bidi w:val="0"/>
        <w:adjustRightInd/>
        <w:spacing w:line="400" w:lineRule="exact"/>
        <w:ind w:firstLine="640" w:firstLineChars="200"/>
        <w:textAlignment w:val="auto"/>
        <w:rPr>
          <w:rFonts w:ascii="仿宋_GB2312" w:hAnsi="仿宋_GB2312" w:eastAsia="仿宋_GB2312" w:cs="仿宋_GB2312"/>
          <w:sz w:val="32"/>
          <w:szCs w:val="32"/>
        </w:rPr>
      </w:pPr>
      <w:r>
        <w:rPr>
          <w:rFonts w:hint="eastAsia" w:ascii="仿宋_GB2312" w:eastAsia="仿宋_GB2312"/>
          <w:color w:val="000000"/>
          <w:sz w:val="32"/>
          <w:szCs w:val="32"/>
          <w:lang w:val="en-US" w:eastAsia="zh-CN"/>
        </w:rPr>
        <w:t xml:space="preserve">2、项目绩效阶段性目标: </w:t>
      </w:r>
      <w:r>
        <w:rPr>
          <w:rFonts w:hint="eastAsia" w:ascii="仿宋_GB2312" w:hAnsi="仿宋_GB2312" w:eastAsia="仿宋_GB2312" w:cs="仿宋_GB2312"/>
          <w:sz w:val="32"/>
          <w:szCs w:val="32"/>
        </w:rPr>
        <w:t>加大燃气、房地产、建筑市场、安全生产、环保等领域和建成污水处理厂运营监管力度。慎终如始抓实建筑业、燃气行业、物业管理、疫情防控常态化工作。认真履行建设工程消防审验备案，推动行业监管水平再上新台阶，确保全年安全生产无事故。</w:t>
      </w:r>
    </w:p>
    <w:p w14:paraId="388AFDC5">
      <w:pPr>
        <w:keepNext w:val="0"/>
        <w:keepLines w:val="0"/>
        <w:pageBreakBefore w:val="0"/>
        <w:numPr>
          <w:ilvl w:val="0"/>
          <w:numId w:val="0"/>
        </w:numPr>
        <w:kinsoku/>
        <w:wordWrap/>
        <w:overflowPunct/>
        <w:topLinePunct w:val="0"/>
        <w:autoSpaceDE/>
        <w:autoSpaceDN/>
        <w:bidi w:val="0"/>
        <w:adjustRightInd/>
        <w:snapToGrid/>
        <w:spacing w:line="440" w:lineRule="exact"/>
        <w:ind w:leftChars="200"/>
        <w:textAlignment w:val="auto"/>
        <w:rPr>
          <w:rFonts w:hint="eastAsia" w:ascii="仿宋" w:hAnsi="仿宋" w:eastAsia="仿宋" w:cs="仿宋"/>
          <w:b w:val="0"/>
          <w:bCs w:val="0"/>
          <w:color w:val="000000"/>
          <w:sz w:val="32"/>
          <w:szCs w:val="32"/>
          <w:lang w:val="en-US" w:eastAsia="zh-CN"/>
        </w:rPr>
      </w:pPr>
    </w:p>
    <w:p w14:paraId="6752C4B4">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firstLine="480"/>
        <w:rPr>
          <w:rFonts w:ascii="Times New Roman" w:hAnsi="Times New Roman" w:eastAsia="仿宋_GB2312" w:cs="Times New Roman"/>
          <w:b/>
          <w:sz w:val="28"/>
          <w:szCs w:val="28"/>
        </w:rPr>
      </w:pPr>
      <w:r>
        <w:rPr>
          <w:rFonts w:hint="eastAsia" w:eastAsia="仿宋_GB2312"/>
          <w:b/>
          <w:bCs/>
          <w:sz w:val="32"/>
          <w:szCs w:val="32"/>
        </w:rPr>
        <w:t>二、绩效评价工作开展情况</w:t>
      </w:r>
    </w:p>
    <w:p w14:paraId="2A5C1BF3">
      <w:pPr>
        <w:keepNext w:val="0"/>
        <w:keepLines w:val="0"/>
        <w:pageBreakBefore w:val="0"/>
        <w:kinsoku/>
        <w:wordWrap/>
        <w:overflowPunct/>
        <w:topLinePunct w:val="0"/>
        <w:autoSpaceDE/>
        <w:autoSpaceDN/>
        <w:bidi w:val="0"/>
        <w:adjustRightInd/>
        <w:snapToGrid/>
        <w:spacing w:line="44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（一）绩效评价目的、对象和范围。</w:t>
      </w:r>
    </w:p>
    <w:p w14:paraId="4A435CDA">
      <w:pPr>
        <w:keepNext w:val="0"/>
        <w:keepLines w:val="0"/>
        <w:pageBreakBefore w:val="0"/>
        <w:kinsoku/>
        <w:wordWrap/>
        <w:overflowPunct/>
        <w:topLinePunct w:val="0"/>
        <w:autoSpaceDE/>
        <w:autoSpaceDN/>
        <w:bidi w:val="0"/>
        <w:adjustRightInd/>
        <w:snapToGrid/>
        <w:spacing w:line="44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通过2024年度住建局项目绩效的绩效评价,了解2024年度园林项目经费的来源、使用和管理情况，项目的组织实施及事后的监督情况;评价住建局项目经费使用是否达到预期目标,总结经验,分析问题,强化住建局林项目经费的管理,为以后住建局项目经费管理和预算安排提供参考依据。同时，及时总结经验，分析存在的问题，采取切实措施进一步改进和增强财政支出项目管理，切实提高资金使用效益。</w:t>
      </w:r>
    </w:p>
    <w:p w14:paraId="37E6A303">
      <w:pPr>
        <w:keepNext w:val="0"/>
        <w:keepLines w:val="0"/>
        <w:pageBreakBefore w:val="0"/>
        <w:kinsoku/>
        <w:wordWrap/>
        <w:overflowPunct/>
        <w:topLinePunct w:val="0"/>
        <w:autoSpaceDE/>
        <w:autoSpaceDN/>
        <w:bidi w:val="0"/>
        <w:adjustRightInd/>
        <w:snapToGrid/>
        <w:spacing w:line="44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(二)绩效评价原则、评价指标体系（附表说明）、评价方法、评价标准等。</w:t>
      </w:r>
    </w:p>
    <w:p w14:paraId="6D6911E5">
      <w:pPr>
        <w:keepNext w:val="0"/>
        <w:keepLines w:val="0"/>
        <w:pageBreakBefore w:val="0"/>
        <w:kinsoku/>
        <w:wordWrap/>
        <w:overflowPunct/>
        <w:topLinePunct w:val="0"/>
        <w:autoSpaceDE/>
        <w:autoSpaceDN/>
        <w:bidi w:val="0"/>
        <w:adjustRightInd/>
        <w:snapToGrid/>
        <w:spacing w:line="44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1、绩效评价原则</w:t>
      </w:r>
    </w:p>
    <w:p w14:paraId="4DDD2142">
      <w:pPr>
        <w:keepNext w:val="0"/>
        <w:keepLines w:val="0"/>
        <w:pageBreakBefore w:val="0"/>
        <w:kinsoku/>
        <w:wordWrap/>
        <w:overflowPunct/>
        <w:topLinePunct w:val="0"/>
        <w:autoSpaceDE/>
        <w:autoSpaceDN/>
        <w:bidi w:val="0"/>
        <w:adjustRightInd/>
        <w:snapToGrid/>
        <w:spacing w:line="44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遵循科学、规范、公正、公开和绩效相关性原则。</w:t>
      </w:r>
    </w:p>
    <w:p w14:paraId="3E0D3E13">
      <w:pPr>
        <w:keepNext w:val="0"/>
        <w:keepLines w:val="0"/>
        <w:pageBreakBefore w:val="0"/>
        <w:kinsoku/>
        <w:wordWrap/>
        <w:overflowPunct/>
        <w:topLinePunct w:val="0"/>
        <w:autoSpaceDE/>
        <w:autoSpaceDN/>
        <w:bidi w:val="0"/>
        <w:adjustRightInd/>
        <w:snapToGrid/>
        <w:spacing w:line="44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2、评价指标体系（附表说明）</w:t>
      </w:r>
    </w:p>
    <w:p w14:paraId="2FB23BC0">
      <w:pPr>
        <w:keepNext w:val="0"/>
        <w:keepLines w:val="0"/>
        <w:pageBreakBefore w:val="0"/>
        <w:kinsoku/>
        <w:wordWrap/>
        <w:overflowPunct/>
        <w:topLinePunct w:val="0"/>
        <w:autoSpaceDE/>
        <w:autoSpaceDN/>
        <w:bidi w:val="0"/>
        <w:adjustRightInd/>
        <w:snapToGrid/>
        <w:spacing w:line="44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2024年度新晃县项目绩效自评计分标准</w:t>
      </w:r>
    </w:p>
    <w:p w14:paraId="4D6E1F14">
      <w:pPr>
        <w:keepNext w:val="0"/>
        <w:keepLines w:val="0"/>
        <w:pageBreakBefore w:val="0"/>
        <w:kinsoku/>
        <w:wordWrap/>
        <w:overflowPunct/>
        <w:topLinePunct w:val="0"/>
        <w:autoSpaceDE/>
        <w:autoSpaceDN/>
        <w:bidi w:val="0"/>
        <w:adjustRightInd/>
        <w:snapToGrid/>
        <w:spacing w:line="44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3、评价方法</w:t>
      </w:r>
    </w:p>
    <w:p w14:paraId="63E4CAB9">
      <w:pPr>
        <w:keepNext w:val="0"/>
        <w:keepLines w:val="0"/>
        <w:pageBreakBefore w:val="0"/>
        <w:kinsoku/>
        <w:wordWrap/>
        <w:overflowPunct/>
        <w:topLinePunct w:val="0"/>
        <w:autoSpaceDE/>
        <w:autoSpaceDN/>
        <w:bidi w:val="0"/>
        <w:adjustRightInd/>
        <w:snapToGrid/>
        <w:spacing w:line="44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本次绩效评价采用定量与定性相结合、审阅评价相结合，对收集的相关基础资料、各种经济数据，在归集、整理、分析的基础上，运用资料审阅法、实地查勘法、分析比较法、公众问卷调查法等，系统、科学的反映拟评价项目综合绩效情况。</w:t>
      </w:r>
    </w:p>
    <w:p w14:paraId="5A5CD6E2">
      <w:pPr>
        <w:keepNext w:val="0"/>
        <w:keepLines w:val="0"/>
        <w:pageBreakBefore w:val="0"/>
        <w:kinsoku/>
        <w:wordWrap/>
        <w:overflowPunct/>
        <w:topLinePunct w:val="0"/>
        <w:autoSpaceDE/>
        <w:autoSpaceDN/>
        <w:bidi w:val="0"/>
        <w:adjustRightInd/>
        <w:snapToGrid/>
        <w:spacing w:line="44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4、评价标准</w:t>
      </w:r>
    </w:p>
    <w:p w14:paraId="1547E521">
      <w:pPr>
        <w:keepNext w:val="0"/>
        <w:keepLines w:val="0"/>
        <w:pageBreakBefore w:val="0"/>
        <w:kinsoku/>
        <w:wordWrap/>
        <w:overflowPunct/>
        <w:topLinePunct w:val="0"/>
        <w:autoSpaceDE/>
        <w:autoSpaceDN/>
        <w:bidi w:val="0"/>
        <w:adjustRightInd/>
        <w:snapToGrid/>
        <w:spacing w:line="44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本次评价采用百分制，各级指标依据其指标权重确定分值，评价人员根据评价情况对各级指标进行打分，最终得分由各级评价指标得分加总得出。根据最终得分情况将评价标准分 为四个等级：优秀（90分≤得分≤100分）； 良好（80分≤得分＜90分）；较差（ 60分≤得分＜80分）；差 （得分＜60分）。</w:t>
      </w:r>
    </w:p>
    <w:p w14:paraId="1A936836">
      <w:pPr>
        <w:keepNext w:val="0"/>
        <w:keepLines w:val="0"/>
        <w:pageBreakBefore w:val="0"/>
        <w:kinsoku/>
        <w:wordWrap/>
        <w:overflowPunct/>
        <w:topLinePunct w:val="0"/>
        <w:autoSpaceDE/>
        <w:autoSpaceDN/>
        <w:bidi w:val="0"/>
        <w:adjustRightInd/>
        <w:snapToGrid/>
        <w:spacing w:line="44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（三）绩效评价过程</w:t>
      </w:r>
    </w:p>
    <w:p w14:paraId="6C7ADC54">
      <w:pPr>
        <w:keepNext w:val="0"/>
        <w:keepLines w:val="0"/>
        <w:pageBreakBefore w:val="0"/>
        <w:kinsoku/>
        <w:wordWrap/>
        <w:overflowPunct/>
        <w:topLinePunct w:val="0"/>
        <w:autoSpaceDE/>
        <w:autoSpaceDN/>
        <w:bidi w:val="0"/>
        <w:adjustRightInd/>
        <w:snapToGrid/>
        <w:spacing w:line="44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根据晃财绩[2025]1号《关于开展2024年度部门预算支出绩效自评工作的通知》，本次绩效评价重点评价园林所专项业务经费项目资金的绩效情况，填报绩效项目自评申报表，在对所有取得的资料进行分析整理的基础上按照规定格式编写绩效评价工作报告，然后按照绩效评价资料清单上报县财政局。</w:t>
      </w:r>
    </w:p>
    <w:p w14:paraId="2E8E557B">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firstLine="480"/>
        <w:rPr>
          <w:rFonts w:eastAsia="仿宋_GB2312"/>
          <w:b/>
          <w:bCs/>
          <w:sz w:val="32"/>
          <w:szCs w:val="32"/>
        </w:rPr>
      </w:pPr>
      <w:r>
        <w:rPr>
          <w:rFonts w:hint="eastAsia" w:eastAsia="仿宋_GB2312"/>
          <w:b/>
          <w:bCs/>
          <w:sz w:val="32"/>
          <w:szCs w:val="32"/>
        </w:rPr>
        <w:t>三、综合评价情况及评价结论（附相关评分表）</w:t>
      </w:r>
    </w:p>
    <w:p w14:paraId="0263DDCE">
      <w:pPr>
        <w:keepNext w:val="0"/>
        <w:keepLines w:val="0"/>
        <w:pageBreakBefore w:val="0"/>
        <w:kinsoku/>
        <w:wordWrap/>
        <w:overflowPunct/>
        <w:topLinePunct w:val="0"/>
        <w:autoSpaceDE/>
        <w:autoSpaceDN/>
        <w:bidi w:val="0"/>
        <w:adjustRightInd/>
        <w:snapToGrid/>
        <w:spacing w:line="4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（一）项目绩效情况</w:t>
      </w:r>
    </w:p>
    <w:p w14:paraId="7D3D3C66">
      <w:pPr>
        <w:keepNext w:val="0"/>
        <w:keepLines w:val="0"/>
        <w:pageBreakBefore w:val="0"/>
        <w:kinsoku/>
        <w:wordWrap/>
        <w:overflowPunct/>
        <w:topLinePunct w:val="0"/>
        <w:autoSpaceDE/>
        <w:autoSpaceDN/>
        <w:bidi w:val="0"/>
        <w:adjustRightInd/>
        <w:snapToGrid/>
        <w:spacing w:line="4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1.完成了预期绩效目标任务</w:t>
      </w:r>
    </w:p>
    <w:p w14:paraId="59079E09">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firstLine="480"/>
        <w:rPr>
          <w:rFonts w:ascii="Times New Roman" w:hAnsi="Times New Roman" w:eastAsia="仿宋_GB2312" w:cs="Times New Roman"/>
          <w:b/>
          <w:sz w:val="28"/>
          <w:szCs w:val="28"/>
        </w:rPr>
      </w:pPr>
      <w:r>
        <w:rPr>
          <w:rFonts w:ascii="仿宋_GB2312" w:eastAsia="仿宋_GB2312" w:cs="仿宋_GB2312"/>
          <w:color w:val="000000"/>
          <w:sz w:val="31"/>
          <w:szCs w:val="31"/>
          <w:shd w:val="clear" w:color="auto" w:fill="FFFFFF"/>
        </w:rPr>
        <w:t>项目资金预算可用额度</w:t>
      </w:r>
      <w:r>
        <w:rPr>
          <w:rFonts w:hint="eastAsia" w:ascii="仿宋_GB2312" w:eastAsia="仿宋_GB2312" w:cs="仿宋_GB2312"/>
          <w:color w:val="000000"/>
          <w:sz w:val="31"/>
          <w:szCs w:val="31"/>
          <w:shd w:val="clear" w:color="auto" w:fill="FFFFFF"/>
          <w:lang w:val="en-US" w:eastAsia="zh-CN"/>
        </w:rPr>
        <w:t>24.18万</w:t>
      </w:r>
      <w:r>
        <w:rPr>
          <w:rFonts w:ascii="仿宋_GB2312" w:eastAsia="仿宋_GB2312" w:cs="仿宋_GB2312"/>
          <w:color w:val="000000"/>
          <w:sz w:val="31"/>
          <w:szCs w:val="31"/>
          <w:shd w:val="clear" w:color="auto" w:fill="FFFFFF"/>
        </w:rPr>
        <w:t>元，完成数</w:t>
      </w:r>
      <w:r>
        <w:rPr>
          <w:rFonts w:hint="eastAsia" w:ascii="仿宋_GB2312" w:eastAsia="仿宋_GB2312" w:cs="仿宋_GB2312"/>
          <w:color w:val="000000"/>
          <w:sz w:val="31"/>
          <w:szCs w:val="31"/>
          <w:shd w:val="clear" w:color="auto" w:fill="FFFFFF"/>
          <w:lang w:val="en-US" w:eastAsia="zh-CN"/>
        </w:rPr>
        <w:t>24.18万</w:t>
      </w:r>
      <w:r>
        <w:rPr>
          <w:rFonts w:ascii="仿宋_GB2312" w:eastAsia="仿宋_GB2312" w:cs="仿宋_GB2312"/>
          <w:color w:val="000000"/>
          <w:sz w:val="31"/>
          <w:szCs w:val="31"/>
          <w:shd w:val="clear" w:color="auto" w:fill="FFFFFF"/>
        </w:rPr>
        <w:t>元，占预算近乎100%。</w:t>
      </w:r>
    </w:p>
    <w:p w14:paraId="7EA5CFB2">
      <w:pPr>
        <w:keepNext w:val="0"/>
        <w:keepLines w:val="0"/>
        <w:pageBreakBefore w:val="0"/>
        <w:kinsoku/>
        <w:wordWrap/>
        <w:overflowPunct/>
        <w:topLinePunct w:val="0"/>
        <w:autoSpaceDE/>
        <w:autoSpaceDN/>
        <w:bidi w:val="0"/>
        <w:adjustRightInd/>
        <w:snapToGrid/>
        <w:spacing w:line="440" w:lineRule="exact"/>
        <w:ind w:left="400" w:leftChars="200"/>
        <w:rPr>
          <w:rFonts w:ascii="仿宋_GB2312" w:eastAsia="仿宋_GB2312"/>
          <w:color w:val="000000"/>
          <w:sz w:val="32"/>
          <w:szCs w:val="32"/>
        </w:rPr>
      </w:pPr>
      <w:r>
        <w:rPr>
          <w:rFonts w:hint="eastAsia" w:ascii="仿宋_GB2312" w:hAnsi="仿宋_GB2312" w:eastAsia="仿宋_GB2312" w:cs="仿宋_GB2312"/>
          <w:sz w:val="32"/>
          <w:szCs w:val="32"/>
        </w:rPr>
        <w:t>2、</w:t>
      </w:r>
      <w:r>
        <w:rPr>
          <w:rFonts w:hint="eastAsia" w:ascii="仿宋_GB2312" w:eastAsia="仿宋_GB2312"/>
          <w:color w:val="000000"/>
          <w:sz w:val="32"/>
          <w:szCs w:val="32"/>
        </w:rPr>
        <w:t>项目的可持续性分析</w:t>
      </w:r>
    </w:p>
    <w:p w14:paraId="2C6AF518">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firstLine="480"/>
        <w:rPr>
          <w:rFonts w:hint="eastAsia" w:ascii="Times New Roman" w:hAnsi="Times New Roman" w:eastAsia="仿宋_GB2312" w:cs="Times New Roman"/>
          <w:b/>
          <w:sz w:val="28"/>
          <w:szCs w:val="28"/>
          <w:lang w:eastAsia="zh-CN"/>
        </w:rPr>
      </w:pPr>
      <w:r>
        <w:rPr>
          <w:rFonts w:hint="eastAsia" w:ascii="仿宋_GB2312" w:eastAsia="仿宋_GB2312" w:cs="仿宋_GB2312"/>
          <w:color w:val="000000"/>
          <w:sz w:val="31"/>
          <w:szCs w:val="31"/>
          <w:shd w:val="clear" w:color="auto" w:fill="FFFFFF"/>
          <w:lang w:eastAsia="zh-CN"/>
        </w:rPr>
        <w:t>离退休人员生活补助为离退休人员生活提供了保障。</w:t>
      </w:r>
    </w:p>
    <w:p w14:paraId="332D0730">
      <w:pPr>
        <w:keepNext w:val="0"/>
        <w:keepLines w:val="0"/>
        <w:pageBreakBefore w:val="0"/>
        <w:kinsoku/>
        <w:wordWrap/>
        <w:overflowPunct/>
        <w:topLinePunct w:val="0"/>
        <w:autoSpaceDE/>
        <w:autoSpaceDN/>
        <w:bidi w:val="0"/>
        <w:adjustRightInd/>
        <w:snapToGrid/>
        <w:spacing w:line="440" w:lineRule="exact"/>
        <w:ind w:left="400" w:leftChars="200"/>
        <w:rPr>
          <w:rFonts w:ascii="仿宋_GB2312" w:eastAsia="仿宋_GB2312"/>
          <w:color w:val="000000"/>
          <w:sz w:val="32"/>
          <w:szCs w:val="32"/>
        </w:rPr>
      </w:pPr>
      <w:r>
        <w:rPr>
          <w:rFonts w:hint="eastAsia" w:ascii="仿宋_GB2312" w:eastAsia="仿宋_GB2312"/>
          <w:color w:val="000000"/>
          <w:sz w:val="32"/>
          <w:szCs w:val="32"/>
        </w:rPr>
        <w:t>（二）评价结论（附相关评分表）</w:t>
      </w:r>
    </w:p>
    <w:p w14:paraId="39F2D15E">
      <w:pPr>
        <w:keepNext w:val="0"/>
        <w:keepLines w:val="0"/>
        <w:pageBreakBefore w:val="0"/>
        <w:kinsoku/>
        <w:wordWrap/>
        <w:overflowPunct/>
        <w:topLinePunct w:val="0"/>
        <w:autoSpaceDE/>
        <w:autoSpaceDN/>
        <w:bidi w:val="0"/>
        <w:adjustRightInd/>
        <w:snapToGrid/>
        <w:spacing w:line="4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根据对</w:t>
      </w:r>
      <w:r>
        <w:rPr>
          <w:rFonts w:hint="eastAsia" w:ascii="仿宋_GB2312" w:eastAsia="仿宋_GB2312"/>
          <w:color w:val="000000"/>
          <w:kern w:val="0"/>
          <w:sz w:val="32"/>
          <w:szCs w:val="32"/>
          <w:lang w:eastAsia="zh-CN"/>
        </w:rPr>
        <w:t>离退休人员生活补助</w:t>
      </w:r>
      <w:r>
        <w:rPr>
          <w:rFonts w:hint="eastAsia" w:ascii="仿宋_GB2312" w:eastAsia="仿宋_GB2312"/>
          <w:color w:val="000000"/>
          <w:sz w:val="32"/>
          <w:szCs w:val="32"/>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年项目支出绩效评价指标体系和绩效情况的检查，202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w:t>
      </w:r>
      <w:r>
        <w:rPr>
          <w:rFonts w:hint="eastAsia" w:ascii="仿宋_GB2312" w:eastAsia="仿宋_GB2312"/>
          <w:color w:val="000000"/>
          <w:kern w:val="0"/>
          <w:sz w:val="32"/>
          <w:szCs w:val="32"/>
          <w:lang w:eastAsia="zh-CN"/>
        </w:rPr>
        <w:t>离退休人员生活补助</w:t>
      </w:r>
      <w:r>
        <w:rPr>
          <w:rFonts w:hint="eastAsia" w:ascii="仿宋_GB2312" w:eastAsia="仿宋_GB2312"/>
          <w:color w:val="000000"/>
          <w:sz w:val="32"/>
          <w:szCs w:val="32"/>
        </w:rPr>
        <w:t>项目支出绩效自评分9</w:t>
      </w:r>
      <w:r>
        <w:rPr>
          <w:rFonts w:hint="eastAsia" w:ascii="仿宋_GB2312" w:eastAsia="仿宋_GB2312"/>
          <w:color w:val="000000"/>
          <w:sz w:val="32"/>
          <w:szCs w:val="32"/>
          <w:lang w:val="en-US" w:eastAsia="zh-CN"/>
        </w:rPr>
        <w:t>5</w:t>
      </w:r>
      <w:r>
        <w:rPr>
          <w:rFonts w:hint="eastAsia" w:ascii="仿宋_GB2312" w:eastAsia="仿宋_GB2312"/>
          <w:color w:val="000000"/>
          <w:sz w:val="32"/>
          <w:szCs w:val="32"/>
        </w:rPr>
        <w:t>分，为“优秀”等级（附件2-</w:t>
      </w:r>
      <w:r>
        <w:rPr>
          <w:rFonts w:hint="eastAsia" w:ascii="仿宋_GB2312" w:eastAsia="仿宋_GB2312"/>
          <w:color w:val="000000"/>
          <w:sz w:val="32"/>
          <w:szCs w:val="32"/>
          <w:lang w:val="en-US" w:eastAsia="zh-CN"/>
        </w:rPr>
        <w:t>2-3</w:t>
      </w:r>
      <w:r>
        <w:rPr>
          <w:rFonts w:hint="eastAsia" w:ascii="仿宋_GB2312" w:eastAsia="仿宋_GB2312"/>
          <w:color w:val="000000"/>
          <w:sz w:val="32"/>
          <w:szCs w:val="32"/>
        </w:rPr>
        <w:t>）。</w:t>
      </w:r>
    </w:p>
    <w:p w14:paraId="61E2D4DD">
      <w:pPr>
        <w:keepNext w:val="0"/>
        <w:keepLines w:val="0"/>
        <w:pageBreakBefore w:val="0"/>
        <w:kinsoku/>
        <w:wordWrap/>
        <w:overflowPunct/>
        <w:topLinePunct w:val="0"/>
        <w:autoSpaceDE/>
        <w:autoSpaceDN/>
        <w:bidi w:val="0"/>
        <w:adjustRightInd/>
        <w:snapToGrid/>
        <w:spacing w:line="440" w:lineRule="exact"/>
        <w:ind w:firstLine="643" w:firstLineChars="200"/>
        <w:rPr>
          <w:rFonts w:ascii="仿宋_GB2312" w:eastAsia="仿宋_GB2312"/>
          <w:b/>
          <w:bCs/>
          <w:color w:val="000000"/>
          <w:sz w:val="32"/>
          <w:szCs w:val="32"/>
        </w:rPr>
      </w:pPr>
      <w:r>
        <w:rPr>
          <w:rFonts w:hint="eastAsia" w:ascii="仿宋_GB2312" w:eastAsia="仿宋_GB2312"/>
          <w:b/>
          <w:bCs/>
          <w:color w:val="000000"/>
          <w:sz w:val="32"/>
          <w:szCs w:val="32"/>
        </w:rPr>
        <w:t>四、绩效评价指标分析</w:t>
      </w:r>
    </w:p>
    <w:p w14:paraId="42D21F49">
      <w:pPr>
        <w:keepNext w:val="0"/>
        <w:keepLines w:val="0"/>
        <w:pageBreakBefore w:val="0"/>
        <w:kinsoku/>
        <w:wordWrap/>
        <w:overflowPunct/>
        <w:topLinePunct w:val="0"/>
        <w:autoSpaceDE/>
        <w:autoSpaceDN/>
        <w:bidi w:val="0"/>
        <w:adjustRightInd/>
        <w:snapToGrid/>
        <w:spacing w:line="4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（一）项目决策情况。</w:t>
      </w:r>
    </w:p>
    <w:p w14:paraId="0766CC2B">
      <w:pPr>
        <w:keepNext w:val="0"/>
        <w:keepLines w:val="0"/>
        <w:pageBreakBefore w:val="0"/>
        <w:kinsoku/>
        <w:wordWrap/>
        <w:overflowPunct/>
        <w:topLinePunct w:val="0"/>
        <w:autoSpaceDE/>
        <w:autoSpaceDN/>
        <w:bidi w:val="0"/>
        <w:adjustRightInd/>
        <w:snapToGrid/>
        <w:spacing w:line="44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本项目符合社会发展规划和部门年度工作计划，根据实际需要和工作特点制定近期实施计划，为项目的实施提供了较好的方向性指导。</w:t>
      </w:r>
    </w:p>
    <w:p w14:paraId="15C0D063">
      <w:pPr>
        <w:keepNext w:val="0"/>
        <w:keepLines w:val="0"/>
        <w:pageBreakBefore w:val="0"/>
        <w:kinsoku/>
        <w:wordWrap/>
        <w:overflowPunct/>
        <w:topLinePunct w:val="0"/>
        <w:autoSpaceDE/>
        <w:autoSpaceDN/>
        <w:bidi w:val="0"/>
        <w:adjustRightInd/>
        <w:snapToGrid/>
        <w:spacing w:line="440" w:lineRule="exact"/>
        <w:ind w:firstLine="640" w:firstLineChars="200"/>
        <w:rPr>
          <w:rFonts w:hint="eastAsia" w:ascii="仿宋_GB2312" w:eastAsia="仿宋_GB2312"/>
          <w:b w:val="0"/>
          <w:bCs/>
          <w:color w:val="000000"/>
          <w:sz w:val="32"/>
          <w:szCs w:val="32"/>
        </w:rPr>
      </w:pPr>
      <w:r>
        <w:rPr>
          <w:rFonts w:hint="eastAsia" w:ascii="仿宋_GB2312" w:eastAsia="仿宋_GB2312"/>
          <w:color w:val="000000"/>
          <w:sz w:val="32"/>
          <w:szCs w:val="32"/>
          <w:lang w:eastAsia="zh-CN"/>
        </w:rPr>
        <w:t>（二）</w:t>
      </w:r>
      <w:r>
        <w:rPr>
          <w:rFonts w:hint="eastAsia" w:ascii="仿宋_GB2312" w:eastAsia="仿宋_GB2312"/>
          <w:b w:val="0"/>
          <w:bCs/>
          <w:color w:val="000000"/>
          <w:sz w:val="32"/>
          <w:szCs w:val="32"/>
        </w:rPr>
        <w:t>项目过程情况。</w:t>
      </w:r>
    </w:p>
    <w:p w14:paraId="19E5F579">
      <w:pPr>
        <w:pStyle w:val="3"/>
        <w:keepNext w:val="0"/>
        <w:keepLines w:val="0"/>
        <w:pageBreakBefore w:val="0"/>
        <w:numPr>
          <w:ilvl w:val="0"/>
          <w:numId w:val="0"/>
        </w:numPr>
        <w:kinsoku/>
        <w:wordWrap/>
        <w:overflowPunct/>
        <w:topLinePunct w:val="0"/>
        <w:autoSpaceDE/>
        <w:autoSpaceDN/>
        <w:bidi w:val="0"/>
        <w:adjustRightInd/>
        <w:snapToGrid/>
        <w:spacing w:line="440" w:lineRule="exact"/>
        <w:ind w:leftChars="200" w:firstLine="310" w:firstLineChars="100"/>
        <w:rPr>
          <w:rFonts w:hint="eastAsia" w:ascii="仿宋_GB2312" w:eastAsia="仿宋_GB2312" w:cs="仿宋_GB2312"/>
          <w:b w:val="0"/>
          <w:bCs/>
          <w:color w:val="000000"/>
          <w:sz w:val="31"/>
          <w:szCs w:val="31"/>
          <w:shd w:val="clear" w:color="auto" w:fill="FFFFFF"/>
        </w:rPr>
      </w:pPr>
      <w:r>
        <w:rPr>
          <w:rFonts w:ascii="仿宋_GB2312" w:eastAsia="仿宋_GB2312" w:cs="仿宋_GB2312"/>
          <w:b w:val="0"/>
          <w:bCs/>
          <w:color w:val="000000"/>
          <w:sz w:val="31"/>
          <w:szCs w:val="31"/>
          <w:shd w:val="clear" w:color="auto" w:fill="FFFFFF"/>
        </w:rPr>
        <w:t>进一步强化资金的分配、使用、管理等关键环节的事前防范、事中控制、事后监督，努力提高项目资金配置效率，在制度建设方面，紧扣制度建设重点，围绕预算编制、预算执行、支付管理、监督保障等方面，狠抓内部管理、不断建立完善了各项规章制度，建立用制度</w:t>
      </w:r>
      <w:r>
        <w:rPr>
          <w:rFonts w:hint="eastAsia" w:ascii="仿宋_GB2312" w:eastAsia="仿宋_GB2312" w:cs="仿宋_GB2312"/>
          <w:b w:val="0"/>
          <w:bCs/>
          <w:color w:val="000000"/>
          <w:sz w:val="31"/>
          <w:szCs w:val="31"/>
          <w:shd w:val="clear" w:color="auto" w:fill="FFFFFF"/>
          <w:lang w:eastAsia="zh-CN"/>
        </w:rPr>
        <w:t>管</w:t>
      </w:r>
      <w:r>
        <w:rPr>
          <w:rFonts w:ascii="仿宋_GB2312" w:eastAsia="仿宋_GB2312" w:cs="仿宋_GB2312"/>
          <w:b w:val="0"/>
          <w:bCs/>
          <w:color w:val="000000"/>
          <w:sz w:val="31"/>
          <w:szCs w:val="31"/>
          <w:shd w:val="clear" w:color="auto" w:fill="FFFFFF"/>
        </w:rPr>
        <w:t>人、管事、管财的长效机制，并在实际工作中不断健全完善管理办法和内控制度，认真贯彻执行，确保资金使用的安全、合规。</w:t>
      </w:r>
    </w:p>
    <w:p w14:paraId="44E75A1B">
      <w:pPr>
        <w:keepNext w:val="0"/>
        <w:keepLines w:val="0"/>
        <w:pageBreakBefore w:val="0"/>
        <w:kinsoku/>
        <w:wordWrap/>
        <w:overflowPunct/>
        <w:topLinePunct w:val="0"/>
        <w:autoSpaceDE/>
        <w:autoSpaceDN/>
        <w:bidi w:val="0"/>
        <w:adjustRightInd/>
        <w:snapToGrid/>
        <w:spacing w:line="4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（三）项目产出情况。</w:t>
      </w:r>
    </w:p>
    <w:p w14:paraId="04B30C2E">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firstLine="480"/>
        <w:rPr>
          <w:rFonts w:ascii="Times New Roman" w:hAnsi="Times New Roman" w:eastAsia="仿宋_GB2312" w:cs="Times New Roman"/>
          <w:b/>
          <w:sz w:val="28"/>
          <w:szCs w:val="28"/>
        </w:rPr>
      </w:pPr>
      <w:r>
        <w:rPr>
          <w:rFonts w:ascii="仿宋_GB2312" w:eastAsia="仿宋_GB2312" w:cs="仿宋_GB2312"/>
          <w:color w:val="000000"/>
          <w:sz w:val="31"/>
          <w:szCs w:val="31"/>
          <w:shd w:val="clear" w:color="auto" w:fill="FFFFFF"/>
        </w:rPr>
        <w:t>该项目年初预算</w:t>
      </w:r>
      <w:r>
        <w:rPr>
          <w:rFonts w:hint="eastAsia" w:ascii="仿宋_GB2312" w:eastAsia="仿宋_GB2312" w:cs="仿宋_GB2312"/>
          <w:color w:val="000000"/>
          <w:sz w:val="31"/>
          <w:szCs w:val="31"/>
          <w:shd w:val="clear" w:color="auto" w:fill="FFFFFF"/>
          <w:lang w:val="en-US" w:eastAsia="zh-CN"/>
        </w:rPr>
        <w:t>24.18万</w:t>
      </w:r>
      <w:r>
        <w:rPr>
          <w:rFonts w:hint="eastAsia" w:ascii="仿宋_GB2312" w:eastAsia="仿宋_GB2312" w:cs="仿宋_GB2312"/>
          <w:color w:val="000000"/>
          <w:sz w:val="31"/>
          <w:szCs w:val="31"/>
          <w:shd w:val="clear" w:color="auto" w:fill="FFFFFF"/>
        </w:rPr>
        <w:t>元，主要任务是</w:t>
      </w:r>
      <w:r>
        <w:rPr>
          <w:rFonts w:ascii="仿宋_GB2312" w:eastAsia="仿宋_GB2312" w:cs="仿宋_GB2312"/>
          <w:color w:val="000000"/>
          <w:sz w:val="31"/>
          <w:szCs w:val="31"/>
          <w:shd w:val="clear" w:color="auto" w:fill="FFFFFF"/>
        </w:rPr>
        <w:t>保障单位日常运转，提高预算编制质量，严格执行预算。该项目工作圆满完成。</w:t>
      </w:r>
    </w:p>
    <w:p w14:paraId="4617D593">
      <w:pPr>
        <w:keepNext w:val="0"/>
        <w:keepLines w:val="0"/>
        <w:pageBreakBefore w:val="0"/>
        <w:kinsoku/>
        <w:wordWrap/>
        <w:overflowPunct/>
        <w:topLinePunct w:val="0"/>
        <w:autoSpaceDE/>
        <w:autoSpaceDN/>
        <w:bidi w:val="0"/>
        <w:adjustRightInd/>
        <w:snapToGrid/>
        <w:spacing w:line="4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（四）项目效益情况。</w:t>
      </w:r>
    </w:p>
    <w:p w14:paraId="4AD5582A">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firstLine="480"/>
        <w:rPr>
          <w:rFonts w:ascii="仿宋" w:hAnsi="仿宋" w:eastAsia="仿宋" w:cs="仿宋"/>
          <w:bCs/>
          <w:sz w:val="32"/>
          <w:szCs w:val="32"/>
        </w:rPr>
      </w:pPr>
      <w:r>
        <w:rPr>
          <w:rFonts w:hint="eastAsia" w:ascii="仿宋" w:hAnsi="仿宋" w:eastAsia="仿宋" w:cs="仿宋"/>
          <w:bCs/>
          <w:sz w:val="32"/>
          <w:szCs w:val="32"/>
        </w:rPr>
        <w:t>群众满意度显著提高</w:t>
      </w:r>
    </w:p>
    <w:p w14:paraId="4DFA1544">
      <w:pPr>
        <w:keepNext w:val="0"/>
        <w:keepLines w:val="0"/>
        <w:pageBreakBefore w:val="0"/>
        <w:kinsoku/>
        <w:wordWrap/>
        <w:overflowPunct/>
        <w:topLinePunct w:val="0"/>
        <w:autoSpaceDE/>
        <w:autoSpaceDN/>
        <w:bidi w:val="0"/>
        <w:adjustRightInd/>
        <w:snapToGrid/>
        <w:spacing w:line="440" w:lineRule="exact"/>
        <w:ind w:firstLine="643" w:firstLineChars="200"/>
        <w:jc w:val="left"/>
        <w:rPr>
          <w:rFonts w:eastAsia="仿宋_GB2312"/>
          <w:b/>
          <w:bCs/>
          <w:sz w:val="32"/>
          <w:szCs w:val="32"/>
        </w:rPr>
      </w:pPr>
      <w:r>
        <w:rPr>
          <w:rFonts w:hint="eastAsia" w:eastAsia="仿宋_GB2312"/>
          <w:b/>
          <w:bCs/>
          <w:sz w:val="32"/>
          <w:szCs w:val="32"/>
        </w:rPr>
        <w:t>五、主要经验及做法、存在的问题及原因分析</w:t>
      </w:r>
    </w:p>
    <w:p w14:paraId="637424F4">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firstLine="480"/>
        <w:rPr>
          <w:rFonts w:ascii="仿宋_GB2312" w:eastAsia="仿宋_GB2312" w:cs="仿宋_GB2312"/>
          <w:color w:val="000000"/>
          <w:sz w:val="31"/>
          <w:szCs w:val="31"/>
          <w:shd w:val="clear" w:color="auto" w:fill="FFFFFF"/>
        </w:rPr>
      </w:pPr>
      <w:r>
        <w:rPr>
          <w:rFonts w:ascii="仿宋_GB2312" w:eastAsia="仿宋_GB2312" w:cs="仿宋_GB2312"/>
          <w:color w:val="000000"/>
          <w:sz w:val="31"/>
          <w:szCs w:val="31"/>
          <w:shd w:val="clear" w:color="auto" w:fill="FFFFFF"/>
        </w:rPr>
        <w:t>一</w:t>
      </w:r>
      <w:r>
        <w:rPr>
          <w:rFonts w:hint="eastAsia" w:ascii="仿宋_GB2312" w:eastAsia="仿宋_GB2312" w:cs="仿宋_GB2312"/>
          <w:color w:val="000000"/>
          <w:sz w:val="31"/>
          <w:szCs w:val="31"/>
          <w:shd w:val="clear" w:color="auto" w:fill="FFFFFF"/>
        </w:rPr>
        <w:t>、</w:t>
      </w:r>
      <w:r>
        <w:rPr>
          <w:rFonts w:ascii="仿宋_GB2312" w:eastAsia="仿宋_GB2312" w:cs="仿宋_GB2312"/>
          <w:color w:val="000000"/>
          <w:sz w:val="31"/>
          <w:szCs w:val="31"/>
          <w:shd w:val="clear" w:color="auto" w:fill="FFFFFF"/>
        </w:rPr>
        <w:t>是完善相关制度，强化项目实施过程的管理和监督，才能使项目顺利进行和保证质量。</w:t>
      </w:r>
    </w:p>
    <w:p w14:paraId="35D5FA83">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firstLine="480"/>
        <w:rPr>
          <w:rFonts w:ascii="仿宋_GB2312" w:eastAsia="仿宋_GB2312" w:cs="仿宋_GB2312"/>
          <w:color w:val="000000"/>
          <w:sz w:val="31"/>
          <w:szCs w:val="31"/>
          <w:shd w:val="clear" w:color="auto" w:fill="FFFFFF"/>
        </w:rPr>
      </w:pPr>
      <w:r>
        <w:rPr>
          <w:rFonts w:ascii="仿宋_GB2312" w:eastAsia="仿宋_GB2312" w:cs="仿宋_GB2312"/>
          <w:color w:val="000000"/>
          <w:sz w:val="31"/>
          <w:szCs w:val="31"/>
          <w:shd w:val="clear" w:color="auto" w:fill="FFFFFF"/>
        </w:rPr>
        <w:t>二</w:t>
      </w:r>
      <w:r>
        <w:rPr>
          <w:rFonts w:hint="eastAsia" w:ascii="仿宋_GB2312" w:eastAsia="仿宋_GB2312" w:cs="仿宋_GB2312"/>
          <w:color w:val="000000"/>
          <w:sz w:val="31"/>
          <w:szCs w:val="31"/>
          <w:shd w:val="clear" w:color="auto" w:fill="FFFFFF"/>
        </w:rPr>
        <w:t>、</w:t>
      </w:r>
      <w:r>
        <w:rPr>
          <w:rFonts w:ascii="仿宋_GB2312" w:eastAsia="仿宋_GB2312" w:cs="仿宋_GB2312"/>
          <w:color w:val="000000"/>
          <w:sz w:val="31"/>
          <w:szCs w:val="31"/>
          <w:shd w:val="clear" w:color="auto" w:fill="FFFFFF"/>
        </w:rPr>
        <w:t>是加强资金管理，确保资金使用规范、合法。</w:t>
      </w:r>
    </w:p>
    <w:p w14:paraId="27E99798">
      <w:pPr>
        <w:keepNext w:val="0"/>
        <w:keepLines w:val="0"/>
        <w:pageBreakBefore w:val="0"/>
        <w:numPr>
          <w:ilvl w:val="0"/>
          <w:numId w:val="3"/>
        </w:numPr>
        <w:kinsoku/>
        <w:wordWrap/>
        <w:overflowPunct/>
        <w:topLinePunct w:val="0"/>
        <w:autoSpaceDE/>
        <w:autoSpaceDN/>
        <w:bidi w:val="0"/>
        <w:adjustRightInd/>
        <w:snapToGrid/>
        <w:spacing w:line="440" w:lineRule="exact"/>
        <w:rPr>
          <w:rFonts w:ascii="仿宋" w:hAnsi="仿宋" w:eastAsia="仿宋" w:cs="仿宋"/>
          <w:b/>
          <w:bCs/>
          <w:sz w:val="28"/>
          <w:szCs w:val="28"/>
        </w:rPr>
      </w:pPr>
      <w:r>
        <w:rPr>
          <w:rFonts w:hint="eastAsia" w:ascii="仿宋" w:hAnsi="仿宋" w:eastAsia="仿宋" w:cs="仿宋"/>
          <w:b/>
          <w:bCs/>
          <w:sz w:val="28"/>
          <w:szCs w:val="28"/>
        </w:rPr>
        <w:t>有关建议</w:t>
      </w:r>
    </w:p>
    <w:p w14:paraId="215CF378">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firstLine="480"/>
        <w:rPr>
          <w:rFonts w:ascii="仿宋_GB2312" w:eastAsia="仿宋_GB2312" w:cs="仿宋_GB2312"/>
          <w:color w:val="000000"/>
          <w:sz w:val="31"/>
          <w:szCs w:val="31"/>
          <w:shd w:val="clear" w:color="auto" w:fill="FFFFFF"/>
        </w:rPr>
      </w:pPr>
      <w:r>
        <w:rPr>
          <w:rFonts w:hint="eastAsia" w:ascii="仿宋_GB2312" w:eastAsia="仿宋_GB2312" w:cs="仿宋_GB2312"/>
          <w:color w:val="000000"/>
          <w:sz w:val="31"/>
          <w:szCs w:val="31"/>
          <w:shd w:val="clear" w:color="auto" w:fill="FFFFFF"/>
        </w:rPr>
        <w:t>无</w:t>
      </w:r>
    </w:p>
    <w:p w14:paraId="0B1ABE2B">
      <w:pPr>
        <w:keepNext w:val="0"/>
        <w:keepLines w:val="0"/>
        <w:pageBreakBefore w:val="0"/>
        <w:kinsoku/>
        <w:wordWrap/>
        <w:overflowPunct/>
        <w:topLinePunct w:val="0"/>
        <w:autoSpaceDE/>
        <w:autoSpaceDN/>
        <w:bidi w:val="0"/>
        <w:adjustRightInd/>
        <w:snapToGrid/>
        <w:spacing w:line="440" w:lineRule="exact"/>
        <w:ind w:firstLine="4480" w:firstLineChars="1600"/>
        <w:rPr>
          <w:rFonts w:eastAsia="仿宋_GB2312"/>
          <w:kern w:val="0"/>
          <w:sz w:val="28"/>
          <w:szCs w:val="28"/>
        </w:rPr>
      </w:pPr>
      <w:r>
        <w:rPr>
          <w:rFonts w:hint="eastAsia" w:eastAsia="仿宋_GB2312"/>
          <w:kern w:val="0"/>
          <w:sz w:val="28"/>
          <w:szCs w:val="28"/>
        </w:rPr>
        <w:t>新晃县</w:t>
      </w:r>
      <w:r>
        <w:rPr>
          <w:rFonts w:hint="eastAsia" w:eastAsia="仿宋_GB2312"/>
          <w:kern w:val="0"/>
          <w:sz w:val="28"/>
          <w:szCs w:val="28"/>
          <w:lang w:eastAsia="zh-CN"/>
        </w:rPr>
        <w:t>住房和城乡建设局</w:t>
      </w:r>
      <w:r>
        <w:rPr>
          <w:rFonts w:eastAsia="仿宋_GB2312"/>
          <w:kern w:val="0"/>
          <w:sz w:val="28"/>
          <w:szCs w:val="28"/>
        </w:rPr>
        <w:t xml:space="preserve">                </w:t>
      </w:r>
    </w:p>
    <w:p w14:paraId="64515832">
      <w:pPr>
        <w:keepNext w:val="0"/>
        <w:keepLines w:val="0"/>
        <w:pageBreakBefore w:val="0"/>
        <w:kinsoku/>
        <w:wordWrap/>
        <w:overflowPunct/>
        <w:topLinePunct w:val="0"/>
        <w:autoSpaceDE/>
        <w:autoSpaceDN/>
        <w:bidi w:val="0"/>
        <w:adjustRightInd/>
        <w:snapToGrid/>
        <w:spacing w:line="440" w:lineRule="exact"/>
        <w:ind w:firstLine="4760" w:firstLineChars="1700"/>
        <w:rPr>
          <w:rFonts w:eastAsia="仿宋_GB2312"/>
          <w:kern w:val="0"/>
          <w:sz w:val="28"/>
          <w:szCs w:val="28"/>
        </w:rPr>
      </w:pPr>
      <w:r>
        <w:rPr>
          <w:rFonts w:eastAsia="仿宋_GB2312"/>
          <w:kern w:val="0"/>
          <w:sz w:val="28"/>
          <w:szCs w:val="28"/>
        </w:rPr>
        <w:t xml:space="preserve"> </w:t>
      </w:r>
      <w:r>
        <w:rPr>
          <w:rFonts w:hint="eastAsia" w:eastAsia="仿宋_GB2312"/>
          <w:kern w:val="0"/>
          <w:sz w:val="28"/>
          <w:szCs w:val="28"/>
        </w:rPr>
        <w:t xml:space="preserve"> 202</w:t>
      </w:r>
      <w:r>
        <w:rPr>
          <w:rFonts w:hint="eastAsia" w:eastAsia="仿宋_GB2312"/>
          <w:kern w:val="0"/>
          <w:sz w:val="28"/>
          <w:szCs w:val="28"/>
          <w:lang w:val="en-US" w:eastAsia="zh-CN"/>
        </w:rPr>
        <w:t>5</w:t>
      </w:r>
      <w:r>
        <w:rPr>
          <w:rFonts w:eastAsia="仿宋_GB2312"/>
          <w:kern w:val="0"/>
          <w:sz w:val="28"/>
          <w:szCs w:val="28"/>
        </w:rPr>
        <w:t>年</w:t>
      </w:r>
      <w:r>
        <w:rPr>
          <w:rFonts w:hint="eastAsia" w:eastAsia="仿宋_GB2312"/>
          <w:kern w:val="0"/>
          <w:sz w:val="28"/>
          <w:szCs w:val="28"/>
          <w:lang w:val="en-US" w:eastAsia="zh-CN"/>
        </w:rPr>
        <w:t>3</w:t>
      </w:r>
      <w:r>
        <w:rPr>
          <w:rFonts w:eastAsia="仿宋_GB2312"/>
          <w:kern w:val="0"/>
          <w:sz w:val="28"/>
          <w:szCs w:val="28"/>
        </w:rPr>
        <w:t xml:space="preserve">月 </w:t>
      </w:r>
      <w:r>
        <w:rPr>
          <w:rFonts w:hint="eastAsia" w:eastAsia="仿宋_GB2312"/>
          <w:kern w:val="0"/>
          <w:sz w:val="28"/>
          <w:szCs w:val="28"/>
        </w:rPr>
        <w:t>1</w:t>
      </w:r>
      <w:r>
        <w:rPr>
          <w:rFonts w:hint="eastAsia" w:eastAsia="仿宋_GB2312"/>
          <w:kern w:val="0"/>
          <w:sz w:val="28"/>
          <w:szCs w:val="28"/>
          <w:lang w:val="en-US" w:eastAsia="zh-CN"/>
        </w:rPr>
        <w:t>9</w:t>
      </w:r>
      <w:r>
        <w:rPr>
          <w:rFonts w:eastAsia="仿宋_GB2312"/>
          <w:kern w:val="0"/>
          <w:sz w:val="28"/>
          <w:szCs w:val="28"/>
        </w:rPr>
        <w:t>日</w:t>
      </w:r>
    </w:p>
    <w:p w14:paraId="122859E7"/>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roma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C6F714"/>
    <w:multiLevelType w:val="singleLevel"/>
    <w:tmpl w:val="A1C6F714"/>
    <w:lvl w:ilvl="0" w:tentative="0">
      <w:start w:val="6"/>
      <w:numFmt w:val="chineseCounting"/>
      <w:suff w:val="nothing"/>
      <w:lvlText w:val="%1、"/>
      <w:lvlJc w:val="left"/>
      <w:rPr>
        <w:rFonts w:hint="eastAsia"/>
      </w:rPr>
    </w:lvl>
  </w:abstractNum>
  <w:abstractNum w:abstractNumId="1">
    <w:nsid w:val="C8EF9A5F"/>
    <w:multiLevelType w:val="singleLevel"/>
    <w:tmpl w:val="C8EF9A5F"/>
    <w:lvl w:ilvl="0" w:tentative="0">
      <w:start w:val="2"/>
      <w:numFmt w:val="chineseCounting"/>
      <w:suff w:val="nothing"/>
      <w:lvlText w:val="（%1）"/>
      <w:lvlJc w:val="left"/>
      <w:pPr>
        <w:ind w:left="-41"/>
      </w:pPr>
      <w:rPr>
        <w:rFonts w:hint="eastAsia"/>
      </w:rPr>
    </w:lvl>
  </w:abstractNum>
  <w:abstractNum w:abstractNumId="2">
    <w:nsid w:val="4C60C192"/>
    <w:multiLevelType w:val="singleLevel"/>
    <w:tmpl w:val="4C60C192"/>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E320FE"/>
    <w:rsid w:val="32E320FE"/>
    <w:rsid w:val="578C2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ascii="宋体" w:hAnsi="宋体"/>
      <w:b/>
      <w:kern w:val="44"/>
      <w:sz w:val="48"/>
      <w:szCs w:val="48"/>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4">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1632</Words>
  <Characters>1692</Characters>
  <Lines>0</Lines>
  <Paragraphs>0</Paragraphs>
  <TotalTime>1</TotalTime>
  <ScaleCrop>false</ScaleCrop>
  <LinksUpToDate>false</LinksUpToDate>
  <CharactersWithSpaces>1727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2025-03-20T08:33:00Z</dcterms:created>
  <dc:creator>洪玲</dc:creator>
  <cp:lastModifiedBy>洪玲</cp:lastModifiedBy>
  <dcterms:modified xsi:type="dcterms:W3CDTF">2025-03-20T08:43:23Z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102B7D383F8F45068282294088C67FBE_13</vt:lpwstr>
  </property>
  <property fmtid="{D5CDD505-2E9C-101B-9397-08002B2CF9AE}" pid="4" name="KSOTemplateDocerSaveRecord">
    <vt:lpwstr>eyJoZGlkIjoiZjdkNjgxMzM5NGM1NmRiODZkZTc4MDMxMGNiMTUxYzciLCJ1c2VySWQiOiI1MjQ5NDc4ODIifQ==</vt:lpwstr>
  </property>
</Properties>
</file>