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1493A">
      <w:pPr>
        <w:ind w:left="0" w:leftChars="0" w:firstLine="0" w:firstLineChars="0"/>
        <w:rPr>
          <w:rFonts w:hint="eastAsia"/>
        </w:rPr>
      </w:pPr>
      <w:bookmarkStart w:id="0" w:name="_GoBack"/>
      <w:bookmarkEnd w:id="0"/>
    </w:p>
    <w:p w14:paraId="009552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4F3C9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  <w:t>新晃侗族自治县2026年征收农用地区片</w:t>
      </w:r>
    </w:p>
    <w:p w14:paraId="574C38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  <w:t>综合地价调整方案</w:t>
      </w:r>
    </w:p>
    <w:tbl>
      <w:tblPr>
        <w:tblStyle w:val="8"/>
        <w:tblW w:w="5263" w:type="pct"/>
        <w:tblInd w:w="-250" w:type="dxa"/>
        <w:tblBorders>
          <w:top w:val="double" w:color="000000" w:sz="4" w:space="0"/>
          <w:left w:val="none" w:color="auto" w:sz="0" w:space="0"/>
          <w:bottom w:val="doub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6240"/>
        <w:gridCol w:w="1240"/>
        <w:gridCol w:w="1258"/>
      </w:tblGrid>
      <w:tr w14:paraId="3AE46BA6">
        <w:tblPrEx>
          <w:tblBorders>
            <w:top w:val="double" w:color="000000" w:sz="4" w:space="0"/>
            <w:left w:val="none" w:color="auto" w:sz="0" w:space="0"/>
            <w:bottom w:val="doub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tblHeader/>
        </w:trPr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E9B6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  <w:t>区片</w:t>
            </w:r>
          </w:p>
          <w:p w14:paraId="19B0B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  <w:t>等级</w:t>
            </w:r>
          </w:p>
        </w:tc>
        <w:tc>
          <w:tcPr>
            <w:tcW w:w="3271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CC2C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  <w:t>区片范围描述</w:t>
            </w: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7AE9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  <w:t>调整前补偿标准</w:t>
            </w:r>
          </w:p>
          <w:p w14:paraId="30F18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  <w:t>（元/亩）</w:t>
            </w: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DBC2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  <w:t>调整后补偿标准</w:t>
            </w:r>
          </w:p>
          <w:p w14:paraId="63EE7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  <w:t>（元/亩）</w:t>
            </w:r>
          </w:p>
        </w:tc>
      </w:tr>
      <w:tr w14:paraId="67E1C479">
        <w:tblPrEx>
          <w:tblBorders>
            <w:top w:val="double" w:color="000000" w:sz="4" w:space="0"/>
            <w:left w:val="none" w:color="auto" w:sz="0" w:space="0"/>
            <w:bottom w:val="doub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ABA1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theme="minorBidi"/>
                <w:sz w:val="21"/>
                <w:szCs w:val="21"/>
                <w:lang w:val="en-US" w:eastAsia="zh-CN" w:bidi="ar-SA"/>
              </w:rPr>
              <w:t>Ⅰ</w:t>
            </w:r>
          </w:p>
        </w:tc>
        <w:tc>
          <w:tcPr>
            <w:tcW w:w="3271" w:type="pc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038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晃州镇：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晃州村、柏树林村、民生村、长乐坪村、丁字坳村、胜利村、大桥溪村、大洞坪村、高铁新村、长滩村、沙湾村、杨家桥村、新民村、日光村、大树湾村、胡家坝村、石坞溪村、水洞村、新村；</w:t>
            </w: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FDEF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9BC8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 w14:paraId="5B27844A">
        <w:tblPrEx>
          <w:tblBorders>
            <w:top w:val="double" w:color="000000" w:sz="4" w:space="0"/>
            <w:left w:val="none" w:color="auto" w:sz="0" w:space="0"/>
            <w:bottom w:val="doub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8" w:hRule="atLeast"/>
        </w:trPr>
        <w:tc>
          <w:tcPr>
            <w:tcW w:w="419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AF60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theme="minorBidi"/>
                <w:sz w:val="21"/>
                <w:szCs w:val="21"/>
                <w:lang w:val="en-US" w:eastAsia="zh-CN" w:bidi="ar-SA"/>
              </w:rPr>
              <w:t>Ⅱ</w:t>
            </w:r>
          </w:p>
        </w:tc>
        <w:tc>
          <w:tcPr>
            <w:tcW w:w="3271" w:type="pct"/>
            <w:tcBorders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8EC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晃州镇：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洞坡村、高寨村、禾排村、凉水井村、两河口村、木铎溪村、石马溪村、塘洞村、塘家坝村、向家地村；</w:t>
            </w:r>
          </w:p>
          <w:p w14:paraId="1EC79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波洲镇：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波洲社区、炉冲村、长塘坪村、红岩村、瓦屋坡村、波洲村、暮山坪村、江口村、洞坪村、坳背村、柳寨村、田坪村；</w:t>
            </w:r>
          </w:p>
          <w:p w14:paraId="23E94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鱼市镇：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鱼市社区、新桥村、团溪村、岩山村、光辉村、老黄冲村、大坝河村、华南村、晏家村、斗溪村、鱼市前锋联合村</w:t>
            </w:r>
          </w:p>
          <w:p w14:paraId="37A21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凉伞镇：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凉伞社区、坪南村、桓胆村、桂岱村、坝万村、冲场村、美老村、凉伞村、子城村、街上村、万家村、偏洞村、黄雷村、大田村、美岩村、马宗村、茶坪村、凳寨村、八江口村、花园村、桂林溪村、绞寿村、台洞村；</w:t>
            </w:r>
          </w:p>
          <w:p w14:paraId="0A6D2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扶罗镇：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扶罗社区、伞寨村、东风村、扶罗村、皂溪村、弓判村、克寨村、桐木村、坪地村、磨溪村、竹树村、新寨村、圭界村、枫木村、红星村；</w:t>
            </w:r>
          </w:p>
          <w:p w14:paraId="1A524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中寨镇：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中寨社区、大寨村、计寨村、赛容村、地堡村、半江村、祥冲村、降溪村、头家村、比足村、上公道村；</w:t>
            </w:r>
          </w:p>
          <w:p w14:paraId="7ABEF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林冲镇：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林冲村、唐家村、大堡村、地甫村、马王村、宋阳村、天堂村、道丁村、地习村、高坪村；</w:t>
            </w:r>
          </w:p>
          <w:p w14:paraId="7978B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贡溪镇：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天井寨村、绍溪村、甘美村、上田村、贡溪村、四路村、碧林村、田家村；</w:t>
            </w:r>
          </w:p>
          <w:p w14:paraId="46E54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禾滩镇：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闪溪村、岑贡村、洛溪村、进蚕村、禾滩村、姑召村、大晏村、龙兴村、三江村；</w:t>
            </w:r>
          </w:p>
          <w:p w14:paraId="055BB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步头降苗族乡：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土鹿坪村、步头降村、新江村、天雷村、涞溪村、黄阳村、双溪村；</w:t>
            </w:r>
          </w:p>
          <w:p w14:paraId="78C8C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both"/>
              <w:textAlignment w:val="top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b/>
                <w:bCs/>
                <w:sz w:val="21"/>
                <w:szCs w:val="21"/>
                <w:lang w:val="en-US" w:eastAsia="zh-CN" w:bidi="ar-SA"/>
              </w:rPr>
              <w:t>米贝苗族乡：</w:t>
            </w:r>
            <w:r>
              <w:rPr>
                <w:rFonts w:hint="eastAsia" w:ascii="Times New Roman" w:hAnsi="Times New Roman" w:eastAsia="仿宋_GB2312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烂泥村、富家冲村、米贝村、练溪村、阿界村、碧李桥村、团结村、碧朗村</w:t>
            </w:r>
            <w:r>
              <w:rPr>
                <w:rFonts w:hint="eastAsia" w:cstheme="minorBidi"/>
                <w:b w:val="0"/>
                <w:bCs w:val="0"/>
                <w:sz w:val="21"/>
                <w:szCs w:val="21"/>
                <w:lang w:val="en-US" w:eastAsia="zh-CN" w:bidi="ar-SA"/>
              </w:rPr>
              <w:t>。</w:t>
            </w:r>
          </w:p>
        </w:tc>
        <w:tc>
          <w:tcPr>
            <w:tcW w:w="650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7502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2F2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</w:tbl>
    <w:p w14:paraId="414EF6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0"/>
        <w:jc w:val="left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ar-SA"/>
        </w:rPr>
        <w:t>注</w:t>
      </w:r>
      <w:r>
        <w:rPr>
          <w:rFonts w:hint="default" w:ascii="Times New Roman" w:hAnsi="Times New Roman" w:cs="Times New Roman"/>
          <w:b w:val="0"/>
          <w:bCs w:val="0"/>
          <w:color w:val="auto"/>
          <w:sz w:val="20"/>
          <w:szCs w:val="20"/>
          <w:lang w:val="en-US" w:eastAsia="zh-CN" w:bidi="ar-SA"/>
        </w:rPr>
        <w:t>：</w:t>
      </w:r>
      <w:r>
        <w:rPr>
          <w:rFonts w:hint="eastAsia" w:ascii="GWZT-EN" w:hAnsi="GWZT-EN" w:eastAsia="GWZT-EN" w:cs="GWZT-EN"/>
          <w:b w:val="0"/>
          <w:bCs w:val="0"/>
          <w:color w:val="auto"/>
          <w:sz w:val="20"/>
          <w:szCs w:val="20"/>
          <w:lang w:val="en-US" w:eastAsia="zh-CN" w:bidi="ar-SA"/>
        </w:rPr>
        <w:t>①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 w:bidi="ar-SA"/>
        </w:rPr>
        <w:t>晃州镇的酒店塘工业园、农业原种场</w:t>
      </w:r>
      <w:r>
        <w:rPr>
          <w:rFonts w:hint="eastAsia" w:cs="Times New Roman"/>
          <w:b w:val="0"/>
          <w:bCs w:val="0"/>
          <w:sz w:val="20"/>
          <w:szCs w:val="20"/>
          <w:lang w:val="en-US" w:eastAsia="zh-CN" w:bidi="ar-SA"/>
        </w:rPr>
        <w:t>、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 w:bidi="ar-SA"/>
        </w:rPr>
        <w:t>万宝山苗圃均参照I区。天雷林场的天雷林场直属、扶罗镇的朝阳水库均参照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 w:bidi="ar-SA"/>
        </w:rPr>
        <w:t>Ⅱ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 w:bidi="ar-SA"/>
        </w:rPr>
        <w:t>区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ar-SA"/>
        </w:rPr>
        <w:t>；</w:t>
      </w:r>
    </w:p>
    <w:p w14:paraId="57131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70" w:firstLineChars="200"/>
        <w:jc w:val="left"/>
        <w:textAlignment w:val="auto"/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eastAsia" w:ascii="GWZT-EN" w:hAnsi="GWZT-EN" w:eastAsia="GWZT-EN" w:cs="GWZT-EN"/>
          <w:b w:val="0"/>
          <w:bCs w:val="0"/>
          <w:color w:val="auto"/>
          <w:sz w:val="20"/>
          <w:szCs w:val="20"/>
          <w:lang w:val="en-US" w:eastAsia="zh-CN" w:bidi="ar-SA"/>
        </w:rPr>
        <w:t>②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 w:bidi="ar-SA"/>
        </w:rPr>
        <w:t>地类修正系数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ar-SA"/>
        </w:rPr>
        <w:t>：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 w:bidi="ar-SA"/>
        </w:rPr>
        <w:t>旱地0.8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ar-SA"/>
        </w:rPr>
        <w:t>3</w:t>
      </w:r>
      <w:r>
        <w:rPr>
          <w:rFonts w:hint="eastAsia" w:ascii="Times New Roman" w:hAnsi="Times New Roman" w:cs="Times New Roman"/>
          <w:b w:val="0"/>
          <w:bCs w:val="0"/>
          <w:color w:val="auto"/>
          <w:sz w:val="20"/>
          <w:szCs w:val="20"/>
          <w:lang w:val="en-US" w:eastAsia="zh-CN" w:bidi="ar-SA"/>
        </w:rPr>
        <w:t>，园地、林地0.67</w:t>
      </w: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ar-SA"/>
        </w:rPr>
        <w:t>，未利用地0.5，永久基本农田1.68，“恢复属性”地类0.8；</w:t>
      </w:r>
    </w:p>
    <w:p w14:paraId="08598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470" w:firstLineChars="200"/>
        <w:jc w:val="left"/>
        <w:textAlignment w:val="auto"/>
        <w:rPr>
          <w:rFonts w:hint="default" w:cs="Times New Roman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eastAsia" w:cs="Times New Roman"/>
          <w:b w:val="0"/>
          <w:bCs w:val="0"/>
          <w:color w:val="auto"/>
          <w:sz w:val="20"/>
          <w:szCs w:val="20"/>
          <w:lang w:val="en-US" w:eastAsia="zh-CN" w:bidi="ar-SA"/>
        </w:rPr>
        <w:t>③</w:t>
      </w:r>
      <w:r>
        <w:rPr>
          <w:rFonts w:hint="default" w:cs="Times New Roman"/>
          <w:b w:val="0"/>
          <w:bCs w:val="0"/>
          <w:color w:val="auto"/>
          <w:sz w:val="20"/>
          <w:szCs w:val="20"/>
          <w:lang w:val="en-US" w:eastAsia="zh-CN" w:bidi="ar-SA"/>
        </w:rPr>
        <w:t>涉及不同地类及特殊情形的补偿标准，按照省级现行政策规定的地类调节系数和适用规则执行。</w:t>
      </w:r>
    </w:p>
    <w:sectPr>
      <w:pgSz w:w="11906" w:h="16838"/>
      <w:pgMar w:top="1440" w:right="1474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634" w:charSpace="735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0"/>
      </w:pPr>
      <w:r>
        <w:separator/>
      </w:r>
    </w:p>
  </w:endnote>
  <w:endnote w:type="continuationSeparator" w:id="1">
    <w:p>
      <w:pPr>
        <w:spacing w:line="240" w:lineRule="auto"/>
        <w:ind w:firstLine="63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BD2914-7D88-4E69-BC2B-1686E50653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47B9835-E3BD-479E-82FA-61DA3C811AA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CAC1A90-74C0-4AD0-840A-2890DE19E374}"/>
  </w:font>
  <w:font w:name="楷体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02A8F07-A83E-4781-87EE-36D4C954BCB4}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3D1CC96E-99CA-4271-A3FB-8FBCEE71D94D}"/>
  </w:font>
  <w:font w:name="GWZT-EN">
    <w:altName w:val="宋体"/>
    <w:panose1 w:val="02000000000000000000"/>
    <w:charset w:val="86"/>
    <w:family w:val="auto"/>
    <w:pitch w:val="default"/>
    <w:sig w:usb0="00000000" w:usb1="00000000" w:usb2="00000000" w:usb3="00000000" w:csb0="00140001" w:csb1="00000000"/>
    <w:embedRegular r:id="rId6" w:fontKey="{9F58AB01-E13F-4E7D-AD5D-E43AD7456D12}"/>
  </w:font>
  <w:font w:name="Noto Serif CJK JP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0"/>
      </w:pPr>
      <w:r>
        <w:separator/>
      </w:r>
    </w:p>
  </w:footnote>
  <w:footnote w:type="continuationSeparator" w:id="1">
    <w:p>
      <w:pPr>
        <w:spacing w:line="240" w:lineRule="auto"/>
        <w:ind w:firstLine="63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33C8C"/>
    <w:rsid w:val="0D4414AE"/>
    <w:rsid w:val="1D667B9B"/>
    <w:rsid w:val="1F891358"/>
    <w:rsid w:val="214921C4"/>
    <w:rsid w:val="216B6DDB"/>
    <w:rsid w:val="2AEE177B"/>
    <w:rsid w:val="2F34284F"/>
    <w:rsid w:val="3679148F"/>
    <w:rsid w:val="386D550D"/>
    <w:rsid w:val="47946C6A"/>
    <w:rsid w:val="47A66264"/>
    <w:rsid w:val="49060B61"/>
    <w:rsid w:val="492C5947"/>
    <w:rsid w:val="4A0B4EFC"/>
    <w:rsid w:val="4B8E5270"/>
    <w:rsid w:val="4DC87A90"/>
    <w:rsid w:val="524D64F3"/>
    <w:rsid w:val="55FD0598"/>
    <w:rsid w:val="5B6F6839"/>
    <w:rsid w:val="5CD60F41"/>
    <w:rsid w:val="60DB3C2F"/>
    <w:rsid w:val="637E6E36"/>
    <w:rsid w:val="697C7B66"/>
    <w:rsid w:val="6D8F3676"/>
    <w:rsid w:val="6E985900"/>
    <w:rsid w:val="7FB4B488"/>
    <w:rsid w:val="FF7F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9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left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semiHidden/>
    <w:unhideWhenUsed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left"/>
      <w:outlineLvl w:val="1"/>
    </w:pPr>
    <w:rPr>
      <w:rFonts w:ascii="Times New Roman" w:hAnsi="Times New Roman" w:eastAsia="楷体GB2312" w:cs="仿宋"/>
      <w:b/>
      <w:sz w:val="32"/>
      <w:szCs w:val="22"/>
    </w:rPr>
  </w:style>
  <w:style w:type="paragraph" w:styleId="4">
    <w:name w:val="heading 3"/>
    <w:basedOn w:val="1"/>
    <w:semiHidden/>
    <w:unhideWhenUsed/>
    <w:qFormat/>
    <w:uiPriority w:val="0"/>
    <w:pPr>
      <w:keepNext/>
      <w:keepLines/>
      <w:spacing w:beforeLines="0" w:beforeAutospacing="0" w:afterLines="0" w:afterAutospacing="0" w:line="660" w:lineRule="exact"/>
      <w:ind w:firstLine="0" w:firstLineChars="0"/>
      <w:jc w:val="left"/>
      <w:outlineLvl w:val="2"/>
    </w:pPr>
    <w:rPr>
      <w:rFonts w:ascii="仿宋" w:hAnsi="仿宋" w:eastAsia="仿宋" w:cs="仿宋"/>
      <w:b/>
      <w:sz w:val="32"/>
      <w:szCs w:val="2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60" w:lineRule="exact"/>
      <w:jc w:val="left"/>
      <w:outlineLvl w:val="3"/>
    </w:pPr>
    <w:rPr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line="579" w:lineRule="exact"/>
      <w:ind w:firstLine="400" w:firstLineChars="200"/>
    </w:pPr>
    <w:rPr>
      <w:rFonts w:eastAsia="仿宋GB2312" w:cstheme="minorBidi"/>
      <w:kern w:val="2"/>
      <w:szCs w:val="2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标题0"/>
    <w:basedOn w:val="1"/>
    <w:qFormat/>
    <w:uiPriority w:val="0"/>
    <w:pPr>
      <w:spacing w:line="700" w:lineRule="exact"/>
      <w:ind w:firstLine="0" w:firstLineChars="0"/>
      <w:jc w:val="center"/>
    </w:pPr>
    <w:rPr>
      <w:rFonts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480</Words>
  <Characters>535</Characters>
  <Lines>0</Lines>
  <Paragraphs>0</Paragraphs>
  <TotalTime>3</TotalTime>
  <ScaleCrop>false</ScaleCrop>
  <LinksUpToDate>false</LinksUpToDate>
  <CharactersWithSpaces>550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2025-03-13T22:19:00Z</dcterms:created>
  <dc:creator>肘の</dc:creator>
  <cp:lastModifiedBy>宇宇</cp:lastModifiedBy>
  <cp:lastPrinted>2026-10-10T20:03:00Z</cp:lastPrinted>
  <dcterms:modified xsi:type="dcterms:W3CDTF">2026-10-12T08:54:27Z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039451AC61D84FD8B1F7A88CADC38A21_13</vt:lpwstr>
  </property>
  <property fmtid="{D5CDD505-2E9C-101B-9397-08002B2CF9AE}" pid="4" name="KSOTemplateDocerSaveRecord">
    <vt:lpwstr>eyJoZGlkIjoiODlhZDZlN2MxYjgyOTM2N2JjYzBmNjJhNDM3MDAxMzkiLCJ1c2VySWQiOiI1NTY2MjY0NjQifQ==</vt:lpwstr>
  </property>
</Properties>
</file>