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735D9">
      <w:pPr>
        <w:pageBreakBefore/>
        <w:spacing w:line="580" w:lineRule="exact"/>
        <w:jc w:val="center"/>
        <w:outlineLvl w:val="1"/>
        <w:rPr>
          <w:rFonts w:hint="default" w:asciiTheme="majorEastAsia" w:hAnsiTheme="majorEastAsia" w:eastAsiaTheme="majorEastAsia"/>
          <w:b/>
          <w:bCs/>
          <w:sz w:val="44"/>
          <w:szCs w:val="44"/>
        </w:rPr>
      </w:pPr>
      <w:r>
        <w:rPr>
          <w:rFonts w:asciiTheme="majorEastAsia" w:hAnsiTheme="majorEastAsia" w:eastAsiaTheme="majorEastAsia"/>
          <w:b/>
          <w:bCs/>
          <w:sz w:val="44"/>
          <w:szCs w:val="44"/>
          <w:highlight w:val="none"/>
        </w:rPr>
        <w:t>新晃县</w:t>
      </w:r>
      <w:r>
        <w:rPr>
          <w:rFonts w:hint="eastAsia" w:asciiTheme="majorEastAsia" w:hAnsiTheme="majorEastAsia" w:eastAsiaTheme="majorEastAsia"/>
          <w:b/>
          <w:bCs/>
          <w:sz w:val="44"/>
          <w:szCs w:val="44"/>
          <w:lang w:eastAsia="zh-CN"/>
        </w:rPr>
        <w:t>民政局殡仪馆建设</w:t>
      </w:r>
      <w:r>
        <w:rPr>
          <w:rFonts w:asciiTheme="majorEastAsia" w:hAnsiTheme="majorEastAsia" w:eastAsiaTheme="majorEastAsia"/>
          <w:b/>
          <w:bCs/>
          <w:sz w:val="44"/>
          <w:szCs w:val="44"/>
        </w:rPr>
        <w:t>项目绩效报告</w:t>
      </w:r>
    </w:p>
    <w:p w14:paraId="3A792343">
      <w:pPr>
        <w:spacing w:line="580" w:lineRule="exact"/>
        <w:ind w:firstLine="640" w:firstLineChars="200"/>
        <w:outlineLvl w:val="1"/>
        <w:rPr>
          <w:rFonts w:hint="default" w:eastAsia="黑体"/>
          <w:sz w:val="32"/>
          <w:szCs w:val="32"/>
        </w:rPr>
      </w:pPr>
    </w:p>
    <w:p w14:paraId="15496D1A">
      <w:pPr>
        <w:spacing w:line="580" w:lineRule="exact"/>
        <w:ind w:firstLine="640" w:firstLineChars="200"/>
        <w:outlineLvl w:val="1"/>
        <w:rPr>
          <w:rFonts w:hint="default" w:eastAsia="黑体"/>
          <w:sz w:val="32"/>
          <w:szCs w:val="32"/>
        </w:rPr>
      </w:pPr>
      <w:r>
        <w:rPr>
          <w:rFonts w:hint="default" w:eastAsia="黑体"/>
          <w:sz w:val="32"/>
          <w:szCs w:val="32"/>
        </w:rPr>
        <w:t>一、项目</w:t>
      </w:r>
      <w:r>
        <w:rPr>
          <w:rFonts w:eastAsia="黑体"/>
          <w:sz w:val="32"/>
          <w:szCs w:val="32"/>
        </w:rPr>
        <w:t>资金</w:t>
      </w:r>
      <w:r>
        <w:rPr>
          <w:rFonts w:hint="default" w:eastAsia="黑体"/>
          <w:sz w:val="32"/>
          <w:szCs w:val="32"/>
        </w:rPr>
        <w:t>概况</w:t>
      </w:r>
    </w:p>
    <w:p w14:paraId="51FD59FC">
      <w:pPr>
        <w:spacing w:line="580" w:lineRule="exact"/>
        <w:ind w:firstLine="630" w:firstLineChars="196"/>
        <w:rPr>
          <w:rFonts w:hint="default" w:eastAsia="楷体_GB2312"/>
          <w:b/>
          <w:sz w:val="32"/>
          <w:szCs w:val="32"/>
        </w:rPr>
      </w:pPr>
      <w:r>
        <w:rPr>
          <w:rFonts w:hint="default" w:eastAsia="楷体_GB2312"/>
          <w:b/>
          <w:sz w:val="32"/>
          <w:szCs w:val="32"/>
        </w:rPr>
        <w:t>（一）</w:t>
      </w:r>
      <w:r>
        <w:rPr>
          <w:rFonts w:eastAsia="楷体_GB2312"/>
          <w:b/>
          <w:sz w:val="32"/>
          <w:szCs w:val="32"/>
        </w:rPr>
        <w:t>项目单位基本情况</w:t>
      </w:r>
    </w:p>
    <w:p w14:paraId="0797897D">
      <w:pPr>
        <w:spacing w:line="580" w:lineRule="exact"/>
        <w:ind w:firstLine="640" w:firstLineChars="200"/>
        <w:rPr>
          <w:rFonts w:hint="default" w:eastAsia="仿宋_GB2312"/>
          <w:sz w:val="32"/>
          <w:szCs w:val="32"/>
        </w:rPr>
      </w:pPr>
      <w:r>
        <w:rPr>
          <w:rFonts w:eastAsia="仿宋_GB2312"/>
          <w:sz w:val="32"/>
          <w:szCs w:val="32"/>
        </w:rPr>
        <w:t>本项目主管部门是新晃侗族自治县民政局，是我县殡葬管理和殡葬制度改革工作的县政府职能部门，属财政全额预算单位。</w:t>
      </w:r>
    </w:p>
    <w:p w14:paraId="237AB462">
      <w:pPr>
        <w:spacing w:line="580" w:lineRule="exact"/>
        <w:ind w:firstLine="643" w:firstLineChars="200"/>
        <w:rPr>
          <w:rFonts w:hint="default" w:eastAsia="楷体_GB2312"/>
          <w:b/>
          <w:sz w:val="32"/>
          <w:szCs w:val="32"/>
        </w:rPr>
      </w:pPr>
      <w:r>
        <w:rPr>
          <w:rFonts w:eastAsia="楷体_GB2312"/>
          <w:b/>
          <w:sz w:val="32"/>
          <w:szCs w:val="32"/>
        </w:rPr>
        <w:t>（二）项目资金基本情况</w:t>
      </w:r>
    </w:p>
    <w:p w14:paraId="6E33A3D5">
      <w:pPr>
        <w:spacing w:line="580" w:lineRule="exact"/>
        <w:ind w:firstLine="640" w:firstLineChars="200"/>
        <w:rPr>
          <w:rFonts w:hint="eastAsia" w:ascii="仿宋" w:hAnsi="仿宋" w:eastAsia="仿宋" w:cs="仿宋"/>
          <w:b w:val="0"/>
          <w:bCs w:val="0"/>
          <w:color w:val="auto"/>
          <w:sz w:val="32"/>
          <w:szCs w:val="32"/>
          <w:lang w:eastAsia="zh-CN"/>
        </w:rPr>
      </w:pPr>
      <w:r>
        <w:rPr>
          <w:rFonts w:hint="eastAsia" w:ascii="仿宋" w:hAnsi="仿宋" w:eastAsia="仿宋" w:cs="仿宋"/>
          <w:sz w:val="32"/>
          <w:szCs w:val="32"/>
          <w:highlight w:val="none"/>
        </w:rPr>
        <w:t>新晃县</w:t>
      </w:r>
      <w:r>
        <w:rPr>
          <w:rFonts w:hint="eastAsia" w:ascii="仿宋" w:hAnsi="仿宋" w:eastAsia="仿宋" w:cs="仿宋"/>
          <w:sz w:val="32"/>
          <w:szCs w:val="32"/>
        </w:rPr>
        <w:t>殡仪馆项目，</w:t>
      </w:r>
      <w:r>
        <w:rPr>
          <w:rFonts w:hint="eastAsia" w:ascii="仿宋" w:hAnsi="仿宋" w:eastAsia="仿宋" w:cs="仿宋"/>
          <w:sz w:val="32"/>
          <w:szCs w:val="32"/>
          <w:lang w:eastAsia="zh-CN"/>
        </w:rPr>
        <w:t>总投资</w:t>
      </w:r>
      <w:r>
        <w:rPr>
          <w:rFonts w:hint="eastAsia" w:ascii="仿宋" w:hAnsi="仿宋" w:eastAsia="仿宋" w:cs="仿宋"/>
          <w:sz w:val="32"/>
          <w:szCs w:val="32"/>
          <w:lang w:val="en-US" w:eastAsia="zh-CN"/>
        </w:rPr>
        <w:t>5476.28万元，</w:t>
      </w:r>
      <w:r>
        <w:rPr>
          <w:rFonts w:hint="eastAsia" w:ascii="仿宋" w:hAnsi="仿宋" w:eastAsia="仿宋" w:cs="仿宋"/>
          <w:b w:val="0"/>
          <w:bCs w:val="0"/>
          <w:color w:val="auto"/>
          <w:sz w:val="32"/>
          <w:szCs w:val="32"/>
        </w:rPr>
        <w:t>殡仪馆（含骨灰安放设施）总占地面积</w:t>
      </w:r>
      <w:r>
        <w:rPr>
          <w:rFonts w:hint="eastAsia" w:ascii="仿宋" w:hAnsi="仿宋" w:eastAsia="仿宋" w:cs="仿宋"/>
          <w:b w:val="0"/>
          <w:bCs w:val="0"/>
          <w:color w:val="auto"/>
          <w:sz w:val="32"/>
          <w:szCs w:val="32"/>
          <w:lang w:val="en-US" w:eastAsia="zh-CN"/>
        </w:rPr>
        <w:t>46.218</w:t>
      </w:r>
      <w:r>
        <w:rPr>
          <w:rFonts w:hint="eastAsia" w:ascii="仿宋" w:hAnsi="仿宋" w:eastAsia="仿宋" w:cs="仿宋"/>
          <w:b w:val="0"/>
          <w:bCs w:val="0"/>
          <w:color w:val="auto"/>
          <w:sz w:val="32"/>
          <w:szCs w:val="32"/>
        </w:rPr>
        <w:t>亩，建筑面积10756.66平方米，建设规模Ⅳ类，</w:t>
      </w:r>
      <w:r>
        <w:rPr>
          <w:rFonts w:hint="eastAsia" w:ascii="仿宋" w:hAnsi="仿宋" w:eastAsia="仿宋" w:cs="仿宋"/>
          <w:b w:val="0"/>
          <w:bCs w:val="0"/>
          <w:color w:val="auto"/>
          <w:sz w:val="32"/>
          <w:szCs w:val="32"/>
          <w:lang w:val="en-US" w:eastAsia="zh-CN"/>
        </w:rPr>
        <w:t>主要</w:t>
      </w:r>
      <w:r>
        <w:rPr>
          <w:rFonts w:hint="eastAsia" w:ascii="仿宋" w:hAnsi="仿宋" w:eastAsia="仿宋" w:cs="仿宋"/>
          <w:b w:val="0"/>
          <w:bCs w:val="0"/>
          <w:color w:val="auto"/>
          <w:sz w:val="32"/>
          <w:szCs w:val="32"/>
        </w:rPr>
        <w:t>建</w:t>
      </w:r>
      <w:r>
        <w:rPr>
          <w:rFonts w:hint="eastAsia" w:ascii="仿宋" w:hAnsi="仿宋" w:eastAsia="仿宋" w:cs="仿宋"/>
          <w:b w:val="0"/>
          <w:bCs w:val="0"/>
          <w:color w:val="auto"/>
          <w:sz w:val="32"/>
          <w:szCs w:val="32"/>
          <w:lang w:val="en-US" w:eastAsia="zh-CN"/>
        </w:rPr>
        <w:t>设</w:t>
      </w:r>
      <w:r>
        <w:rPr>
          <w:rFonts w:hint="eastAsia" w:ascii="仿宋" w:hAnsi="仿宋" w:eastAsia="仿宋" w:cs="仿宋"/>
          <w:b w:val="0"/>
          <w:bCs w:val="0"/>
          <w:color w:val="auto"/>
          <w:sz w:val="32"/>
          <w:szCs w:val="32"/>
        </w:rPr>
        <w:t>内容为：办公楼、服务楼、悼念楼、火化楼</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lang w:val="en-US" w:eastAsia="zh-CN"/>
        </w:rPr>
        <w:t>装2台火化设备</w:t>
      </w:r>
      <w:r>
        <w:rPr>
          <w:rFonts w:hint="eastAsia" w:ascii="仿宋" w:hAnsi="仿宋" w:eastAsia="仿宋" w:cs="仿宋"/>
          <w:b w:val="0"/>
          <w:bCs w:val="0"/>
          <w:color w:val="auto"/>
          <w:sz w:val="32"/>
          <w:szCs w:val="32"/>
          <w:lang w:eastAsia="zh-CN"/>
        </w:rPr>
        <w:t>）</w:t>
      </w:r>
      <w:r>
        <w:rPr>
          <w:rFonts w:hint="eastAsia" w:ascii="仿宋" w:hAnsi="仿宋" w:eastAsia="仿宋" w:cs="仿宋"/>
          <w:b w:val="0"/>
          <w:bCs w:val="0"/>
          <w:color w:val="auto"/>
          <w:sz w:val="32"/>
          <w:szCs w:val="32"/>
        </w:rPr>
        <w:t>、遗物焚烧间、骨灰寄存楼、公厕、垃圾收集站、污水处理站、设备用房、其余廊道、自来水工程、设备采购安装、二次装修、入馆道路、附属工程等</w:t>
      </w:r>
      <w:r>
        <w:rPr>
          <w:rFonts w:hint="eastAsia" w:ascii="仿宋" w:hAnsi="仿宋" w:eastAsia="仿宋" w:cs="仿宋"/>
          <w:b w:val="0"/>
          <w:bCs w:val="0"/>
          <w:color w:val="auto"/>
          <w:sz w:val="32"/>
          <w:szCs w:val="32"/>
          <w:lang w:eastAsia="zh-CN"/>
        </w:rPr>
        <w:t>。</w:t>
      </w:r>
    </w:p>
    <w:p w14:paraId="70699032">
      <w:pPr>
        <w:spacing w:line="580" w:lineRule="exact"/>
        <w:ind w:firstLine="643" w:firstLineChars="200"/>
        <w:rPr>
          <w:rFonts w:hint="default" w:eastAsia="仿宋_GB2312"/>
          <w:b/>
          <w:sz w:val="32"/>
        </w:rPr>
      </w:pPr>
      <w:r>
        <w:rPr>
          <w:rFonts w:eastAsia="仿宋_GB2312"/>
          <w:b/>
          <w:sz w:val="32"/>
        </w:rPr>
        <w:t>（三）资金绩效目标</w:t>
      </w:r>
    </w:p>
    <w:p w14:paraId="5CCD567F">
      <w:pPr>
        <w:pStyle w:val="3"/>
        <w:spacing w:after="0" w:line="580" w:lineRule="exact"/>
        <w:ind w:left="0" w:leftChars="0" w:firstLine="643"/>
        <w:rPr>
          <w:rFonts w:ascii="楷体" w:hAnsi="楷体" w:eastAsia="楷体" w:cs="仿宋_GB2312"/>
          <w:b/>
          <w:snapToGrid w:val="0"/>
          <w:sz w:val="32"/>
          <w:szCs w:val="32"/>
        </w:rPr>
      </w:pPr>
      <w:r>
        <w:rPr>
          <w:rFonts w:hint="eastAsia" w:ascii="楷体" w:hAnsi="楷体" w:eastAsia="楷体" w:cs="仿宋_GB2312"/>
          <w:b/>
          <w:snapToGrid w:val="0"/>
          <w:sz w:val="32"/>
          <w:szCs w:val="32"/>
        </w:rPr>
        <w:t>1.项目绩效总目标。</w:t>
      </w:r>
      <w:r>
        <w:rPr>
          <w:rFonts w:hint="eastAsia" w:ascii="仿宋_GB2312" w:hAnsi="仿宋_GB2312" w:eastAsia="仿宋_GB2312" w:cs="仿宋_GB2312"/>
          <w:snapToGrid w:val="0"/>
          <w:sz w:val="30"/>
          <w:szCs w:val="30"/>
        </w:rPr>
        <w:t>深入贯彻党的十九大精神，以习近平新时代中国特色社会主义思想为指导，</w:t>
      </w:r>
      <w:r>
        <w:rPr>
          <w:rFonts w:hint="eastAsia" w:ascii="仿宋" w:hAnsi="仿宋" w:eastAsia="仿宋"/>
          <w:sz w:val="30"/>
          <w:szCs w:val="30"/>
        </w:rPr>
        <w:t>以绿色环保、生态文明为发展理念，遵循资源节约、环境友好、循环可利用和人与自然和谐相处的原则，</w:t>
      </w:r>
      <w:r>
        <w:rPr>
          <w:rFonts w:hint="eastAsia" w:ascii="仿宋_GB2312" w:hAnsi="仿宋_GB2312" w:eastAsia="仿宋_GB2312" w:cs="仿宋_GB2312"/>
          <w:snapToGrid w:val="0"/>
          <w:sz w:val="30"/>
          <w:szCs w:val="30"/>
        </w:rPr>
        <w:t>推动我县殡葬改革和殡葬事业发展</w:t>
      </w:r>
      <w:r>
        <w:rPr>
          <w:rFonts w:hint="eastAsia" w:ascii="仿宋_GB2312" w:hAnsi="仿宋_GB2312" w:eastAsia="仿宋_GB2312" w:cs="仿宋_GB2312"/>
          <w:snapToGrid w:val="0"/>
          <w:sz w:val="30"/>
          <w:szCs w:val="30"/>
          <w:highlight w:val="none"/>
          <w:lang w:eastAsia="zh-CN"/>
        </w:rPr>
        <w:t>更好地服务</w:t>
      </w:r>
      <w:r>
        <w:rPr>
          <w:rFonts w:hint="eastAsia" w:ascii="仿宋_GB2312" w:hAnsi="仿宋_GB2312" w:eastAsia="仿宋_GB2312" w:cs="仿宋_GB2312"/>
          <w:snapToGrid w:val="0"/>
          <w:sz w:val="30"/>
          <w:szCs w:val="30"/>
        </w:rPr>
        <w:t>于保障和改善民生、促进精神文明和生态文明建设。</w:t>
      </w:r>
    </w:p>
    <w:p w14:paraId="4995860F">
      <w:pPr>
        <w:pStyle w:val="3"/>
        <w:spacing w:after="0" w:line="580" w:lineRule="exact"/>
        <w:ind w:left="0" w:leftChars="0" w:firstLine="643"/>
        <w:rPr>
          <w:rFonts w:ascii="楷体" w:hAnsi="楷体" w:eastAsia="楷体" w:cs="仿宋_GB2312"/>
          <w:b/>
          <w:snapToGrid w:val="0"/>
          <w:color w:val="auto"/>
          <w:sz w:val="32"/>
          <w:szCs w:val="32"/>
        </w:rPr>
      </w:pPr>
      <w:r>
        <w:rPr>
          <w:rFonts w:hint="eastAsia" w:ascii="楷体" w:hAnsi="楷体" w:eastAsia="楷体" w:cs="仿宋_GB2312"/>
          <w:b/>
          <w:snapToGrid w:val="0"/>
          <w:color w:val="auto"/>
          <w:sz w:val="32"/>
          <w:szCs w:val="32"/>
        </w:rPr>
        <w:t>2.年度目标。</w:t>
      </w:r>
      <w:r>
        <w:rPr>
          <w:rFonts w:hint="eastAsia" w:ascii="仿宋" w:hAnsi="仿宋" w:eastAsia="仿宋" w:cs="仿宋_GB2312"/>
          <w:snapToGrid w:val="0"/>
          <w:color w:val="auto"/>
          <w:sz w:val="32"/>
          <w:szCs w:val="32"/>
        </w:rPr>
        <w:t>殡仪馆</w:t>
      </w:r>
      <w:r>
        <w:rPr>
          <w:rFonts w:ascii="仿宋" w:hAnsi="仿宋" w:eastAsia="仿宋"/>
          <w:color w:val="auto"/>
          <w:sz w:val="32"/>
          <w:szCs w:val="32"/>
        </w:rPr>
        <w:t>项目建设期</w:t>
      </w:r>
      <w:r>
        <w:rPr>
          <w:rFonts w:hint="eastAsia" w:ascii="仿宋" w:hAnsi="仿宋" w:eastAsia="仿宋"/>
          <w:color w:val="auto"/>
          <w:sz w:val="32"/>
          <w:szCs w:val="32"/>
          <w:lang w:val="en-US" w:eastAsia="zh-CN"/>
        </w:rPr>
        <w:t>22</w:t>
      </w:r>
      <w:r>
        <w:rPr>
          <w:rFonts w:eastAsia="仿宋_GB2312"/>
          <w:color w:val="auto"/>
          <w:sz w:val="32"/>
          <w:szCs w:val="32"/>
        </w:rPr>
        <w:t>个月，预计202</w:t>
      </w:r>
      <w:r>
        <w:rPr>
          <w:rFonts w:hint="eastAsia" w:eastAsia="仿宋_GB2312"/>
          <w:color w:val="auto"/>
          <w:sz w:val="32"/>
          <w:szCs w:val="32"/>
          <w:lang w:val="en-US" w:eastAsia="zh-CN"/>
        </w:rPr>
        <w:t>5</w:t>
      </w:r>
      <w:r>
        <w:rPr>
          <w:rFonts w:eastAsia="仿宋_GB2312"/>
          <w:color w:val="auto"/>
          <w:sz w:val="32"/>
          <w:szCs w:val="32"/>
        </w:rPr>
        <w:t>年</w:t>
      </w:r>
      <w:r>
        <w:rPr>
          <w:rFonts w:hint="eastAsia" w:eastAsia="仿宋_GB2312"/>
          <w:color w:val="auto"/>
          <w:sz w:val="32"/>
          <w:szCs w:val="32"/>
          <w:lang w:val="en-US" w:eastAsia="zh-CN"/>
        </w:rPr>
        <w:t>10月</w:t>
      </w:r>
      <w:r>
        <w:rPr>
          <w:rFonts w:eastAsia="仿宋_GB2312"/>
          <w:color w:val="auto"/>
          <w:sz w:val="32"/>
          <w:szCs w:val="32"/>
        </w:rPr>
        <w:t>投入运营。</w:t>
      </w:r>
    </w:p>
    <w:p w14:paraId="4D6DAA25">
      <w:pPr>
        <w:pStyle w:val="3"/>
        <w:spacing w:after="0" w:line="580" w:lineRule="exact"/>
        <w:ind w:left="0" w:leftChars="0" w:firstLine="640"/>
        <w:rPr>
          <w:rFonts w:ascii="黑体" w:hAnsi="黑体" w:eastAsia="黑体"/>
          <w:sz w:val="32"/>
          <w:szCs w:val="32"/>
        </w:rPr>
      </w:pPr>
      <w:r>
        <w:rPr>
          <w:rFonts w:hint="eastAsia" w:ascii="黑体" w:hAnsi="黑体" w:eastAsia="黑体"/>
          <w:sz w:val="32"/>
          <w:szCs w:val="32"/>
        </w:rPr>
        <w:t xml:space="preserve">二、项目资金使用及管理情况 </w:t>
      </w:r>
    </w:p>
    <w:p w14:paraId="393FEAB0">
      <w:pPr>
        <w:pStyle w:val="3"/>
        <w:spacing w:after="0" w:line="580" w:lineRule="exact"/>
        <w:ind w:left="0" w:leftChars="0" w:firstLine="643"/>
        <w:rPr>
          <w:rFonts w:ascii="仿宋_GB2312" w:eastAsia="仿宋_GB2312"/>
          <w:sz w:val="32"/>
          <w:szCs w:val="32"/>
        </w:rPr>
      </w:pPr>
      <w:r>
        <w:rPr>
          <w:rFonts w:hint="eastAsia" w:ascii="仿宋_GB2312" w:eastAsia="仿宋_GB2312"/>
          <w:b/>
          <w:sz w:val="32"/>
          <w:szCs w:val="32"/>
        </w:rPr>
        <w:t>（一）资金应到位及实际到位情况：</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年申请政府专项债券</w:t>
      </w:r>
      <w:r>
        <w:rPr>
          <w:rFonts w:hint="eastAsia" w:ascii="仿宋_GB2312" w:eastAsia="仿宋_GB2312"/>
          <w:sz w:val="32"/>
          <w:szCs w:val="32"/>
          <w:lang w:val="en-US" w:eastAsia="zh-CN"/>
        </w:rPr>
        <w:t>5</w:t>
      </w:r>
      <w:r>
        <w:rPr>
          <w:rFonts w:hint="eastAsia" w:ascii="仿宋_GB2312" w:eastAsia="仿宋_GB2312"/>
          <w:sz w:val="32"/>
          <w:szCs w:val="32"/>
        </w:rPr>
        <w:t>000万元，</w:t>
      </w:r>
      <w:r>
        <w:rPr>
          <w:rFonts w:hint="eastAsia" w:ascii="仿宋_GB2312" w:eastAsia="仿宋_GB2312"/>
          <w:sz w:val="32"/>
          <w:szCs w:val="32"/>
          <w:lang w:val="en-US" w:eastAsia="zh-CN"/>
        </w:rPr>
        <w:t>2024年</w:t>
      </w:r>
      <w:r>
        <w:rPr>
          <w:rFonts w:hint="eastAsia" w:ascii="仿宋_GB2312" w:eastAsia="仿宋_GB2312"/>
          <w:sz w:val="32"/>
          <w:szCs w:val="32"/>
        </w:rPr>
        <w:t>实际到位</w:t>
      </w:r>
      <w:r>
        <w:rPr>
          <w:rFonts w:hint="eastAsia" w:ascii="仿宋_GB2312" w:eastAsia="仿宋_GB2312"/>
          <w:sz w:val="32"/>
          <w:szCs w:val="32"/>
          <w:lang w:val="en-US" w:eastAsia="zh-CN"/>
        </w:rPr>
        <w:t>5</w:t>
      </w:r>
      <w:r>
        <w:rPr>
          <w:rFonts w:hint="eastAsia" w:ascii="仿宋_GB2312" w:eastAsia="仿宋_GB2312"/>
          <w:sz w:val="32"/>
          <w:szCs w:val="32"/>
        </w:rPr>
        <w:t>000万元。</w:t>
      </w:r>
    </w:p>
    <w:p w14:paraId="2557D9E8">
      <w:pPr>
        <w:pStyle w:val="3"/>
        <w:spacing w:after="0" w:line="580" w:lineRule="exact"/>
        <w:ind w:left="0" w:leftChars="0" w:firstLine="643"/>
        <w:rPr>
          <w:rFonts w:ascii="仿宋_GB2312" w:eastAsia="仿宋_GB2312"/>
          <w:sz w:val="32"/>
          <w:szCs w:val="32"/>
        </w:rPr>
      </w:pPr>
      <w:r>
        <w:rPr>
          <w:rFonts w:hint="eastAsia" w:ascii="仿宋_GB2312" w:eastAsia="仿宋_GB2312"/>
          <w:b/>
          <w:sz w:val="32"/>
          <w:szCs w:val="32"/>
        </w:rPr>
        <w:t>（二）资金实际使用情况：</w:t>
      </w:r>
      <w:r>
        <w:rPr>
          <w:rFonts w:hint="eastAsia" w:ascii="仿宋_GB2312" w:eastAsia="仿宋_GB2312"/>
          <w:sz w:val="32"/>
          <w:szCs w:val="32"/>
        </w:rPr>
        <w:t>截至202</w:t>
      </w:r>
      <w:r>
        <w:rPr>
          <w:rFonts w:hint="eastAsia" w:ascii="仿宋_GB2312" w:eastAsia="仿宋_GB2312"/>
          <w:sz w:val="32"/>
          <w:szCs w:val="32"/>
          <w:lang w:val="en-US" w:eastAsia="zh-CN"/>
        </w:rPr>
        <w:t>5</w:t>
      </w:r>
      <w:r>
        <w:rPr>
          <w:rFonts w:hint="eastAsia" w:ascii="仿宋_GB2312" w:eastAsia="仿宋_GB2312"/>
          <w:sz w:val="32"/>
          <w:szCs w:val="32"/>
        </w:rPr>
        <w:t>年</w:t>
      </w:r>
      <w:r>
        <w:rPr>
          <w:rFonts w:hint="eastAsia" w:ascii="仿宋_GB2312" w:eastAsia="仿宋_GB2312"/>
          <w:sz w:val="32"/>
          <w:szCs w:val="32"/>
          <w:lang w:val="en-US" w:eastAsia="zh-CN"/>
        </w:rPr>
        <w:t>1</w:t>
      </w:r>
      <w:r>
        <w:rPr>
          <w:rFonts w:hint="eastAsia" w:ascii="仿宋_GB2312" w:eastAsia="仿宋_GB2312"/>
          <w:sz w:val="32"/>
          <w:szCs w:val="32"/>
        </w:rPr>
        <w:t>月，已使用债券资金</w:t>
      </w:r>
      <w:r>
        <w:rPr>
          <w:rFonts w:hint="eastAsia" w:ascii="仿宋_GB2312" w:eastAsia="仿宋_GB2312"/>
          <w:sz w:val="32"/>
          <w:szCs w:val="32"/>
          <w:lang w:val="en-US" w:eastAsia="zh-CN"/>
        </w:rPr>
        <w:t>451.62</w:t>
      </w:r>
      <w:r>
        <w:rPr>
          <w:rFonts w:hint="eastAsia" w:ascii="仿宋_GB2312" w:eastAsia="仿宋_GB2312"/>
          <w:sz w:val="32"/>
          <w:szCs w:val="32"/>
        </w:rPr>
        <w:t>万元。</w:t>
      </w:r>
    </w:p>
    <w:p w14:paraId="6BFFAAFA">
      <w:pPr>
        <w:pStyle w:val="3"/>
        <w:spacing w:after="0" w:line="580" w:lineRule="exact"/>
        <w:ind w:left="0" w:leftChars="0" w:firstLine="643"/>
        <w:rPr>
          <w:rFonts w:ascii="仿宋_GB2312" w:eastAsia="仿宋_GB2312"/>
          <w:sz w:val="32"/>
          <w:szCs w:val="32"/>
        </w:rPr>
      </w:pPr>
      <w:r>
        <w:rPr>
          <w:rFonts w:hint="eastAsia" w:ascii="仿宋_GB2312" w:eastAsia="仿宋_GB2312"/>
          <w:b/>
          <w:sz w:val="32"/>
          <w:szCs w:val="32"/>
        </w:rPr>
        <w:t>（三）资金管理情况分析：</w:t>
      </w:r>
      <w:r>
        <w:rPr>
          <w:rFonts w:hint="eastAsia" w:ascii="仿宋_GB2312" w:eastAsia="仿宋_GB2312"/>
          <w:sz w:val="32"/>
          <w:szCs w:val="32"/>
        </w:rPr>
        <w:t>项目所有开支均按照国有建设单位制度执行，资金的使用全部实行专账管理，专款专用，严格把关，整个项目的运行完全按照我单位内部管理制度、县委、县政府及财政的有关规定执行。专项资金的使用无截留、挪用、挤占现象，资金支出范围和程序规范。</w:t>
      </w:r>
    </w:p>
    <w:p w14:paraId="2BB030C0">
      <w:pPr>
        <w:pStyle w:val="3"/>
        <w:spacing w:after="0" w:line="580" w:lineRule="exact"/>
        <w:ind w:left="0" w:leftChars="0" w:firstLine="640"/>
        <w:rPr>
          <w:rFonts w:ascii="黑体" w:hAnsi="黑体" w:eastAsia="黑体"/>
          <w:sz w:val="32"/>
          <w:szCs w:val="32"/>
        </w:rPr>
      </w:pPr>
      <w:r>
        <w:rPr>
          <w:rFonts w:hint="eastAsia" w:ascii="黑体" w:hAnsi="黑体" w:eastAsia="黑体"/>
          <w:sz w:val="32"/>
          <w:szCs w:val="32"/>
        </w:rPr>
        <w:t>三、项目管理情况</w:t>
      </w:r>
    </w:p>
    <w:p w14:paraId="28B3A20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cs="仿宋"/>
          <w:sz w:val="32"/>
          <w:szCs w:val="32"/>
          <w:highlight w:val="none"/>
          <w:lang w:val="en-US" w:eastAsia="zh-CN"/>
        </w:rPr>
        <w:t>新晃侗族自治县</w:t>
      </w:r>
      <w:r>
        <w:rPr>
          <w:rFonts w:hint="eastAsia" w:ascii="仿宋" w:hAnsi="仿宋" w:eastAsia="仿宋" w:cs="仿宋"/>
          <w:sz w:val="32"/>
          <w:szCs w:val="32"/>
          <w:lang w:val="en-US" w:eastAsia="zh-CN"/>
        </w:rPr>
        <w:t>殡仪馆项目原选址位于晃州镇大桥溪村</w:t>
      </w:r>
      <w:r>
        <w:rPr>
          <w:rFonts w:hint="eastAsia" w:ascii="仿宋" w:hAnsi="仿宋" w:eastAsia="仿宋" w:cs="仿宋"/>
          <w:sz w:val="32"/>
          <w:szCs w:val="32"/>
          <w:highlight w:val="none"/>
          <w:lang w:val="en-US" w:eastAsia="zh-CN"/>
        </w:rPr>
        <w:t>蚂蝗</w:t>
      </w:r>
      <w:r>
        <w:rPr>
          <w:rFonts w:hint="eastAsia" w:ascii="仿宋" w:hAnsi="仿宋" w:eastAsia="仿宋" w:cs="仿宋"/>
          <w:sz w:val="32"/>
          <w:szCs w:val="32"/>
          <w:lang w:val="en-US" w:eastAsia="zh-CN"/>
        </w:rPr>
        <w:t>塘组，距县城约4公里，殡仪馆占地面积49.98亩。项目于</w:t>
      </w:r>
      <w:r>
        <w:rPr>
          <w:rFonts w:hint="eastAsia" w:ascii="仿宋_GB2312" w:hAnsi="宋体" w:eastAsia="仿宋_GB2312"/>
          <w:sz w:val="32"/>
          <w:szCs w:val="32"/>
        </w:rPr>
        <w:t>2020年</w:t>
      </w:r>
      <w:r>
        <w:rPr>
          <w:rFonts w:hint="eastAsia" w:ascii="仿宋_GB2312" w:hAnsi="宋体" w:eastAsia="仿宋_GB2312"/>
          <w:sz w:val="32"/>
          <w:szCs w:val="32"/>
          <w:lang w:eastAsia="zh-CN"/>
        </w:rPr>
        <w:t>启动</w:t>
      </w:r>
      <w:r>
        <w:rPr>
          <w:rFonts w:hint="eastAsia" w:ascii="仿宋_GB2312" w:hAnsi="宋体" w:eastAsia="仿宋_GB2312"/>
          <w:sz w:val="32"/>
          <w:szCs w:val="32"/>
        </w:rPr>
        <w:t>，</w:t>
      </w:r>
      <w:r>
        <w:rPr>
          <w:rFonts w:hint="eastAsia" w:ascii="仿宋" w:hAnsi="仿宋" w:eastAsia="仿宋" w:cs="仿宋"/>
          <w:sz w:val="32"/>
          <w:szCs w:val="32"/>
          <w:lang w:eastAsia="zh-CN"/>
        </w:rPr>
        <w:t>建设时间原</w:t>
      </w:r>
      <w:r>
        <w:rPr>
          <w:rFonts w:hint="eastAsia" w:ascii="仿宋" w:hAnsi="仿宋" w:eastAsia="仿宋" w:cs="仿宋"/>
          <w:sz w:val="32"/>
          <w:szCs w:val="32"/>
          <w:lang w:val="en-US" w:eastAsia="zh-CN"/>
        </w:rPr>
        <w:t>预计</w:t>
      </w:r>
      <w:r>
        <w:rPr>
          <w:rFonts w:hint="eastAsia" w:ascii="仿宋" w:hAnsi="仿宋" w:eastAsia="仿宋" w:cs="仿宋"/>
          <w:sz w:val="32"/>
          <w:szCs w:val="32"/>
          <w:lang w:eastAsia="zh-CN"/>
        </w:rPr>
        <w:t>为三年，从</w:t>
      </w:r>
      <w:r>
        <w:rPr>
          <w:rFonts w:hint="eastAsia" w:ascii="仿宋" w:hAnsi="仿宋" w:eastAsia="仿宋" w:cs="仿宋"/>
          <w:sz w:val="32"/>
          <w:szCs w:val="32"/>
        </w:rPr>
        <w:t>2020年11月起至2023年12月止</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该项目</w:t>
      </w:r>
      <w:r>
        <w:rPr>
          <w:rFonts w:hint="eastAsia" w:ascii="仿宋" w:hAnsi="仿宋" w:eastAsia="仿宋"/>
          <w:sz w:val="32"/>
          <w:szCs w:val="32"/>
          <w:lang w:val="en-US" w:eastAsia="zh-CN"/>
        </w:rPr>
        <w:t>2020年</w:t>
      </w:r>
      <w:r>
        <w:rPr>
          <w:rFonts w:hint="eastAsia" w:ascii="仿宋_GB2312" w:hAnsi="宋体" w:eastAsia="仿宋_GB2312"/>
          <w:sz w:val="32"/>
          <w:szCs w:val="32"/>
        </w:rPr>
        <w:t>11月</w:t>
      </w:r>
      <w:r>
        <w:rPr>
          <w:rFonts w:hint="eastAsia" w:ascii="仿宋_GB2312" w:hAnsi="宋体" w:eastAsia="仿宋_GB2312"/>
          <w:sz w:val="32"/>
          <w:szCs w:val="32"/>
          <w:lang w:eastAsia="zh-CN"/>
        </w:rPr>
        <w:t>份</w:t>
      </w:r>
      <w:r>
        <w:rPr>
          <w:rFonts w:hint="eastAsia" w:ascii="仿宋_GB2312" w:hAnsi="宋体" w:eastAsia="仿宋_GB2312"/>
          <w:sz w:val="32"/>
          <w:szCs w:val="32"/>
        </w:rPr>
        <w:t>中标施工单位湖南北山建筑有限公司</w:t>
      </w:r>
      <w:r>
        <w:rPr>
          <w:rFonts w:hint="eastAsia" w:ascii="仿宋_GB2312" w:hAnsi="宋体" w:eastAsia="仿宋_GB2312"/>
          <w:sz w:val="32"/>
          <w:szCs w:val="32"/>
          <w:lang w:eastAsia="zh-CN"/>
        </w:rPr>
        <w:t>和</w:t>
      </w:r>
      <w:r>
        <w:rPr>
          <w:rFonts w:hint="eastAsia" w:ascii="仿宋_GB2312" w:hAnsi="宋体" w:eastAsia="仿宋_GB2312"/>
          <w:sz w:val="32"/>
          <w:szCs w:val="32"/>
        </w:rPr>
        <w:t>监理单位湖南九方项目管理公司</w:t>
      </w:r>
      <w:r>
        <w:rPr>
          <w:rFonts w:hint="eastAsia" w:ascii="仿宋_GB2312" w:hAnsi="宋体" w:eastAsia="仿宋_GB2312"/>
          <w:sz w:val="32"/>
          <w:szCs w:val="32"/>
          <w:lang w:eastAsia="zh-CN"/>
        </w:rPr>
        <w:t>，</w:t>
      </w:r>
      <w:r>
        <w:rPr>
          <w:rFonts w:hint="eastAsia" w:ascii="仿宋_GB2312" w:hAnsi="宋体" w:eastAsia="仿宋_GB2312"/>
          <w:sz w:val="32"/>
          <w:szCs w:val="32"/>
        </w:rPr>
        <w:t>已进行场地平整、土石方工程及入馆道路建设工程施工，</w:t>
      </w:r>
      <w:r>
        <w:rPr>
          <w:rFonts w:hint="eastAsia" w:ascii="仿宋" w:hAnsi="仿宋" w:eastAsia="仿宋"/>
          <w:sz w:val="32"/>
          <w:szCs w:val="32"/>
        </w:rPr>
        <w:t>基本完成场地“三通一平”、场地基础勘测、桩基础</w:t>
      </w:r>
      <w:r>
        <w:rPr>
          <w:rFonts w:hint="eastAsia" w:ascii="仿宋" w:hAnsi="仿宋" w:eastAsia="仿宋"/>
          <w:sz w:val="32"/>
          <w:szCs w:val="32"/>
          <w:lang w:eastAsia="zh-CN"/>
        </w:rPr>
        <w:t>检测</w:t>
      </w:r>
      <w:r>
        <w:rPr>
          <w:rFonts w:hint="eastAsia" w:ascii="仿宋" w:hAnsi="仿宋" w:eastAsia="仿宋"/>
          <w:sz w:val="32"/>
          <w:szCs w:val="32"/>
        </w:rPr>
        <w:t>及入馆道路的路基</w:t>
      </w:r>
      <w:r>
        <w:rPr>
          <w:rFonts w:hint="eastAsia" w:ascii="仿宋" w:hAnsi="仿宋" w:eastAsia="仿宋"/>
          <w:sz w:val="32"/>
          <w:szCs w:val="32"/>
          <w:lang w:eastAsia="zh-CN"/>
        </w:rPr>
        <w:t>工程。期间因新冠疫情等原因停工</w:t>
      </w:r>
      <w:r>
        <w:rPr>
          <w:rFonts w:hint="eastAsia" w:ascii="仿宋" w:hAnsi="仿宋" w:eastAsia="仿宋"/>
          <w:sz w:val="32"/>
          <w:szCs w:val="32"/>
          <w:highlight w:val="none"/>
          <w:lang w:eastAsia="zh-CN"/>
        </w:rPr>
        <w:t>一年</w:t>
      </w:r>
      <w:r>
        <w:rPr>
          <w:rFonts w:hint="eastAsia" w:ascii="仿宋" w:hAnsi="仿宋" w:eastAsia="仿宋"/>
          <w:sz w:val="32"/>
          <w:szCs w:val="32"/>
          <w:lang w:eastAsia="zh-CN"/>
        </w:rPr>
        <w:t>左右。</w:t>
      </w:r>
    </w:p>
    <w:p w14:paraId="68564E5D">
      <w:pPr>
        <w:keepNext w:val="0"/>
        <w:keepLines w:val="0"/>
        <w:widowControl/>
        <w:suppressLineNumbers w:val="0"/>
        <w:ind w:firstLine="640" w:firstLineChars="200"/>
        <w:jc w:val="both"/>
        <w:rPr>
          <w:rFonts w:hint="default"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2022年7月26日，</w:t>
      </w:r>
      <w:r>
        <w:rPr>
          <w:rFonts w:hint="default" w:ascii="仿宋" w:hAnsi="仿宋" w:eastAsia="仿宋" w:cs="仿宋"/>
          <w:b w:val="0"/>
          <w:bCs w:val="0"/>
          <w:kern w:val="2"/>
          <w:sz w:val="32"/>
          <w:szCs w:val="32"/>
          <w:lang w:val="en-US" w:eastAsia="zh-CN" w:bidi="ar-SA"/>
        </w:rPr>
        <w:t>中共怀化市委</w:t>
      </w:r>
      <w:r>
        <w:rPr>
          <w:rFonts w:hint="eastAsia" w:ascii="仿宋" w:hAnsi="仿宋" w:eastAsia="仿宋" w:cs="仿宋"/>
          <w:b w:val="0"/>
          <w:bCs w:val="0"/>
          <w:kern w:val="2"/>
          <w:sz w:val="32"/>
          <w:szCs w:val="32"/>
          <w:lang w:val="en-US" w:eastAsia="zh-CN" w:bidi="ar-SA"/>
        </w:rPr>
        <w:t>作出《</w:t>
      </w:r>
      <w:r>
        <w:rPr>
          <w:rFonts w:hint="default" w:ascii="仿宋" w:hAnsi="仿宋" w:eastAsia="仿宋" w:cs="仿宋"/>
          <w:b w:val="0"/>
          <w:bCs w:val="0"/>
          <w:kern w:val="2"/>
          <w:sz w:val="32"/>
          <w:szCs w:val="32"/>
          <w:lang w:val="en-US" w:eastAsia="zh-CN" w:bidi="ar-SA"/>
        </w:rPr>
        <w:t>关于加快建设怀化国际陆港全力推动高水平开放高质量发展的决定</w:t>
      </w:r>
      <w:r>
        <w:rPr>
          <w:rFonts w:hint="eastAsia" w:ascii="仿宋" w:hAnsi="仿宋" w:eastAsia="仿宋" w:cs="仿宋"/>
          <w:b w:val="0"/>
          <w:bCs w:val="0"/>
          <w:kern w:val="2"/>
          <w:sz w:val="32"/>
          <w:szCs w:val="32"/>
          <w:lang w:val="en-US" w:eastAsia="zh-CN" w:bidi="ar-SA"/>
        </w:rPr>
        <w:t>》。</w:t>
      </w:r>
      <w:r>
        <w:rPr>
          <w:rFonts w:hint="eastAsia" w:ascii="仿宋" w:hAnsi="仿宋" w:eastAsia="仿宋" w:cs="仿宋"/>
          <w:b w:val="0"/>
          <w:bCs w:val="0"/>
          <w:kern w:val="2"/>
          <w:sz w:val="32"/>
          <w:szCs w:val="32"/>
          <w:highlight w:val="none"/>
          <w:lang w:val="en-US" w:eastAsia="zh-CN" w:bidi="ar-SA"/>
        </w:rPr>
        <w:t>新晃县</w:t>
      </w:r>
      <w:r>
        <w:rPr>
          <w:rFonts w:hint="eastAsia" w:ascii="仿宋" w:hAnsi="仿宋" w:eastAsia="仿宋" w:cs="仿宋"/>
          <w:b w:val="0"/>
          <w:bCs w:val="0"/>
          <w:kern w:val="2"/>
          <w:sz w:val="32"/>
          <w:szCs w:val="32"/>
          <w:lang w:val="en-US" w:eastAsia="zh-CN" w:bidi="ar-SA"/>
        </w:rPr>
        <w:t>抢抓发展机遇，于8月17日作出《中共新晃侗族自治县委关于加快融入怀化国际陆港建设全力推动高水平开放高质量发展的决定》，其中新晃大新公铁联运物流园是融入怀化国际陆港建设的“第一工程”。因新晃大新公铁联运物流园建设选址的特殊性，与原殡仪馆项目距离较近。为避免殡仪馆项目对新晃大新公铁联运物流园未来发展的不利影响，我县决定殡仪馆项目重新选址建设，</w:t>
      </w:r>
      <w:r>
        <w:rPr>
          <w:rFonts w:hint="eastAsia" w:ascii="仿宋" w:hAnsi="仿宋" w:eastAsia="仿宋" w:cs="仿宋"/>
          <w:sz w:val="32"/>
          <w:szCs w:val="32"/>
          <w:lang w:eastAsia="zh-CN"/>
        </w:rPr>
        <w:t>现址</w:t>
      </w:r>
      <w:r>
        <w:rPr>
          <w:rFonts w:hint="eastAsia" w:ascii="仿宋" w:hAnsi="仿宋" w:eastAsia="仿宋" w:cs="仿宋"/>
          <w:sz w:val="32"/>
          <w:szCs w:val="32"/>
          <w:lang w:val="en-US" w:eastAsia="zh-CN"/>
        </w:rPr>
        <w:t>位于晃州镇水洞村、大洞坪村320绕城线弃土场，</w:t>
      </w:r>
      <w:r>
        <w:rPr>
          <w:rFonts w:hint="eastAsia" w:ascii="仿宋" w:hAnsi="仿宋" w:eastAsia="仿宋" w:cs="仿宋"/>
          <w:sz w:val="32"/>
          <w:szCs w:val="32"/>
        </w:rPr>
        <w:t>距县城约4公里，</w:t>
      </w:r>
      <w:r>
        <w:rPr>
          <w:rFonts w:hint="eastAsia" w:ascii="仿宋" w:hAnsi="仿宋" w:eastAsia="仿宋" w:cs="仿宋"/>
          <w:b w:val="0"/>
          <w:bCs w:val="0"/>
          <w:kern w:val="2"/>
          <w:sz w:val="32"/>
          <w:szCs w:val="32"/>
          <w:lang w:val="en-US" w:eastAsia="zh-CN" w:bidi="ar-SA"/>
        </w:rPr>
        <w:t>新址用地报批46.218亩。项目新址的平面布置图、建设项目用地预审与选址意见书、土地征收、选址规划许可、环境评估、林地审批、初步规划设计用地报批以及水保方案编制工作等工作已全部完成</w:t>
      </w:r>
      <w:r>
        <w:rPr>
          <w:rFonts w:hint="eastAsia" w:ascii="仿宋" w:hAnsi="仿宋" w:eastAsia="仿宋" w:cs="仿宋"/>
          <w:b w:val="0"/>
          <w:bCs w:val="0"/>
          <w:kern w:val="2"/>
          <w:sz w:val="32"/>
          <w:szCs w:val="32"/>
          <w:highlight w:val="none"/>
          <w:lang w:val="en-US" w:eastAsia="zh-CN" w:bidi="ar-SA"/>
        </w:rPr>
        <w:t>，</w:t>
      </w:r>
      <w:r>
        <w:rPr>
          <w:rFonts w:hint="eastAsia" w:ascii="仿宋" w:hAnsi="仿宋" w:eastAsia="仿宋" w:cs="仿宋"/>
          <w:b w:val="0"/>
          <w:bCs w:val="0"/>
          <w:kern w:val="2"/>
          <w:sz w:val="32"/>
          <w:szCs w:val="32"/>
          <w:lang w:val="en-US" w:eastAsia="zh-CN" w:bidi="ar-SA"/>
        </w:rPr>
        <w:t>并已全面动工。</w:t>
      </w:r>
      <w:r>
        <w:rPr>
          <w:rFonts w:hint="eastAsia" w:ascii="仿宋" w:hAnsi="仿宋" w:eastAsia="仿宋" w:cs="仿宋"/>
          <w:b w:val="0"/>
          <w:bCs w:val="0"/>
          <w:kern w:val="2"/>
          <w:sz w:val="32"/>
          <w:szCs w:val="32"/>
          <w:highlight w:val="none"/>
          <w:lang w:val="en-US" w:eastAsia="zh-CN" w:bidi="ar-SA"/>
        </w:rPr>
        <w:t>截至</w:t>
      </w:r>
      <w:r>
        <w:rPr>
          <w:rFonts w:hint="eastAsia" w:ascii="仿宋" w:hAnsi="仿宋" w:eastAsia="仿宋" w:cs="仿宋"/>
          <w:b w:val="0"/>
          <w:bCs w:val="0"/>
          <w:kern w:val="2"/>
          <w:sz w:val="32"/>
          <w:szCs w:val="32"/>
          <w:lang w:val="en-US" w:eastAsia="zh-CN" w:bidi="ar-SA"/>
        </w:rPr>
        <w:t>2024年12月，殡仪馆项目新址已完成场地“三通一平”以及所有建筑桩基础开挖和浇筑工程，力争在2025年10月底前完成项目主体建筑施工并投入使用。</w:t>
      </w:r>
    </w:p>
    <w:p w14:paraId="491B6F66">
      <w:pPr>
        <w:pStyle w:val="3"/>
        <w:spacing w:after="0" w:line="580" w:lineRule="exact"/>
        <w:ind w:left="0" w:leftChars="0" w:firstLine="640"/>
        <w:rPr>
          <w:rFonts w:ascii="黑体" w:hAnsi="黑体" w:eastAsia="黑体"/>
          <w:sz w:val="32"/>
          <w:szCs w:val="32"/>
        </w:rPr>
      </w:pPr>
      <w:bookmarkStart w:id="0" w:name="_GoBack"/>
      <w:r>
        <w:rPr>
          <w:rFonts w:hint="eastAsia" w:ascii="黑体" w:hAnsi="黑体" w:eastAsia="黑体"/>
          <w:sz w:val="32"/>
          <w:szCs w:val="32"/>
        </w:rPr>
        <w:t>四、债务信息报送与公开</w:t>
      </w:r>
    </w:p>
    <w:bookmarkEnd w:id="0"/>
    <w:p w14:paraId="4F63152F">
      <w:pPr>
        <w:pStyle w:val="3"/>
        <w:spacing w:after="0" w:line="580" w:lineRule="exact"/>
        <w:ind w:left="0" w:leftChars="0" w:firstLine="640"/>
        <w:rPr>
          <w:rFonts w:ascii="仿宋_GB2312" w:eastAsia="仿宋_GB2312"/>
          <w:sz w:val="32"/>
          <w:szCs w:val="32"/>
        </w:rPr>
      </w:pPr>
      <w:r>
        <w:rPr>
          <w:rFonts w:hint="eastAsia" w:ascii="仿宋_GB2312" w:eastAsia="仿宋_GB2312"/>
          <w:sz w:val="32"/>
          <w:szCs w:val="32"/>
        </w:rPr>
        <w:t>每月按时将债务信息报送县财政局债务股。</w:t>
      </w:r>
    </w:p>
    <w:p w14:paraId="3442BA20">
      <w:pPr>
        <w:pStyle w:val="3"/>
        <w:spacing w:after="0" w:line="580" w:lineRule="exact"/>
        <w:ind w:left="0" w:leftChars="0" w:firstLine="640"/>
        <w:rPr>
          <w:rFonts w:ascii="黑体" w:hAnsi="黑体" w:eastAsia="黑体"/>
          <w:sz w:val="32"/>
          <w:szCs w:val="32"/>
        </w:rPr>
      </w:pPr>
      <w:r>
        <w:rPr>
          <w:rFonts w:hint="eastAsia" w:ascii="黑体" w:hAnsi="黑体" w:eastAsia="黑体"/>
          <w:sz w:val="32"/>
          <w:szCs w:val="32"/>
        </w:rPr>
        <w:t>五、债务风险控制与还本付息情况</w:t>
      </w:r>
    </w:p>
    <w:p w14:paraId="65FE1FEF">
      <w:pPr>
        <w:spacing w:line="580" w:lineRule="exact"/>
        <w:ind w:firstLine="640" w:firstLineChars="200"/>
        <w:rPr>
          <w:rFonts w:hint="default" w:eastAsia="仿宋_GB2312"/>
          <w:sz w:val="32"/>
          <w:szCs w:val="32"/>
        </w:rPr>
      </w:pPr>
      <w:r>
        <w:rPr>
          <w:rFonts w:hint="default" w:eastAsia="仿宋_GB2312"/>
          <w:sz w:val="32"/>
          <w:szCs w:val="32"/>
        </w:rPr>
        <w:t>新晃侗族自治县殡葬服务体系项目</w:t>
      </w:r>
      <w:r>
        <w:rPr>
          <w:rFonts w:hint="default" w:eastAsia="仿宋_GB2312"/>
          <w:sz w:val="32"/>
        </w:rPr>
        <w:t>专项债券</w:t>
      </w:r>
      <w:r>
        <w:rPr>
          <w:rFonts w:eastAsia="仿宋_GB2312"/>
          <w:sz w:val="32"/>
        </w:rPr>
        <w:t>还本付息以墓地出售、灵堂出租收入为基础，按照预估的运营成本，本期新晃侗族自治县殡葬服务体系专项项目专项债券存续期间有稳定的政府性基金收入及专项收入，可覆盖债券存续期间本息和支出需求。</w:t>
      </w:r>
    </w:p>
    <w:p w14:paraId="69D3112D">
      <w:pPr>
        <w:pStyle w:val="3"/>
        <w:spacing w:after="0" w:line="580" w:lineRule="exact"/>
        <w:ind w:left="0" w:leftChars="0" w:firstLine="640"/>
        <w:rPr>
          <w:rFonts w:ascii="黑体" w:hAnsi="黑体" w:eastAsia="黑体"/>
          <w:sz w:val="32"/>
          <w:szCs w:val="32"/>
        </w:rPr>
      </w:pPr>
      <w:r>
        <w:rPr>
          <w:rFonts w:hint="eastAsia" w:ascii="黑体" w:hAnsi="黑体" w:eastAsia="黑体"/>
          <w:sz w:val="32"/>
          <w:szCs w:val="32"/>
        </w:rPr>
        <w:t>六、项目资金绩效情况</w:t>
      </w:r>
    </w:p>
    <w:p w14:paraId="5E83D17D">
      <w:pPr>
        <w:pStyle w:val="3"/>
        <w:spacing w:after="0" w:line="580" w:lineRule="exact"/>
        <w:ind w:left="0" w:leftChars="0" w:firstLine="640"/>
        <w:rPr>
          <w:rFonts w:eastAsia="仿宋_GB2312"/>
          <w:sz w:val="32"/>
          <w:szCs w:val="32"/>
        </w:rPr>
      </w:pPr>
      <w:r>
        <w:rPr>
          <w:rFonts w:hint="eastAsia" w:eastAsia="仿宋_GB2312"/>
          <w:sz w:val="32"/>
          <w:szCs w:val="32"/>
        </w:rPr>
        <w:t>该项目立项依据充分、程序规范、目标合理、指标明确、预算编制科学合理。已完成勘察、设计、用地、环</w:t>
      </w:r>
      <w:r>
        <w:rPr>
          <w:rFonts w:eastAsia="仿宋_GB2312"/>
          <w:sz w:val="32"/>
          <w:szCs w:val="32"/>
        </w:rPr>
        <w:t>评</w:t>
      </w:r>
      <w:r>
        <w:rPr>
          <w:rFonts w:hint="eastAsia" w:eastAsia="仿宋_GB2312"/>
          <w:sz w:val="32"/>
          <w:szCs w:val="32"/>
        </w:rPr>
        <w:t>等前期批复手续，</w:t>
      </w:r>
      <w:r>
        <w:rPr>
          <w:rFonts w:eastAsia="仿宋_GB2312"/>
          <w:sz w:val="32"/>
          <w:szCs w:val="32"/>
        </w:rPr>
        <w:t>编制了《</w:t>
      </w:r>
      <w:r>
        <w:rPr>
          <w:rFonts w:hint="eastAsia" w:eastAsia="仿宋_GB2312"/>
          <w:sz w:val="32"/>
          <w:szCs w:val="32"/>
          <w:highlight w:val="none"/>
          <w:lang w:eastAsia="zh-CN"/>
        </w:rPr>
        <w:t>新晃侗族自治县</w:t>
      </w:r>
      <w:r>
        <w:rPr>
          <w:rFonts w:eastAsia="仿宋_GB2312"/>
          <w:sz w:val="32"/>
          <w:szCs w:val="32"/>
        </w:rPr>
        <w:t>2020年社会事业专项债券新晃侗族自治县殡葬服务体系专项项目项目预期收益与融资平衡方案</w:t>
      </w:r>
      <w:r>
        <w:rPr>
          <w:rFonts w:hint="eastAsia" w:eastAsia="仿宋_GB2312"/>
          <w:sz w:val="32"/>
          <w:szCs w:val="32"/>
          <w:highlight w:val="none"/>
          <w:lang w:eastAsia="zh-CN"/>
        </w:rPr>
        <w:t>》《</w:t>
      </w:r>
      <w:r>
        <w:rPr>
          <w:rFonts w:eastAsia="仿宋_GB2312"/>
          <w:sz w:val="32"/>
          <w:szCs w:val="32"/>
        </w:rPr>
        <w:t>中审华会计师事务所（特殊普通合伙）湖南分所关于湖南省怀化市2020年社会事业项目收益专项债券项目收益与融资自求平衡专项评价报告</w:t>
      </w:r>
      <w:r>
        <w:rPr>
          <w:rFonts w:hint="eastAsia" w:eastAsia="仿宋_GB2312"/>
          <w:sz w:val="32"/>
          <w:szCs w:val="32"/>
          <w:highlight w:val="none"/>
          <w:lang w:eastAsia="zh-CN"/>
        </w:rPr>
        <w:t>》《</w:t>
      </w:r>
      <w:r>
        <w:rPr>
          <w:rFonts w:eastAsia="仿宋_GB2312"/>
          <w:sz w:val="32"/>
          <w:szCs w:val="32"/>
        </w:rPr>
        <w:t>湖南启元律师事务所关于湖南省怀化市2020年社会事业专项债券的法律意见书》。</w:t>
      </w:r>
    </w:p>
    <w:p w14:paraId="76E30054">
      <w:pPr>
        <w:pStyle w:val="3"/>
        <w:spacing w:after="0" w:line="580" w:lineRule="exact"/>
        <w:ind w:left="0" w:leftChars="0" w:firstLine="627" w:firstLineChars="196"/>
        <w:rPr>
          <w:rFonts w:ascii="黑体" w:hAnsi="黑体" w:eastAsia="黑体"/>
          <w:sz w:val="32"/>
          <w:szCs w:val="32"/>
        </w:rPr>
      </w:pPr>
      <w:r>
        <w:rPr>
          <w:rFonts w:hint="eastAsia" w:ascii="黑体" w:hAnsi="黑体" w:eastAsia="黑体"/>
          <w:sz w:val="32"/>
          <w:szCs w:val="32"/>
        </w:rPr>
        <w:t>七、存在的问题及原因分析</w:t>
      </w:r>
    </w:p>
    <w:p w14:paraId="722647CC">
      <w:pPr>
        <w:spacing w:line="580" w:lineRule="exact"/>
        <w:ind w:firstLine="643" w:firstLineChars="200"/>
        <w:rPr>
          <w:rFonts w:hint="eastAsia" w:ascii="仿宋_GB2312" w:hAnsi="宋体" w:eastAsia="仿宋_GB2312" w:cs="宋体"/>
          <w:sz w:val="32"/>
          <w:szCs w:val="32"/>
          <w:lang w:eastAsia="zh-CN"/>
        </w:rPr>
      </w:pPr>
      <w:r>
        <w:rPr>
          <w:rFonts w:hint="eastAsia" w:ascii="仿宋" w:hAnsi="仿宋" w:eastAsia="仿宋" w:cs="仿宋"/>
          <w:b/>
          <w:bCs/>
          <w:sz w:val="32"/>
          <w:szCs w:val="32"/>
        </w:rPr>
        <w:t>债券资金使用进度缓慢。</w:t>
      </w:r>
      <w:r>
        <w:rPr>
          <w:rFonts w:ascii="仿宋_GB2312" w:eastAsia="仿宋_GB2312"/>
          <w:sz w:val="32"/>
          <w:szCs w:val="32"/>
        </w:rPr>
        <w:t>目前该项目债券资金使用率为</w:t>
      </w:r>
      <w:r>
        <w:rPr>
          <w:rFonts w:hint="eastAsia" w:ascii="仿宋_GB2312" w:eastAsia="仿宋_GB2312"/>
          <w:sz w:val="32"/>
          <w:szCs w:val="32"/>
          <w:lang w:val="en-US" w:eastAsia="zh-CN"/>
        </w:rPr>
        <w:t>9</w:t>
      </w:r>
      <w:r>
        <w:rPr>
          <w:rFonts w:ascii="仿宋_GB2312" w:eastAsia="仿宋_GB2312"/>
          <w:sz w:val="32"/>
          <w:szCs w:val="32"/>
        </w:rPr>
        <w:t>%</w:t>
      </w:r>
      <w:r>
        <w:rPr>
          <w:rFonts w:hint="eastAsia" w:ascii="仿宋_GB2312" w:eastAsia="仿宋_GB2312"/>
          <w:sz w:val="32"/>
          <w:szCs w:val="32"/>
          <w:lang w:eastAsia="zh-CN"/>
        </w:rPr>
        <w:t>，因为更换项目选址后需重新进行报批流程，延长了项目建设时间，导致资金拨付率低。接下来，我局将全力推进殡葬项目实施进度，确保殡仪馆项目按时完工。</w:t>
      </w:r>
    </w:p>
    <w:p w14:paraId="257F0A90">
      <w:pPr>
        <w:pStyle w:val="3"/>
        <w:spacing w:line="580" w:lineRule="exact"/>
      </w:pPr>
    </w:p>
    <w:p w14:paraId="6A09EAFB">
      <w:pPr>
        <w:pStyle w:val="3"/>
        <w:spacing w:line="580" w:lineRule="exact"/>
      </w:pPr>
    </w:p>
    <w:p w14:paraId="274B74A8">
      <w:pPr>
        <w:pStyle w:val="3"/>
        <w:spacing w:line="580" w:lineRule="exact"/>
        <w:rPr>
          <w:rFonts w:ascii="仿宋_GB2312" w:hAnsi="宋体" w:eastAsia="仿宋_GB2312" w:cs="宋体"/>
          <w:sz w:val="32"/>
          <w:szCs w:val="32"/>
        </w:rPr>
      </w:pPr>
      <w:r>
        <w:rPr>
          <w:rFonts w:hint="eastAsia"/>
        </w:rPr>
        <w:t xml:space="preserve">                                </w:t>
      </w:r>
      <w:r>
        <w:rPr>
          <w:rFonts w:hint="eastAsia" w:ascii="仿宋_GB2312" w:hAnsi="宋体" w:eastAsia="仿宋_GB2312" w:cs="宋体"/>
          <w:sz w:val="32"/>
          <w:szCs w:val="32"/>
        </w:rPr>
        <w:t xml:space="preserve">  新晃侗族自治县民政局</w:t>
      </w:r>
    </w:p>
    <w:p w14:paraId="46E5FB1A">
      <w:pPr>
        <w:ind w:firstLine="4800" w:firstLineChars="1500"/>
        <w:rPr>
          <w:rFonts w:hint="default" w:eastAsia="宋体"/>
          <w:lang w:val="en-US" w:eastAsia="zh-CN"/>
        </w:rPr>
      </w:pPr>
      <w:r>
        <w:rPr>
          <w:rFonts w:hint="eastAsia" w:ascii="仿宋_GB2312" w:hAnsi="宋体" w:eastAsia="仿宋_GB2312" w:cs="宋体"/>
          <w:sz w:val="32"/>
          <w:szCs w:val="32"/>
          <w:lang w:val="en-US" w:eastAsia="zh-CN"/>
        </w:rPr>
        <w:t>2025年3月18日</w:t>
      </w:r>
    </w:p>
    <w:sectPr>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405694"/>
    <w:rsid w:val="001C19D9"/>
    <w:rsid w:val="034018FF"/>
    <w:rsid w:val="0E3F3C96"/>
    <w:rsid w:val="0EDB42AC"/>
    <w:rsid w:val="140432BB"/>
    <w:rsid w:val="22056B7C"/>
    <w:rsid w:val="23B1063E"/>
    <w:rsid w:val="29852351"/>
    <w:rsid w:val="52C673B2"/>
    <w:rsid w:val="5832056F"/>
    <w:rsid w:val="5D405694"/>
    <w:rsid w:val="6DA55AEF"/>
    <w:rsid w:val="70840239"/>
    <w:rsid w:val="71857B0D"/>
    <w:rsid w:val="72B8241C"/>
    <w:rsid w:val="78993AB2"/>
    <w:rsid w:val="7CB400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567"/>
    </w:pPr>
    <w:rPr>
      <w:rFonts w:ascii="宋体"/>
      <w:sz w:val="28"/>
    </w:rPr>
  </w:style>
  <w:style w:type="paragraph" w:styleId="3">
    <w:name w:val="Body Text First Indent 2"/>
    <w:basedOn w:val="2"/>
    <w:qFormat/>
    <w:uiPriority w:val="0"/>
    <w:pPr>
      <w:spacing w:after="120"/>
      <w:ind w:left="420" w:leftChars="200" w:firstLine="420" w:firstLineChars="200"/>
    </w:pPr>
    <w:rPr>
      <w:rFonts w:hint="default" w:asci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1739</Words>
  <Characters>1837</Characters>
  <Lines>0</Lines>
  <Paragraphs>0</Paragraphs>
  <TotalTime>20</TotalTime>
  <ScaleCrop>false</ScaleCrop>
  <LinksUpToDate>false</LinksUpToDate>
  <CharactersWithSpaces>1872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2025-03-31T09:15:00Z</dcterms:created>
  <dc:creator>艾朵朵</dc:creator>
  <cp:lastModifiedBy>艾朵朵</cp:lastModifiedBy>
  <cp:lastPrinted>2025-04-07T07:05:06Z</cp:lastPrinted>
  <dcterms:modified xsi:type="dcterms:W3CDTF">2025-04-07T07:54:07Z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A82F25DAE9414633BEFEED241D6FCCE8_11</vt:lpwstr>
  </property>
  <property fmtid="{D5CDD505-2E9C-101B-9397-08002B2CF9AE}" pid="4" name="KSOTemplateDocerSaveRecord">
    <vt:lpwstr>eyJoZGlkIjoiZDMyNDk1OTE5Y2JlMzFjYzNkMzc3Njg2Y2I3ZmU5ODEiLCJ1c2VySWQiOiIzODkyMTI2MzIifQ==</vt:lpwstr>
  </property>
</Properties>
</file>