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52C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202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  <w:lang w:val="en-US" w:eastAsia="zh-CN"/>
        </w:rPr>
        <w:t>4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年度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  <w:highlight w:val="none"/>
        </w:rPr>
        <w:t>新晃县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彩票公益金项目支出</w:t>
      </w:r>
    </w:p>
    <w:p w14:paraId="22BD3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绩效自评报告</w:t>
      </w:r>
    </w:p>
    <w:p w14:paraId="45907F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color w:val="000000" w:themeColor="text1"/>
          <w:sz w:val="44"/>
          <w:szCs w:val="44"/>
        </w:rPr>
      </w:pPr>
    </w:p>
    <w:p w14:paraId="1D9BF2B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资金分解下达情况</w:t>
      </w:r>
    </w:p>
    <w:p w14:paraId="2DFD029B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中央彩票公益金分解下达情况</w:t>
      </w:r>
    </w:p>
    <w:p w14:paraId="7879EC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《湖南省财政厅关于提前下达2024年中央集中彩票公益金支持社会福利事业专项资金的通知》（湘财社指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2023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98号）文件下达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43.7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万元，其中用于困难老年人家庭适老化改造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13.7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万元，福彩圆梦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孤儿助学工程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，精神障碍社区康复服务机构建设或服务20万元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。</w:t>
      </w:r>
    </w:p>
    <w:p w14:paraId="23F825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根据《湖南省财政厅关于下达2024年中央专项彩票公益金支持老年助餐资金的通知》（湘财社指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2024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44号）文件下达老年助餐资金23万元。根据湘财社指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2024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37号文件下达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福彩圆梦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孤儿助学工程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4万元。</w:t>
      </w:r>
    </w:p>
    <w:p w14:paraId="3132D5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2024年共计收到中央福彩公益金70.7万元。</w:t>
      </w:r>
    </w:p>
    <w:p w14:paraId="463498EE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省级彩票公益金分解下达情况</w:t>
      </w:r>
    </w:p>
    <w:p w14:paraId="7E9DD4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根据《湖南省财政厅 湖南省民政厅关于下达2024年省级福彩公益金的通知》（湘财综指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2024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13号）文件，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收到省级福彩公益金指标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101.7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万元，其中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特殊困难老年人家庭适老化改造13.7万元，老年助餐服务站点建设40万元，民政服务站（原社工站）项目补助30万元，福彩公益金奖励18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highlight w:val="none"/>
          <w:lang w:eastAsia="zh-CN"/>
        </w:rPr>
        <w:t>万元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。</w:t>
      </w:r>
    </w:p>
    <w:p w14:paraId="5240CA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根据《湖南省财政厅 湖南省民政厅关于下达2024年度省级福彩公益金支持应急救助资金的通知》（湘财综指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  <w:lang w:val="en-US" w:eastAsia="zh-CN"/>
        </w:rPr>
        <w:t>〔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2024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10号）文件下达150万元，用于民政服务设施维修以及困难群众应急救助。经过局党组研究分配，主要用于养老院服务设施建设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扶罗养老院维修改造2.5万元、晃州养老院维修改造36万、凉伞养老院维修改造46万、鱼市养老院维修改造8万元。受灾困难群众走访32.18万元，五保之家：扶罗镇坪地村5万元、鱼市镇团溪村4万元、林冲镇道丁村3万元，中山门社区居家养老服务中心维修改造13.32万元。</w:t>
      </w:r>
    </w:p>
    <w:p w14:paraId="75C577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2024年共计收到省级福彩公益金251.7万元。</w:t>
      </w:r>
    </w:p>
    <w:p w14:paraId="6712ED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（三）县级分成彩票公益金分解下达情况</w:t>
      </w:r>
    </w:p>
    <w:p w14:paraId="20C301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《湖南省财政厅关于提前下达2024年市县分成福彩公益金的通知》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（湘财综指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2023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22号）文件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《湖南省财政厅关于下达2024年市县分成福彩公益金的通知》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湘财综指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2024</w:t>
      </w:r>
      <w:r>
        <w:rPr>
          <w:rFonts w:hint="eastAsia" w:ascii="微软雅黑" w:hAnsi="微软雅黑" w:eastAsia="微软雅黑" w:cs="微软雅黑"/>
          <w:color w:val="000000" w:themeColor="text1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5号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，下达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市县分成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166.43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万元用于社会福利项目，经局党组研究同意报县财政备案，其中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养老院消防维保费用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万元；敬老院维修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49.7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万元；慈善助学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基本养老服务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，老年助餐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6万元，智慧养老建设5万元，养老服务设施建设77.93万元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 w14:paraId="644B74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）市级彩票公益金分解下达情况</w:t>
      </w:r>
    </w:p>
    <w:p w14:paraId="1A110F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根据《关于下达2024年度分成福利彩票公益金的通知》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（怀财综指〔2024〕2号），收到市福彩公益金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扶罗镇东风村老年活动中心5万元，扶罗镇综合养老服务中心5万元，鱼市镇综合养老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中心5万元，酒店塘社区日间照料中心5万元，中山门社区养老服务中心5万元，凉伞镇美老村农村社区公共服务设施建设3万元，凉伞镇黄雷村移风易俗项目4万元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 w14:paraId="6FB2C0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关于下达2024年度分成福利彩票公益金的通知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》（怀财综指〔2024〕4号），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收到市福彩公益金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，凉伞镇街上村农村社区公共服务设施建设3万元，禾滩镇综合养老服务中心建设3万元。</w:t>
      </w:r>
    </w:p>
    <w:p w14:paraId="02C233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年共计收到中央、省、市下达福彩公益金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526.83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170.03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，资金执行率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32%。</w:t>
      </w:r>
    </w:p>
    <w:p w14:paraId="600D71C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绩效目标设定情况</w:t>
      </w:r>
    </w:p>
    <w:p w14:paraId="72E818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1.困难老年人家庭适老化改造项目。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该项目目标任务为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鱼市镇、扶罗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镇等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个乡镇辖区范围内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137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户困难老年人家庭，结合对象要求，分别进行房屋内的无障碍改造及配备必要的残障辅助器材。</w:t>
      </w:r>
    </w:p>
    <w:p w14:paraId="4A51E3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2.孤儿助学。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对已被认定为孤儿身份、年满18岁后在普通全日制本科学校、普通全日制专科学校、高等职业学校等高等院校和中等职业学校就读中专、大专、本科学生和硕士研究生的孤儿进行补助。</w:t>
      </w:r>
    </w:p>
    <w:p w14:paraId="109F50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3.精神障碍社区康复服务。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通过政府购买社会工作服务的方式，由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怀化雅康精神病医院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承接运营，为辖区内有精神康复需求的对象提供康复训练、心理疏导、事前预防、危机介入，实时支援、个案跟进等专业社工服务，从个人、家庭、社区三个层面介入，坚持“加强经济保障、立足个人发展、促进家庭和谐、推动社区共融”的服务理念，保障精神障碍者生存、参与和发展权利的专业社会工作服务平台。</w:t>
      </w:r>
    </w:p>
    <w:p w14:paraId="715C3D1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eastAsia="仿宋"/>
          <w:color w:val="000000" w:themeColor="text1"/>
        </w:rPr>
      </w:pPr>
      <w:r>
        <w:rPr>
          <w:rFonts w:hint="eastAsia" w:ascii="仿宋" w:hAnsi="仿宋" w:eastAsia="仿宋" w:cs="仿宋_GB2312"/>
          <w:b/>
          <w:color w:val="000000" w:themeColor="text1"/>
          <w:szCs w:val="32"/>
        </w:rPr>
        <w:t>4.乡镇社工站建设</w:t>
      </w:r>
      <w:r>
        <w:rPr>
          <w:rFonts w:hint="eastAsia" w:ascii="仿宋" w:hAnsi="仿宋" w:eastAsia="仿宋" w:cs="宋体"/>
          <w:b/>
          <w:color w:val="000000" w:themeColor="text1"/>
          <w:szCs w:val="32"/>
        </w:rPr>
        <w:t>。</w:t>
      </w:r>
      <w:r>
        <w:rPr>
          <w:rFonts w:hint="eastAsia" w:ascii="仿宋" w:hAnsi="仿宋" w:eastAsia="仿宋" w:cs="宋体"/>
          <w:color w:val="000000" w:themeColor="text1"/>
          <w:szCs w:val="32"/>
        </w:rPr>
        <w:t>乡镇社工站建设开展社会工作专业人才队伍建设，建设本土社工机构和培养社工人才；支持购买社工专业人员开展社会救助、慈善公益、社区服务、儿童关爱等社会工作服务</w:t>
      </w:r>
      <w:r>
        <w:rPr>
          <w:rFonts w:hint="eastAsia" w:ascii="仿宋" w:hAnsi="仿宋" w:eastAsia="仿宋" w:cs="宋体"/>
          <w:color w:val="000000" w:themeColor="text1"/>
          <w:szCs w:val="32"/>
          <w:highlight w:val="none"/>
          <w:lang w:eastAsia="zh-CN"/>
        </w:rPr>
        <w:t>；</w:t>
      </w:r>
      <w:r>
        <w:rPr>
          <w:rFonts w:hint="eastAsia" w:ascii="仿宋" w:hAnsi="仿宋" w:eastAsia="仿宋" w:cs="Times New Roman"/>
          <w:bCs/>
          <w:color w:val="000000" w:themeColor="text1"/>
          <w:kern w:val="0"/>
          <w:szCs w:val="32"/>
        </w:rPr>
        <w:t>探索建立“五社联动”服务模式。</w:t>
      </w:r>
    </w:p>
    <w:p w14:paraId="426AE2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</w:rPr>
        <w:t>.养老服务项目建设。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晃州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highlight w:val="none"/>
          <w:shd w:val="clear" w:color="auto" w:fill="FFFFFF"/>
          <w:lang w:eastAsia="zh-CN"/>
        </w:rPr>
        <w:t>鱼市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等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5所养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老院房屋的维修改造，解除房屋开裂、倾斜等安全隐患，确保五保老人有一个安全、舒适的生活环境。完成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16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个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民政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养老服务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基础设施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维护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完成对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65周岁以上五保对象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基本养老服务。完成智慧养老项目。完成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老年服务助餐点建设。</w:t>
      </w:r>
    </w:p>
    <w:p w14:paraId="302A4C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</w:rPr>
        <w:t>.社会福利项目。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开展202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年度慈善助学工作。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农村社区公共服务设施建设。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1个移风易俗项目。</w:t>
      </w:r>
    </w:p>
    <w:p w14:paraId="64F3564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绩效目标完成情况分析</w:t>
      </w:r>
    </w:p>
    <w:p w14:paraId="39DC58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</w:rPr>
        <w:t>（一）资金投入情况分析。</w:t>
      </w:r>
    </w:p>
    <w:p w14:paraId="56677A38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 w:cs="宋体"/>
          <w:b/>
          <w:color w:val="000000" w:themeColor="text1"/>
          <w:sz w:val="32"/>
          <w:szCs w:val="32"/>
        </w:rPr>
        <w:t>项目资金执行情况分析</w:t>
      </w:r>
    </w:p>
    <w:p w14:paraId="6797F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000000" w:themeColor="text1"/>
          <w:sz w:val="32"/>
          <w:szCs w:val="32"/>
        </w:rPr>
        <w:t>中央福利彩票公益金执行情况：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中央福利彩票公益金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</w:rPr>
        <w:t>专项补助共计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70.7万元，已经支付37.7万元，资金执行率53%。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困难老年人家庭适老化改造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13.7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13.7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万元。福彩圆梦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孤儿助学工程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精神障碍社区康复服务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20万元，按合同约定已支付10万元，剩余资金待10月份项目结束评估合格后再支付。老年助餐项目正在施工中。</w:t>
      </w:r>
    </w:p>
    <w:p w14:paraId="437E2E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000000" w:themeColor="text1"/>
          <w:sz w:val="32"/>
          <w:szCs w:val="32"/>
        </w:rPr>
        <w:t>省级福利彩票公益金执行情况：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省级福利彩票公益金专项补助共计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251.7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92.58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，资金执行率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37%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。其中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适老化改造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13.7万元，已支付1.88万元。社工站项目补助30万元，已支付30万元，福彩公益金超收分成18万元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已经支付5.43万元，晃州养老院维修改造36万元，已经支付17.79万元，凉伞养老院维修改造46万元，已经支付8万元，受灾群众困难走访物资采购32.18万元，已经支付29.48万元。</w:t>
      </w:r>
    </w:p>
    <w:p w14:paraId="28B99B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市县分成彩票公益金执行情况：</w:t>
      </w:r>
      <w:r>
        <w:rPr>
          <w:rFonts w:hint="eastAsia" w:ascii="仿宋" w:hAnsi="仿宋" w:eastAsia="仿宋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市县分成福利彩票公益金共计166.43万元，已经支付29.75万元，资金执行率18%。其中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敬老院维修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改造49.7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20万元。农村互助养老服务设施建设44万元，支付5万元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敬老院消防维保费用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4.8万元，支付4.75万元。</w:t>
      </w:r>
    </w:p>
    <w:p w14:paraId="5CC2AC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</w:rPr>
        <w:t>市级</w:t>
      </w:r>
      <w:r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</w:rPr>
        <w:t>福利彩票公益金执行情况：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共收到市级福彩公益金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38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eastAsia="zh-CN"/>
        </w:rPr>
        <w:t>，资金执行率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26%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。其中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扶罗镇东风村老年活动中心维修改造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该项目已完工并验收，支付5万元。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酒店塘社区日间照料中心设施建设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，该项目已完工并验收，支付5万元。</w:t>
      </w:r>
    </w:p>
    <w:p w14:paraId="7C77D5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_GB2312"/>
          <w:b/>
          <w:color w:val="000000" w:themeColor="text1"/>
          <w:sz w:val="32"/>
          <w:szCs w:val="32"/>
        </w:rPr>
        <w:t>2.</w:t>
      </w:r>
      <w:r>
        <w:rPr>
          <w:rFonts w:hint="eastAsia" w:ascii="楷体" w:hAnsi="楷体" w:eastAsia="楷体" w:cs="宋体"/>
          <w:b/>
          <w:color w:val="000000" w:themeColor="text1"/>
          <w:sz w:val="32"/>
          <w:szCs w:val="32"/>
        </w:rPr>
        <w:t>项目资金管理情况分析</w:t>
      </w:r>
    </w:p>
    <w:p w14:paraId="701F5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（1）严格执行各项有关法律法规、财经纪律、财务规章制度、预（决）算、政府采购、国库集中支付、专项资金等管理办法和操作规程。在项目资金的使用上做到规范使用、专款专用，不断提高资金使用率。</w:t>
      </w:r>
    </w:p>
    <w:p w14:paraId="30D370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2）我县严格遵照省、市的有关规定，制定出台了《新晃侗族自治县民政局福彩公益金管理办法》，严格按照“谁主管、谁负责”的原则，实行主要领导负总责、分管领导亲自抓、业务部门具体管的办法，把民政专项资金监管工作纳入单位年度工作绩效考评和责任制考核。</w:t>
      </w:r>
    </w:p>
    <w:p w14:paraId="3667FA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3）财务管理制度健全，执行情况良好。会计核算真实完整，项目资金支出和原定用途、预算批复用途相符，支出符合国家财经法规和财务管理制度规定。资金拨付程序规范，资产管理制度健全，定期对资金使用情况进行检查，严格确保项目质量。</w:t>
      </w:r>
    </w:p>
    <w:p w14:paraId="76E6B2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（二）总体绩效目标完成情况分析。</w:t>
      </w:r>
    </w:p>
    <w:p w14:paraId="208E3636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Style w:val="9"/>
          <w:rFonts w:hint="eastAsia" w:ascii="楷体" w:hAnsi="楷体" w:eastAsia="楷体"/>
          <w:color w:val="000000" w:themeColor="text1"/>
          <w:sz w:val="32"/>
          <w:szCs w:val="32"/>
        </w:rPr>
        <w:t>1.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数量指标。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137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名困难老年人家庭适老化改造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任务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名孤儿助学金发放。在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乡镇设立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11个社工站，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聘请2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名社工充实基层民政力量。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所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敬老院维修改造。完成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10个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养老服务示范点建设。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  <w:lang w:eastAsia="zh-CN"/>
        </w:rPr>
        <w:t>慈善助学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</w:rPr>
        <w:t>资助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</w:rPr>
        <w:t>名贫困学生上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  <w:lang w:eastAsia="zh-CN"/>
        </w:rPr>
        <w:t>大</w:t>
      </w:r>
      <w:r>
        <w:rPr>
          <w:rFonts w:hint="eastAsia" w:ascii="仿宋" w:hAnsi="仿宋" w:eastAsia="仿宋" w:cs="Arial"/>
          <w:color w:val="auto"/>
          <w:sz w:val="32"/>
          <w:szCs w:val="32"/>
          <w:shd w:val="clear" w:color="auto" w:fill="FFFFFF"/>
        </w:rPr>
        <w:t>学。</w:t>
      </w:r>
    </w:p>
    <w:p w14:paraId="312F486B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2.质量指标。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符合助学条件的孤儿补助比例达到100%。加强乡镇社工站建设，提升社会服务能力。支持养老服务机构高质量发展，提升养老服务体系综合实力。敬老院维修、养老服务示范点建设、困难老年人家庭适老化改造建设质量合格。</w:t>
      </w:r>
    </w:p>
    <w:p w14:paraId="4017A9A0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3.时效指标。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项目基本能按计划进行。</w:t>
      </w:r>
    </w:p>
    <w:p w14:paraId="61856D77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hint="default" w:ascii="楷体" w:hAnsi="楷体" w:eastAsia="仿宋"/>
          <w:color w:val="000000" w:themeColor="text1"/>
          <w:sz w:val="32"/>
          <w:szCs w:val="32"/>
          <w:lang w:val="en-US" w:eastAsia="zh-CN"/>
        </w:rPr>
      </w:pPr>
      <w:r>
        <w:rPr>
          <w:rStyle w:val="9"/>
          <w:rFonts w:hint="eastAsia" w:ascii="楷体" w:hAnsi="楷体" w:eastAsia="楷体"/>
          <w:color w:val="000000" w:themeColor="text1"/>
          <w:sz w:val="32"/>
          <w:szCs w:val="32"/>
        </w:rPr>
        <w:t>4.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社会效益。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相关项目的实施，低保家庭、孤儿等困难群体上学得到有效保障，乡镇社工站、养老服务机构等相关服务能力明显提升。适老化改造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为老人独立自主生活提供更大便利，提高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老人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生活质量，从而促进社会和谐。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服务对象满意度达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90%。</w:t>
      </w:r>
    </w:p>
    <w:p w14:paraId="1ED9BC3F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5.可持续影响。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孤儿学习、生活状况得到保障，受教育权得到有效维护。</w:t>
      </w:r>
      <w:r>
        <w:rPr>
          <w:rFonts w:ascii="仿宋" w:hAnsi="仿宋" w:eastAsia="仿宋"/>
          <w:color w:val="000000" w:themeColor="text1"/>
          <w:sz w:val="32"/>
          <w:szCs w:val="32"/>
        </w:rPr>
        <w:t>搭建居家为基础、社区为依托、机构为补充、医养相结合的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养老</w:t>
      </w:r>
      <w:r>
        <w:rPr>
          <w:rFonts w:ascii="仿宋" w:hAnsi="仿宋" w:eastAsia="仿宋"/>
          <w:color w:val="000000" w:themeColor="text1"/>
          <w:sz w:val="32"/>
          <w:szCs w:val="32"/>
        </w:rPr>
        <w:t>制度框架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。促进我县专业社会服务和养老服务高质量、高水平发展。</w:t>
      </w:r>
    </w:p>
    <w:p w14:paraId="42035A3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四</w:t>
      </w:r>
      <w:r>
        <w:rPr>
          <w:rFonts w:ascii="黑体" w:hAnsi="黑体" w:eastAsia="黑体"/>
          <w:color w:val="000000" w:themeColor="text1"/>
          <w:sz w:val="32"/>
          <w:szCs w:val="32"/>
        </w:rPr>
        <w:t>、绩效评价情况及评价结论</w:t>
      </w:r>
    </w:p>
    <w:p w14:paraId="7230E91C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Style w:val="9"/>
          <w:rFonts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　　</w:t>
      </w:r>
      <w:r>
        <w:rPr>
          <w:rFonts w:ascii="仿宋" w:hAnsi="仿宋" w:eastAsia="仿宋"/>
          <w:color w:val="000000" w:themeColor="text1"/>
          <w:sz w:val="32"/>
          <w:szCs w:val="32"/>
          <w:highlight w:val="none"/>
        </w:rPr>
        <w:t>新晃县</w:t>
      </w:r>
      <w:r>
        <w:rPr>
          <w:rFonts w:ascii="仿宋" w:hAnsi="仿宋" w:eastAsia="仿宋"/>
          <w:color w:val="000000" w:themeColor="text1"/>
          <w:sz w:val="32"/>
          <w:szCs w:val="32"/>
        </w:rPr>
        <w:t>民政局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年彩票公益金</w:t>
      </w:r>
      <w:r>
        <w:rPr>
          <w:rFonts w:ascii="仿宋" w:hAnsi="仿宋" w:eastAsia="仿宋"/>
          <w:color w:val="000000" w:themeColor="text1"/>
          <w:sz w:val="32"/>
          <w:szCs w:val="32"/>
        </w:rPr>
        <w:t>项目绩效评价自评结果：自评评分为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85</w:t>
      </w:r>
      <w:r>
        <w:rPr>
          <w:rFonts w:ascii="仿宋" w:hAnsi="仿宋" w:eastAsia="仿宋"/>
          <w:color w:val="000000" w:themeColor="text1"/>
          <w:sz w:val="32"/>
          <w:szCs w:val="32"/>
        </w:rPr>
        <w:t>分，自评等级为“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良</w:t>
      </w:r>
      <w:r>
        <w:rPr>
          <w:rFonts w:ascii="仿宋" w:hAnsi="仿宋" w:eastAsia="仿宋"/>
          <w:color w:val="000000" w:themeColor="text1"/>
          <w:sz w:val="32"/>
          <w:szCs w:val="32"/>
        </w:rPr>
        <w:t>”。</w:t>
      </w:r>
    </w:p>
    <w:p w14:paraId="32BD9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五、偏离绩效目标原因和下一步改进措施</w:t>
      </w:r>
    </w:p>
    <w:p w14:paraId="2614AD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（一）偏离绩效目标原因</w:t>
      </w:r>
    </w:p>
    <w:p w14:paraId="296CF3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因县财政资金紧张，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已完工项目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不能及时结算项目款。</w:t>
      </w:r>
    </w:p>
    <w:p w14:paraId="2D032C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（二）下一步改进措施</w:t>
      </w:r>
    </w:p>
    <w:p w14:paraId="19A18DC0"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加强与财政资金衔接，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加强福彩项目监督，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加强资金管理，提高资金使用率，确保福彩项目发挥实际作用效益。</w:t>
      </w:r>
    </w:p>
    <w:p w14:paraId="59E3AA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六、绩效自评结果拟应用和公开情况</w:t>
      </w:r>
    </w:p>
    <w:p w14:paraId="72F2FD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利用政府政务公开栏对福彩资金的使用情况及时公示，加强社会监督。</w:t>
      </w:r>
    </w:p>
    <w:p w14:paraId="46D7C0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58EB25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 w14:paraId="771A9A18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340" w:leftChars="1400" w:right="640" w:hanging="2400" w:hangingChars="75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</w:t>
      </w:r>
      <w:r>
        <w:rPr>
          <w:rFonts w:ascii="仿宋" w:hAnsi="仿宋" w:eastAsia="仿宋"/>
          <w:color w:val="000000" w:themeColor="text1"/>
          <w:sz w:val="32"/>
          <w:szCs w:val="32"/>
        </w:rPr>
        <w:t>新晃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侗族自治县</w:t>
      </w:r>
      <w:r>
        <w:rPr>
          <w:rFonts w:ascii="仿宋" w:hAnsi="仿宋" w:eastAsia="仿宋"/>
          <w:color w:val="000000" w:themeColor="text1"/>
          <w:sz w:val="32"/>
          <w:szCs w:val="32"/>
        </w:rPr>
        <w:t>民政局</w:t>
      </w:r>
    </w:p>
    <w:p w14:paraId="26F5D6B7"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640" w:firstLine="5120" w:firstLineChars="16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18</w:t>
      </w:r>
      <w:r>
        <w:rPr>
          <w:rFonts w:ascii="仿宋" w:hAnsi="仿宋" w:eastAsia="仿宋"/>
          <w:color w:val="000000" w:themeColor="text1"/>
          <w:sz w:val="32"/>
          <w:szCs w:val="32"/>
        </w:rPr>
        <w:t>日</w:t>
      </w:r>
    </w:p>
    <w:p w14:paraId="47847C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5E2AA9"/>
    <w:multiLevelType w:val="singleLevel"/>
    <w:tmpl w:val="CD5E2A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0A34F4"/>
    <w:multiLevelType w:val="multilevel"/>
    <w:tmpl w:val="4D0A34F4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93061FD"/>
    <w:multiLevelType w:val="multilevel"/>
    <w:tmpl w:val="593061FD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8D768A"/>
    <w:rsid w:val="00046615"/>
    <w:rsid w:val="000E6DCD"/>
    <w:rsid w:val="00106677"/>
    <w:rsid w:val="00123084"/>
    <w:rsid w:val="002A582F"/>
    <w:rsid w:val="00322C84"/>
    <w:rsid w:val="0035286C"/>
    <w:rsid w:val="00362A96"/>
    <w:rsid w:val="00366B8B"/>
    <w:rsid w:val="003832EA"/>
    <w:rsid w:val="003A2A7B"/>
    <w:rsid w:val="003B4D47"/>
    <w:rsid w:val="003B5CA3"/>
    <w:rsid w:val="003C4C84"/>
    <w:rsid w:val="004265A8"/>
    <w:rsid w:val="004526DD"/>
    <w:rsid w:val="004A125D"/>
    <w:rsid w:val="004D1291"/>
    <w:rsid w:val="00525868"/>
    <w:rsid w:val="005A3B21"/>
    <w:rsid w:val="006852D2"/>
    <w:rsid w:val="0075150E"/>
    <w:rsid w:val="007805F1"/>
    <w:rsid w:val="00844CFB"/>
    <w:rsid w:val="00846786"/>
    <w:rsid w:val="00863140"/>
    <w:rsid w:val="008B2E1D"/>
    <w:rsid w:val="008C2A55"/>
    <w:rsid w:val="008D768A"/>
    <w:rsid w:val="00903B16"/>
    <w:rsid w:val="00915707"/>
    <w:rsid w:val="009D0C8A"/>
    <w:rsid w:val="00A001F8"/>
    <w:rsid w:val="00A9249B"/>
    <w:rsid w:val="00BA7EF5"/>
    <w:rsid w:val="00BB7BD7"/>
    <w:rsid w:val="00C922F6"/>
    <w:rsid w:val="00DB3E57"/>
    <w:rsid w:val="00E97AE5"/>
    <w:rsid w:val="00EF19DA"/>
    <w:rsid w:val="02502671"/>
    <w:rsid w:val="027118A4"/>
    <w:rsid w:val="04545F46"/>
    <w:rsid w:val="04A71242"/>
    <w:rsid w:val="07A529B5"/>
    <w:rsid w:val="093869E8"/>
    <w:rsid w:val="0ABB69F2"/>
    <w:rsid w:val="0B051958"/>
    <w:rsid w:val="0EDE4308"/>
    <w:rsid w:val="125537EF"/>
    <w:rsid w:val="16851EB4"/>
    <w:rsid w:val="197E31FE"/>
    <w:rsid w:val="19CC289E"/>
    <w:rsid w:val="1B4337E7"/>
    <w:rsid w:val="1BD7002E"/>
    <w:rsid w:val="1BDD4B1E"/>
    <w:rsid w:val="1E41496B"/>
    <w:rsid w:val="1F601D17"/>
    <w:rsid w:val="212D588A"/>
    <w:rsid w:val="23E51285"/>
    <w:rsid w:val="24A759DB"/>
    <w:rsid w:val="261C0DC0"/>
    <w:rsid w:val="27BB077E"/>
    <w:rsid w:val="2A772CF6"/>
    <w:rsid w:val="2BD669CE"/>
    <w:rsid w:val="2C5404D6"/>
    <w:rsid w:val="2EE63C29"/>
    <w:rsid w:val="318323E4"/>
    <w:rsid w:val="339A514D"/>
    <w:rsid w:val="38115009"/>
    <w:rsid w:val="38234D57"/>
    <w:rsid w:val="3ABC5D6E"/>
    <w:rsid w:val="3B475522"/>
    <w:rsid w:val="3BC118D4"/>
    <w:rsid w:val="3C191058"/>
    <w:rsid w:val="3DCB1350"/>
    <w:rsid w:val="3EC11847"/>
    <w:rsid w:val="3F2B085D"/>
    <w:rsid w:val="42DA742E"/>
    <w:rsid w:val="45344114"/>
    <w:rsid w:val="46990162"/>
    <w:rsid w:val="47163D7B"/>
    <w:rsid w:val="482D79B6"/>
    <w:rsid w:val="49B94735"/>
    <w:rsid w:val="4A9219C5"/>
    <w:rsid w:val="4AD0109B"/>
    <w:rsid w:val="4B884BEF"/>
    <w:rsid w:val="4C916ABA"/>
    <w:rsid w:val="54077753"/>
    <w:rsid w:val="5F830BDC"/>
    <w:rsid w:val="617C3A5E"/>
    <w:rsid w:val="663237D5"/>
    <w:rsid w:val="6CC4103A"/>
    <w:rsid w:val="6E156E9E"/>
    <w:rsid w:val="6EC62CF6"/>
    <w:rsid w:val="6F96380D"/>
    <w:rsid w:val="6FB47AF9"/>
    <w:rsid w:val="71FC02A3"/>
    <w:rsid w:val="728F1117"/>
    <w:rsid w:val="77991952"/>
    <w:rsid w:val="784D4923"/>
    <w:rsid w:val="79E1673B"/>
    <w:rsid w:val="7A2A5002"/>
    <w:rsid w:val="7EF6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Body Text First Indent 2"/>
    <w:basedOn w:val="2"/>
    <w:next w:val="1"/>
    <w:link w:val="14"/>
    <w:qFormat/>
    <w:uiPriority w:val="0"/>
    <w:pPr>
      <w:spacing w:after="0" w:line="440" w:lineRule="exact"/>
      <w:ind w:left="0" w:leftChars="0" w:firstLine="420" w:firstLineChars="200"/>
    </w:pPr>
    <w:rPr>
      <w:rFonts w:eastAsia="仿宋_GB2312"/>
      <w:sz w:val="32"/>
      <w:szCs w:val="22"/>
    </w:r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3"/>
    <w:semiHidden/>
    <w:qFormat/>
    <w:uiPriority w:val="99"/>
    <w:rPr>
      <w:kern w:val="2"/>
      <w:sz w:val="18"/>
      <w:szCs w:val="18"/>
    </w:rPr>
  </w:style>
  <w:style w:type="character" w:customStyle="1" w:styleId="13">
    <w:name w:val="正文文本缩进 Char"/>
    <w:basedOn w:val="8"/>
    <w:link w:val="2"/>
    <w:semiHidden/>
    <w:qFormat/>
    <w:uiPriority w:val="99"/>
    <w:rPr>
      <w:kern w:val="2"/>
      <w:sz w:val="21"/>
      <w:szCs w:val="24"/>
    </w:rPr>
  </w:style>
  <w:style w:type="character" w:customStyle="1" w:styleId="14">
    <w:name w:val="正文首行缩进 2 Char"/>
    <w:basedOn w:val="13"/>
    <w:link w:val="6"/>
    <w:qFormat/>
    <w:uiPriority w:val="0"/>
    <w:rPr>
      <w:rFonts w:eastAsia="仿宋_GB231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3371</Words>
  <Characters>3628</Characters>
  <Lines>21</Lines>
  <Paragraphs>6</Paragraphs>
  <TotalTime>183</TotalTime>
  <ScaleCrop>false</ScaleCrop>
  <LinksUpToDate>false</LinksUpToDate>
  <CharactersWithSpaces>3642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2022-05-24T08:59:00Z</dcterms:created>
  <dc:creator>xb21cn</dc:creator>
  <cp:lastModifiedBy>艾朵朵</cp:lastModifiedBy>
  <cp:lastPrinted>2025-04-07T07:01:02Z</cp:lastPrinted>
  <dcterms:modified xsi:type="dcterms:W3CDTF">2025-04-07T07:54:14Z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A5E184C4FD9A4DDFA14E59FEC1D6376A_12</vt:lpwstr>
  </property>
  <property fmtid="{D5CDD505-2E9C-101B-9397-08002B2CF9AE}" pid="4" name="KSOTemplateDocerSaveRecord">
    <vt:lpwstr>eyJoZGlkIjoiZDMyNDk1OTE5Y2JlMzFjYzNkMzc3Njg2Y2I3ZmU5ODEiLCJ1c2VySWQiOiIzODkyMTI2MzIifQ==</vt:lpwstr>
  </property>
</Properties>
</file>