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97A00">
      <w:pPr>
        <w:keepNext w:val="0"/>
        <w:keepLines w:val="0"/>
        <w:pageBreakBefore w:val="0"/>
        <w:kinsoku/>
        <w:wordWrap/>
        <w:overflowPunct/>
        <w:topLinePunct w:val="0"/>
        <w:autoSpaceDE/>
        <w:autoSpaceDN/>
        <w:bidi w:val="0"/>
        <w:adjustRightInd/>
        <w:snapToGrid/>
        <w:spacing w:line="600" w:lineRule="exact"/>
        <w:jc w:val="center"/>
        <w:textAlignment w:val="auto"/>
        <w:rPr>
          <w:rFonts w:asciiTheme="majorEastAsia" w:hAnsiTheme="majorEastAsia" w:eastAsiaTheme="majorEastAsia"/>
          <w:b/>
          <w:color w:val="000000" w:themeColor="text1"/>
          <w:spacing w:val="-6"/>
          <w:sz w:val="44"/>
          <w:szCs w:val="44"/>
          <w14:textFill>
            <w14:solidFill>
              <w14:schemeClr w14:val="tx1"/>
            </w14:solidFill>
          </w14:textFill>
        </w:rPr>
      </w:pPr>
      <w:r>
        <w:rPr>
          <w:rFonts w:hint="eastAsia" w:asciiTheme="majorEastAsia" w:hAnsiTheme="majorEastAsia" w:eastAsiaTheme="majorEastAsia"/>
          <w:b/>
          <w:color w:val="000000" w:themeColor="text1"/>
          <w:spacing w:val="-6"/>
          <w:sz w:val="44"/>
          <w:szCs w:val="44"/>
          <w:lang w:eastAsia="zh-CN"/>
          <w14:textFill>
            <w14:solidFill>
              <w14:schemeClr w14:val="tx1"/>
            </w14:solidFill>
          </w14:textFill>
        </w:rPr>
        <w:t>新晃县民政局2024年度</w:t>
      </w:r>
      <w:r>
        <w:rPr>
          <w:rFonts w:hint="eastAsia" w:asciiTheme="majorEastAsia" w:hAnsiTheme="majorEastAsia" w:eastAsiaTheme="majorEastAsia"/>
          <w:b/>
          <w:color w:val="000000" w:themeColor="text1"/>
          <w:spacing w:val="-6"/>
          <w:sz w:val="44"/>
          <w:szCs w:val="44"/>
          <w14:textFill>
            <w14:solidFill>
              <w14:schemeClr w14:val="tx1"/>
            </w14:solidFill>
          </w14:textFill>
        </w:rPr>
        <w:t>老区项目绩效自评报告</w:t>
      </w:r>
    </w:p>
    <w:p w14:paraId="6FA65DD4">
      <w:pPr>
        <w:keepNext w:val="0"/>
        <w:keepLines w:val="0"/>
        <w:pageBreakBefore w:val="0"/>
        <w:kinsoku/>
        <w:wordWrap/>
        <w:overflowPunct/>
        <w:topLinePunct w:val="0"/>
        <w:autoSpaceDE/>
        <w:autoSpaceDN/>
        <w:bidi w:val="0"/>
        <w:adjustRightInd/>
        <w:snapToGrid/>
        <w:spacing w:line="600" w:lineRule="exact"/>
        <w:textAlignment w:val="auto"/>
        <w:rPr>
          <w:rFonts w:ascii="仿宋" w:hAnsi="仿宋" w:eastAsia="仿宋"/>
          <w:color w:val="000000" w:themeColor="text1"/>
          <w:sz w:val="32"/>
          <w:szCs w:val="32"/>
          <w14:textFill>
            <w14:solidFill>
              <w14:schemeClr w14:val="tx1"/>
            </w14:solidFill>
          </w14:textFill>
        </w:rPr>
      </w:pPr>
    </w:p>
    <w:p w14:paraId="186BF75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一、基本情况</w:t>
      </w:r>
    </w:p>
    <w:p w14:paraId="5A461825">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（一）项目概况</w:t>
      </w:r>
    </w:p>
    <w:p w14:paraId="5CE8228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革命老区转移支付建设项目是中央财政安排专项设立的转移支付资金，主要用于以下方面：革命老区专门事务，包括革命遗址保护、革命纪念场馆的建设和改造、烈士陵园的维护和改造、老红军及军烈属活动场所的建设和维护等。革命老区民生事务，主要包括乡村道路、饮水安全等设施的建设维护，以及教育、文化、卫生等民生事务。</w:t>
      </w:r>
    </w:p>
    <w:p w14:paraId="16DC981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2024年</w:t>
      </w:r>
      <w:r>
        <w:rPr>
          <w:rFonts w:hint="eastAsia" w:ascii="仿宋" w:hAnsi="仿宋" w:eastAsia="仿宋"/>
          <w:color w:val="000000" w:themeColor="text1"/>
          <w:sz w:val="32"/>
          <w:szCs w:val="32"/>
          <w14:textFill>
            <w14:solidFill>
              <w14:schemeClr w14:val="tx1"/>
            </w14:solidFill>
          </w14:textFill>
        </w:rPr>
        <w:t>革命老区</w:t>
      </w:r>
      <w:r>
        <w:rPr>
          <w:rFonts w:hint="eastAsia" w:ascii="仿宋" w:hAnsi="仿宋" w:eastAsia="仿宋"/>
          <w:color w:val="000000" w:themeColor="text1"/>
          <w:sz w:val="32"/>
          <w:szCs w:val="32"/>
          <w:lang w:eastAsia="zh-CN"/>
          <w14:textFill>
            <w14:solidFill>
              <w14:schemeClr w14:val="tx1"/>
            </w14:solidFill>
          </w14:textFill>
        </w:rPr>
        <w:t>上级</w:t>
      </w:r>
      <w:r>
        <w:rPr>
          <w:rFonts w:hint="eastAsia" w:ascii="仿宋" w:hAnsi="仿宋" w:eastAsia="仿宋"/>
          <w:color w:val="000000" w:themeColor="text1"/>
          <w:sz w:val="32"/>
          <w:szCs w:val="32"/>
          <w14:textFill>
            <w14:solidFill>
              <w14:schemeClr w14:val="tx1"/>
            </w14:solidFill>
          </w14:textFill>
        </w:rPr>
        <w:t>转移支付</w:t>
      </w:r>
      <w:r>
        <w:rPr>
          <w:rFonts w:hint="eastAsia" w:ascii="仿宋" w:hAnsi="仿宋" w:eastAsia="仿宋"/>
          <w:color w:val="000000" w:themeColor="text1"/>
          <w:sz w:val="32"/>
          <w:szCs w:val="32"/>
          <w:lang w:eastAsia="zh-CN"/>
          <w14:textFill>
            <w14:solidFill>
              <w14:schemeClr w14:val="tx1"/>
            </w14:solidFill>
          </w14:textFill>
        </w:rPr>
        <w:t>下达</w:t>
      </w:r>
      <w:r>
        <w:rPr>
          <w:rFonts w:hint="eastAsia" w:ascii="仿宋" w:hAnsi="仿宋" w:eastAsia="仿宋"/>
          <w:color w:val="000000" w:themeColor="text1"/>
          <w:sz w:val="32"/>
          <w:szCs w:val="32"/>
          <w14:textFill>
            <w14:solidFill>
              <w14:schemeClr w14:val="tx1"/>
            </w14:solidFill>
          </w14:textFill>
        </w:rPr>
        <w:t>160万元</w:t>
      </w:r>
      <w:r>
        <w:rPr>
          <w:rFonts w:hint="eastAsia" w:ascii="仿宋" w:hAnsi="仿宋" w:eastAsia="仿宋"/>
          <w:color w:val="000000" w:themeColor="text1"/>
          <w:sz w:val="32"/>
          <w:szCs w:val="32"/>
          <w:lang w:eastAsia="zh-CN"/>
          <w14:textFill>
            <w14:solidFill>
              <w14:schemeClr w14:val="tx1"/>
            </w14:solidFill>
          </w14:textFill>
        </w:rPr>
        <w:t>，上年结余</w:t>
      </w:r>
      <w:r>
        <w:rPr>
          <w:rFonts w:hint="eastAsia" w:ascii="仿宋" w:hAnsi="仿宋" w:eastAsia="仿宋"/>
          <w:color w:val="000000" w:themeColor="text1"/>
          <w:sz w:val="32"/>
          <w:szCs w:val="32"/>
          <w:lang w:val="en-US" w:eastAsia="zh-CN"/>
          <w14:textFill>
            <w14:solidFill>
              <w14:schemeClr w14:val="tx1"/>
            </w14:solidFill>
          </w14:textFill>
        </w:rPr>
        <w:t>6.05万元，</w:t>
      </w:r>
      <w:r>
        <w:rPr>
          <w:rFonts w:hint="eastAsia" w:ascii="仿宋" w:hAnsi="仿宋" w:eastAsia="仿宋"/>
          <w:color w:val="000000" w:themeColor="text1"/>
          <w:sz w:val="32"/>
          <w:szCs w:val="32"/>
          <w:lang w:eastAsia="zh-CN"/>
          <w14:textFill>
            <w14:solidFill>
              <w14:schemeClr w14:val="tx1"/>
            </w14:solidFill>
          </w14:textFill>
        </w:rPr>
        <w:t>实际支付</w:t>
      </w:r>
      <w:r>
        <w:rPr>
          <w:rFonts w:hint="eastAsia" w:ascii="仿宋" w:hAnsi="仿宋" w:eastAsia="仿宋"/>
          <w:color w:val="000000" w:themeColor="text1"/>
          <w:sz w:val="32"/>
          <w:szCs w:val="32"/>
          <w:lang w:val="en-US" w:eastAsia="zh-CN"/>
          <w14:textFill>
            <w14:solidFill>
              <w14:schemeClr w14:val="tx1"/>
            </w14:solidFill>
          </w14:textFill>
        </w:rPr>
        <w:t>166.05万元，资金执行率100%</w:t>
      </w:r>
      <w:r>
        <w:rPr>
          <w:rFonts w:hint="eastAsia" w:ascii="仿宋" w:hAnsi="仿宋" w:eastAsia="仿宋"/>
          <w:color w:val="000000" w:themeColor="text1"/>
          <w:sz w:val="32"/>
          <w:szCs w:val="32"/>
          <w14:textFill>
            <w14:solidFill>
              <w14:schemeClr w14:val="tx1"/>
            </w14:solidFill>
          </w14:textFill>
        </w:rPr>
        <w:t>。</w:t>
      </w:r>
    </w:p>
    <w:p w14:paraId="2CF0727B">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（二）项目绩效目标</w:t>
      </w:r>
    </w:p>
    <w:p w14:paraId="51BDD64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1.总体目标。</w:t>
      </w:r>
      <w:r>
        <w:rPr>
          <w:rFonts w:hint="eastAsia" w:ascii="仿宋" w:hAnsi="仿宋" w:eastAsia="仿宋"/>
          <w:color w:val="000000" w:themeColor="text1"/>
          <w:sz w:val="32"/>
          <w:szCs w:val="32"/>
          <w14:textFill>
            <w14:solidFill>
              <w14:schemeClr w14:val="tx1"/>
            </w14:solidFill>
          </w14:textFill>
        </w:rPr>
        <w:t>革命老区转移支付建设项目主要用于革命老区专门事务和改善革命老区人民群众生产生活条件的</w:t>
      </w:r>
      <w:r>
        <w:rPr>
          <w:rFonts w:hint="eastAsia" w:ascii="仿宋" w:hAnsi="仿宋" w:eastAsia="仿宋"/>
          <w:color w:val="000000" w:themeColor="text1"/>
          <w:sz w:val="32"/>
          <w:szCs w:val="32"/>
          <w:lang w:eastAsia="zh-CN"/>
          <w14:textFill>
            <w14:solidFill>
              <w14:schemeClr w14:val="tx1"/>
            </w14:solidFill>
          </w14:textFill>
        </w:rPr>
        <w:t>民生</w:t>
      </w:r>
      <w:r>
        <w:rPr>
          <w:rFonts w:hint="eastAsia" w:ascii="仿宋" w:hAnsi="仿宋" w:eastAsia="仿宋"/>
          <w:color w:val="000000" w:themeColor="text1"/>
          <w:sz w:val="32"/>
          <w:szCs w:val="32"/>
          <w14:textFill>
            <w14:solidFill>
              <w14:schemeClr w14:val="tx1"/>
            </w14:solidFill>
          </w14:textFill>
        </w:rPr>
        <w:t>事务。</w:t>
      </w:r>
    </w:p>
    <w:p w14:paraId="0C469BD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14:textFill>
            <w14:solidFill>
              <w14:schemeClr w14:val="tx1"/>
            </w14:solidFill>
          </w14:textFill>
        </w:rPr>
        <w:t>2.阶段性目标。完成</w:t>
      </w:r>
      <w:r>
        <w:rPr>
          <w:rFonts w:hint="eastAsia" w:eastAsia="仿宋_GB2312"/>
          <w:color w:val="000000" w:themeColor="text1"/>
          <w:sz w:val="32"/>
          <w:szCs w:val="32"/>
          <w:lang w:val="en-US" w:eastAsia="zh-CN"/>
          <w14:textFill>
            <w14:solidFill>
              <w14:schemeClr w14:val="tx1"/>
            </w14:solidFill>
          </w14:textFill>
        </w:rPr>
        <w:t>19</w:t>
      </w:r>
      <w:r>
        <w:rPr>
          <w:rFonts w:hint="eastAsia" w:eastAsia="仿宋_GB2312"/>
          <w:color w:val="000000" w:themeColor="text1"/>
          <w:sz w:val="32"/>
          <w:szCs w:val="32"/>
          <w14:textFill>
            <w14:solidFill>
              <w14:schemeClr w14:val="tx1"/>
            </w14:solidFill>
          </w14:textFill>
        </w:rPr>
        <w:t>个</w:t>
      </w:r>
      <w:r>
        <w:rPr>
          <w:rFonts w:hint="eastAsia" w:eastAsia="仿宋_GB2312"/>
          <w:color w:val="000000" w:themeColor="text1"/>
          <w:sz w:val="32"/>
          <w:szCs w:val="32"/>
          <w:lang w:eastAsia="zh-CN"/>
          <w14:textFill>
            <w14:solidFill>
              <w14:schemeClr w14:val="tx1"/>
            </w14:solidFill>
          </w14:textFill>
        </w:rPr>
        <w:t>村级基础设施建设项目</w:t>
      </w:r>
      <w:r>
        <w:rPr>
          <w:rFonts w:hint="eastAsia" w:eastAsia="仿宋_GB2312"/>
          <w:color w:val="000000" w:themeColor="text1"/>
          <w:sz w:val="32"/>
          <w:szCs w:val="32"/>
          <w:lang w:val="en-US" w:eastAsia="zh-CN"/>
          <w14:textFill>
            <w14:solidFill>
              <w14:schemeClr w14:val="tx1"/>
            </w14:solidFill>
          </w14:textFill>
        </w:rPr>
        <w:t>。</w:t>
      </w:r>
    </w:p>
    <w:p w14:paraId="3A6AFD7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二、绩效评价工作开展情况</w:t>
      </w:r>
    </w:p>
    <w:p w14:paraId="419E4CF3">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（一）绩效评价目的、对象和范围</w:t>
      </w:r>
    </w:p>
    <w:p w14:paraId="2CA28548">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1.目的。</w:t>
      </w:r>
      <w:r>
        <w:rPr>
          <w:rFonts w:hint="eastAsia" w:ascii="仿宋" w:hAnsi="仿宋" w:eastAsia="仿宋"/>
          <w:color w:val="000000" w:themeColor="text1"/>
          <w:sz w:val="32"/>
          <w:szCs w:val="32"/>
          <w14:textFill>
            <w14:solidFill>
              <w14:schemeClr w14:val="tx1"/>
            </w14:solidFill>
          </w14:textFill>
        </w:rPr>
        <w:t>通过绩效评价，树立绩效管理理念，做好预算绩效管理，提高财政资金效益，优化财政支出结构。也为逐步建立“预算编制有目标，预算执行有监控，预算完成有评价，评价结果有反馈，反馈结果有应用”的绩效评价机制提供决策依据。</w:t>
      </w:r>
    </w:p>
    <w:p w14:paraId="65242339">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2.对象和范围。</w:t>
      </w:r>
      <w:r>
        <w:rPr>
          <w:rFonts w:ascii="仿宋" w:hAnsi="仿宋" w:eastAsia="仿宋"/>
          <w:color w:val="000000" w:themeColor="text1"/>
          <w:sz w:val="32"/>
          <w:szCs w:val="32"/>
          <w14:textFill>
            <w14:solidFill>
              <w14:schemeClr w14:val="tx1"/>
            </w14:solidFill>
          </w14:textFill>
        </w:rPr>
        <w:t>对</w:t>
      </w:r>
      <w:r>
        <w:rPr>
          <w:rFonts w:hint="eastAsia" w:ascii="仿宋" w:hAnsi="仿宋" w:eastAsia="仿宋"/>
          <w:color w:val="000000" w:themeColor="text1"/>
          <w:sz w:val="32"/>
          <w:szCs w:val="32"/>
          <w14:textFill>
            <w14:solidFill>
              <w14:schemeClr w14:val="tx1"/>
            </w14:solidFill>
          </w14:textFill>
        </w:rPr>
        <w:t>老区项目</w:t>
      </w:r>
      <w:r>
        <w:rPr>
          <w:rFonts w:ascii="仿宋" w:hAnsi="仿宋" w:eastAsia="仿宋"/>
          <w:color w:val="000000" w:themeColor="text1"/>
          <w:sz w:val="32"/>
          <w:szCs w:val="32"/>
          <w14:textFill>
            <w14:solidFill>
              <w14:schemeClr w14:val="tx1"/>
            </w14:solidFill>
          </w14:textFill>
        </w:rPr>
        <w:t>的绩效目标完成、财政资金落实、项目管理、财务管理、完成绩效目标采取的管理制度及措施等办法、项目产出效益等进行绩效评价。</w:t>
      </w:r>
    </w:p>
    <w:p w14:paraId="65226484">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（二）绩效评价原则</w:t>
      </w:r>
    </w:p>
    <w:p w14:paraId="2FA57A98">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（1）科学规范原则。</w:t>
      </w:r>
      <w:r>
        <w:rPr>
          <w:rFonts w:hint="eastAsia" w:ascii="仿宋" w:hAnsi="仿宋" w:eastAsia="仿宋"/>
          <w:color w:val="000000" w:themeColor="text1"/>
          <w:sz w:val="32"/>
          <w:szCs w:val="32"/>
          <w14:textFill>
            <w14:solidFill>
              <w14:schemeClr w14:val="tx1"/>
            </w14:solidFill>
          </w14:textFill>
        </w:rPr>
        <w:t>绩效评价应当严格执行规定的程序，按照科学可行的要求，采用定量与定性分析相结合的方法。</w:t>
      </w:r>
    </w:p>
    <w:p w14:paraId="6C92E16B">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（2）公正公开原则。</w:t>
      </w:r>
      <w:r>
        <w:rPr>
          <w:rFonts w:hint="eastAsia" w:ascii="楷体" w:hAnsi="楷体" w:eastAsia="楷体"/>
          <w:color w:val="000000" w:themeColor="text1"/>
          <w:sz w:val="32"/>
          <w:szCs w:val="32"/>
          <w14:textFill>
            <w14:solidFill>
              <w14:schemeClr w14:val="tx1"/>
            </w14:solidFill>
          </w14:textFill>
        </w:rPr>
        <w:t>绩</w:t>
      </w:r>
      <w:r>
        <w:rPr>
          <w:rFonts w:hint="eastAsia" w:ascii="仿宋" w:hAnsi="仿宋" w:eastAsia="仿宋"/>
          <w:color w:val="000000" w:themeColor="text1"/>
          <w:sz w:val="32"/>
          <w:szCs w:val="32"/>
          <w14:textFill>
            <w14:solidFill>
              <w14:schemeClr w14:val="tx1"/>
            </w14:solidFill>
          </w14:textFill>
        </w:rPr>
        <w:t>效评价应当符合真实、客观、公正的要求，依法公开并接受监督。</w:t>
      </w:r>
    </w:p>
    <w:p w14:paraId="430E6826">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w:t>
      </w:r>
      <w:r>
        <w:rPr>
          <w:rFonts w:hint="eastAsia"/>
          <w:b/>
          <w:color w:val="000000" w:themeColor="text1"/>
          <w:sz w:val="32"/>
          <w:szCs w:val="32"/>
          <w14:textFill>
            <w14:solidFill>
              <w14:schemeClr w14:val="tx1"/>
            </w14:solidFill>
          </w14:textFill>
        </w:rPr>
        <w:t>3</w:t>
      </w:r>
      <w:r>
        <w:rPr>
          <w:rFonts w:hint="eastAsia" w:ascii="仿宋" w:hAnsi="仿宋" w:eastAsia="仿宋"/>
          <w:b/>
          <w:color w:val="000000" w:themeColor="text1"/>
          <w:sz w:val="32"/>
          <w:szCs w:val="32"/>
          <w14:textFill>
            <w14:solidFill>
              <w14:schemeClr w14:val="tx1"/>
            </w14:solidFill>
          </w14:textFill>
        </w:rPr>
        <w:t>）分级分类原则。</w:t>
      </w:r>
      <w:r>
        <w:rPr>
          <w:rFonts w:hint="eastAsia" w:ascii="楷体" w:hAnsi="楷体" w:eastAsia="楷体"/>
          <w:color w:val="000000" w:themeColor="text1"/>
          <w:sz w:val="32"/>
          <w:szCs w:val="32"/>
          <w14:textFill>
            <w14:solidFill>
              <w14:schemeClr w14:val="tx1"/>
            </w14:solidFill>
          </w14:textFill>
        </w:rPr>
        <w:t>绩</w:t>
      </w:r>
      <w:r>
        <w:rPr>
          <w:rFonts w:hint="eastAsia" w:ascii="仿宋" w:hAnsi="仿宋" w:eastAsia="仿宋"/>
          <w:color w:val="000000" w:themeColor="text1"/>
          <w:sz w:val="32"/>
          <w:szCs w:val="32"/>
          <w14:textFill>
            <w14:solidFill>
              <w14:schemeClr w14:val="tx1"/>
            </w14:solidFill>
          </w14:textFill>
        </w:rPr>
        <w:t>效评价由各级财政部门、各级预算部门根据评价对象的特点分类组织实施。</w:t>
      </w:r>
    </w:p>
    <w:p w14:paraId="30268F46">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w:t>
      </w:r>
      <w:r>
        <w:rPr>
          <w:rFonts w:hint="eastAsia"/>
          <w:b/>
          <w:color w:val="000000" w:themeColor="text1"/>
          <w:sz w:val="32"/>
          <w:szCs w:val="32"/>
          <w14:textFill>
            <w14:solidFill>
              <w14:schemeClr w14:val="tx1"/>
            </w14:solidFill>
          </w14:textFill>
        </w:rPr>
        <w:t>4</w:t>
      </w:r>
      <w:r>
        <w:rPr>
          <w:rFonts w:hint="eastAsia" w:ascii="仿宋" w:hAnsi="仿宋" w:eastAsia="仿宋"/>
          <w:b/>
          <w:color w:val="000000" w:themeColor="text1"/>
          <w:sz w:val="32"/>
          <w:szCs w:val="32"/>
          <w14:textFill>
            <w14:solidFill>
              <w14:schemeClr w14:val="tx1"/>
            </w14:solidFill>
          </w14:textFill>
        </w:rPr>
        <w:t>）绩效相关原则。</w:t>
      </w:r>
      <w:r>
        <w:rPr>
          <w:rFonts w:hint="eastAsia" w:ascii="仿宋" w:hAnsi="仿宋" w:eastAsia="仿宋"/>
          <w:color w:val="000000" w:themeColor="text1"/>
          <w:sz w:val="32"/>
          <w:szCs w:val="32"/>
          <w14:textFill>
            <w14:solidFill>
              <w14:schemeClr w14:val="tx1"/>
            </w14:solidFill>
          </w14:textFill>
        </w:rPr>
        <w:t>绩效评价应当针对具体支出及其产出绩效进行，评价结果应当清晰反映支出和产出绩效之间的紧密对应关系。</w:t>
      </w:r>
    </w:p>
    <w:p w14:paraId="1514127C">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（三）绩效评价工作过程</w:t>
      </w:r>
    </w:p>
    <w:p w14:paraId="7EF17573">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1.</w:t>
      </w:r>
      <w:r>
        <w:rPr>
          <w:rFonts w:ascii="楷体" w:hAnsi="楷体" w:eastAsia="楷体"/>
          <w:b/>
          <w:color w:val="000000" w:themeColor="text1"/>
          <w:sz w:val="32"/>
          <w:szCs w:val="32"/>
          <w14:textFill>
            <w14:solidFill>
              <w14:schemeClr w14:val="tx1"/>
            </w14:solidFill>
          </w14:textFill>
        </w:rPr>
        <w:t>前期准备。</w:t>
      </w:r>
      <w:r>
        <w:rPr>
          <w:rFonts w:ascii="仿宋" w:hAnsi="仿宋" w:eastAsia="仿宋"/>
          <w:color w:val="000000" w:themeColor="text1"/>
          <w:sz w:val="32"/>
          <w:szCs w:val="32"/>
          <w14:textFill>
            <w14:solidFill>
              <w14:schemeClr w14:val="tx1"/>
            </w14:solidFill>
          </w14:textFill>
        </w:rPr>
        <w:t>研究设计了项目评价指标体系及工作方案。</w:t>
      </w:r>
    </w:p>
    <w:p w14:paraId="6ED419B7">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2.</w:t>
      </w:r>
      <w:r>
        <w:rPr>
          <w:rFonts w:ascii="楷体" w:hAnsi="楷体" w:eastAsia="楷体"/>
          <w:b/>
          <w:color w:val="000000" w:themeColor="text1"/>
          <w:sz w:val="32"/>
          <w:szCs w:val="32"/>
          <w14:textFill>
            <w14:solidFill>
              <w14:schemeClr w14:val="tx1"/>
            </w14:solidFill>
          </w14:textFill>
        </w:rPr>
        <w:t>组织实施。</w:t>
      </w:r>
      <w:r>
        <w:rPr>
          <w:rFonts w:ascii="仿宋" w:hAnsi="仿宋" w:eastAsia="仿宋"/>
          <w:color w:val="000000" w:themeColor="text1"/>
          <w:sz w:val="32"/>
          <w:szCs w:val="32"/>
          <w14:textFill>
            <w14:solidFill>
              <w14:schemeClr w14:val="tx1"/>
            </w14:solidFill>
          </w14:textFill>
        </w:rPr>
        <w:t>一是</w:t>
      </w:r>
      <w:r>
        <w:rPr>
          <w:rFonts w:hint="eastAsia" w:ascii="仿宋" w:hAnsi="仿宋" w:eastAsia="仿宋"/>
          <w:color w:val="000000" w:themeColor="text1"/>
          <w:sz w:val="32"/>
          <w:szCs w:val="32"/>
          <w14:textFill>
            <w14:solidFill>
              <w14:schemeClr w14:val="tx1"/>
            </w14:solidFill>
          </w14:textFill>
        </w:rPr>
        <w:t>根据县财政局绩效评价文件</w:t>
      </w:r>
      <w:r>
        <w:rPr>
          <w:rFonts w:ascii="仿宋" w:hAnsi="仿宋" w:eastAsia="仿宋"/>
          <w:color w:val="000000" w:themeColor="text1"/>
          <w:sz w:val="32"/>
          <w:szCs w:val="32"/>
          <w14:textFill>
            <w14:solidFill>
              <w14:schemeClr w14:val="tx1"/>
            </w14:solidFill>
          </w14:textFill>
        </w:rPr>
        <w:t>进行自查和自评。二是根据自查和自评情况，绩效评价工作小组到被评价</w:t>
      </w:r>
      <w:r>
        <w:rPr>
          <w:rFonts w:hint="eastAsia" w:ascii="仿宋" w:hAnsi="仿宋" w:eastAsia="仿宋"/>
          <w:color w:val="000000" w:themeColor="text1"/>
          <w:sz w:val="32"/>
          <w:szCs w:val="32"/>
          <w14:textFill>
            <w14:solidFill>
              <w14:schemeClr w14:val="tx1"/>
            </w14:solidFill>
          </w14:textFill>
        </w:rPr>
        <w:t>部门</w:t>
      </w:r>
      <w:r>
        <w:rPr>
          <w:rFonts w:ascii="仿宋" w:hAnsi="仿宋" w:eastAsia="仿宋"/>
          <w:color w:val="000000" w:themeColor="text1"/>
          <w:sz w:val="32"/>
          <w:szCs w:val="32"/>
          <w14:textFill>
            <w14:solidFill>
              <w14:schemeClr w14:val="tx1"/>
            </w14:solidFill>
          </w14:textFill>
        </w:rPr>
        <w:t>进行现场调查取证，到项目实施地进行现场调查和问卷调查。</w:t>
      </w:r>
    </w:p>
    <w:p w14:paraId="32D72D3F">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3.</w:t>
      </w:r>
      <w:r>
        <w:rPr>
          <w:rFonts w:ascii="楷体" w:hAnsi="楷体" w:eastAsia="楷体"/>
          <w:b/>
          <w:color w:val="000000" w:themeColor="text1"/>
          <w:sz w:val="32"/>
          <w:szCs w:val="32"/>
          <w14:textFill>
            <w14:solidFill>
              <w14:schemeClr w14:val="tx1"/>
            </w14:solidFill>
          </w14:textFill>
        </w:rPr>
        <w:t>分析评价。</w:t>
      </w:r>
      <w:r>
        <w:rPr>
          <w:rFonts w:ascii="仿宋" w:hAnsi="仿宋" w:eastAsia="仿宋"/>
          <w:color w:val="000000" w:themeColor="text1"/>
          <w:sz w:val="32"/>
          <w:szCs w:val="32"/>
          <w14:textFill>
            <w14:solidFill>
              <w14:schemeClr w14:val="tx1"/>
            </w14:solidFill>
          </w14:textFill>
        </w:rPr>
        <w:t>一是成立项目绩效评价工作小组。二是通过调查了解，收集评价所需的基础资料。三是收集绩效评价所需资料，核实评价基础数据，对绩效评价指标项目进行打分，形成评价结论。</w:t>
      </w:r>
    </w:p>
    <w:p w14:paraId="1445164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三、综合评价情况及评价结论</w:t>
      </w:r>
    </w:p>
    <w:p w14:paraId="1BD8C33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
          <w:bCs/>
          <w:color w:val="000000" w:themeColor="text1"/>
          <w:sz w:val="32"/>
          <w:szCs w:val="32"/>
          <w14:textFill>
            <w14:solidFill>
              <w14:schemeClr w14:val="tx1"/>
            </w14:solidFill>
          </w14:textFill>
        </w:rPr>
      </w:pPr>
      <w:r>
        <w:rPr>
          <w:rFonts w:ascii="仿宋" w:hAnsi="仿宋" w:eastAsia="仿宋"/>
          <w:color w:val="000000" w:themeColor="text1"/>
          <w:sz w:val="32"/>
          <w:szCs w:val="32"/>
          <w:highlight w:val="none"/>
          <w14:textFill>
            <w14:solidFill>
              <w14:schemeClr w14:val="tx1"/>
            </w14:solidFill>
          </w14:textFill>
        </w:rPr>
        <w:t>新晃县</w:t>
      </w:r>
      <w:r>
        <w:rPr>
          <w:rFonts w:ascii="仿宋" w:hAnsi="仿宋" w:eastAsia="仿宋"/>
          <w:color w:val="000000" w:themeColor="text1"/>
          <w:sz w:val="32"/>
          <w:szCs w:val="32"/>
          <w14:textFill>
            <w14:solidFill>
              <w14:schemeClr w14:val="tx1"/>
            </w14:solidFill>
          </w14:textFill>
        </w:rPr>
        <w:t>民政局</w:t>
      </w:r>
      <w:r>
        <w:rPr>
          <w:rFonts w:hint="eastAsia" w:ascii="仿宋" w:hAnsi="仿宋" w:eastAsia="仿宋"/>
          <w:color w:val="000000" w:themeColor="text1"/>
          <w:sz w:val="32"/>
          <w:szCs w:val="32"/>
          <w:lang w:eastAsia="zh-CN"/>
          <w14:textFill>
            <w14:solidFill>
              <w14:schemeClr w14:val="tx1"/>
            </w14:solidFill>
          </w14:textFill>
        </w:rPr>
        <w:t>2024年</w:t>
      </w:r>
      <w:r>
        <w:rPr>
          <w:rFonts w:hint="eastAsia" w:ascii="仿宋" w:hAnsi="仿宋" w:eastAsia="仿宋"/>
          <w:color w:val="000000" w:themeColor="text1"/>
          <w:sz w:val="32"/>
          <w:szCs w:val="32"/>
          <w14:textFill>
            <w14:solidFill>
              <w14:schemeClr w14:val="tx1"/>
            </w14:solidFill>
          </w14:textFill>
        </w:rPr>
        <w:t>老区</w:t>
      </w:r>
      <w:r>
        <w:rPr>
          <w:rFonts w:ascii="仿宋" w:hAnsi="仿宋" w:eastAsia="仿宋"/>
          <w:color w:val="000000" w:themeColor="text1"/>
          <w:sz w:val="32"/>
          <w:szCs w:val="32"/>
          <w14:textFill>
            <w14:solidFill>
              <w14:schemeClr w14:val="tx1"/>
            </w14:solidFill>
          </w14:textFill>
        </w:rPr>
        <w:t>项目绩效评价自评结果：自评评分为</w:t>
      </w:r>
      <w:r>
        <w:rPr>
          <w:rFonts w:hint="eastAsia" w:ascii="仿宋" w:hAnsi="仿宋" w:eastAsia="仿宋"/>
          <w:color w:val="000000" w:themeColor="text1"/>
          <w:sz w:val="32"/>
          <w:szCs w:val="32"/>
          <w:lang w:val="en-US" w:eastAsia="zh-CN"/>
          <w14:textFill>
            <w14:solidFill>
              <w14:schemeClr w14:val="tx1"/>
            </w14:solidFill>
          </w14:textFill>
        </w:rPr>
        <w:t>97</w:t>
      </w:r>
      <w:r>
        <w:rPr>
          <w:rFonts w:ascii="仿宋" w:hAnsi="仿宋" w:eastAsia="仿宋"/>
          <w:color w:val="000000" w:themeColor="text1"/>
          <w:sz w:val="32"/>
          <w:szCs w:val="32"/>
          <w14:textFill>
            <w14:solidFill>
              <w14:schemeClr w14:val="tx1"/>
            </w14:solidFill>
          </w14:textFill>
        </w:rPr>
        <w:t>分，自评等级为“优”。</w:t>
      </w:r>
    </w:p>
    <w:p w14:paraId="7F9E30F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四、绩效评价指标分析</w:t>
      </w:r>
    </w:p>
    <w:p w14:paraId="1EA994E7">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（一）项目决策情况</w:t>
      </w:r>
    </w:p>
    <w:p w14:paraId="04537ED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湖南省财政厅关于提前下达</w:t>
      </w:r>
      <w:r>
        <w:rPr>
          <w:rFonts w:hint="eastAsia" w:ascii="仿宋" w:hAnsi="仿宋" w:eastAsia="仿宋"/>
          <w:color w:val="000000" w:themeColor="text1"/>
          <w:sz w:val="32"/>
          <w:szCs w:val="32"/>
          <w:lang w:eastAsia="zh-CN"/>
          <w14:textFill>
            <w14:solidFill>
              <w14:schemeClr w14:val="tx1"/>
            </w14:solidFill>
          </w14:textFill>
        </w:rPr>
        <w:t>2024年税收返还预算和</w:t>
      </w:r>
      <w:r>
        <w:rPr>
          <w:rFonts w:hint="eastAsia" w:ascii="仿宋" w:hAnsi="仿宋" w:eastAsia="仿宋"/>
          <w:color w:val="000000" w:themeColor="text1"/>
          <w:sz w:val="32"/>
          <w:szCs w:val="32"/>
          <w14:textFill>
            <w14:solidFill>
              <w14:schemeClr w14:val="tx1"/>
            </w14:solidFill>
          </w14:textFill>
        </w:rPr>
        <w:t>部分一般性转移支付资金的通知》（湘财预</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369</w:t>
      </w:r>
      <w:r>
        <w:rPr>
          <w:rFonts w:hint="eastAsia" w:ascii="仿宋" w:hAnsi="仿宋" w:eastAsia="仿宋"/>
          <w:color w:val="000000" w:themeColor="text1"/>
          <w:sz w:val="32"/>
          <w:szCs w:val="32"/>
          <w14:textFill>
            <w14:solidFill>
              <w14:schemeClr w14:val="tx1"/>
            </w14:solidFill>
          </w14:textFill>
        </w:rPr>
        <w:t>号）和《革命老区转移支付资金管理办法》（财预</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20</w:t>
      </w:r>
      <w:r>
        <w:rPr>
          <w:rFonts w:hint="eastAsia" w:ascii="仿宋" w:hAnsi="仿宋" w:eastAsia="仿宋"/>
          <w:color w:val="000000" w:themeColor="text1"/>
          <w:sz w:val="32"/>
          <w:szCs w:val="32"/>
          <w:lang w:val="en-US" w:eastAsia="zh-CN"/>
          <w14:textFill>
            <w14:solidFill>
              <w14:schemeClr w14:val="tx1"/>
            </w14:solidFill>
          </w14:textFill>
        </w:rPr>
        <w:t>15</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121号）文件要求实施。</w:t>
      </w:r>
    </w:p>
    <w:p w14:paraId="2ACBCF18">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（二）项目过程情况</w:t>
      </w:r>
      <w:bookmarkStart w:id="1" w:name="_GoBack"/>
      <w:bookmarkEnd w:id="1"/>
    </w:p>
    <w:p w14:paraId="6C61F27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我局收到</w:t>
      </w:r>
      <w:r>
        <w:rPr>
          <w:rFonts w:hint="eastAsia" w:ascii="仿宋" w:hAnsi="仿宋" w:eastAsia="仿宋"/>
          <w:color w:val="000000" w:themeColor="text1"/>
          <w:sz w:val="32"/>
          <w:szCs w:val="32"/>
          <w14:textFill>
            <w14:solidFill>
              <w14:schemeClr w14:val="tx1"/>
            </w14:solidFill>
          </w14:textFill>
        </w:rPr>
        <w:t>湘财预</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微软雅黑" w:hAnsi="微软雅黑" w:eastAsia="微软雅黑" w:cs="微软雅黑"/>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369</w:t>
      </w:r>
      <w:r>
        <w:rPr>
          <w:rFonts w:hint="eastAsia" w:ascii="仿宋" w:hAnsi="仿宋" w:eastAsia="仿宋"/>
          <w:color w:val="000000" w:themeColor="text1"/>
          <w:sz w:val="32"/>
          <w:szCs w:val="32"/>
          <w14:textFill>
            <w14:solidFill>
              <w14:schemeClr w14:val="tx1"/>
            </w14:solidFill>
          </w14:textFill>
        </w:rPr>
        <w:t>号文件后，及时召开局党组会，根据</w:t>
      </w:r>
      <w:r>
        <w:rPr>
          <w:rFonts w:hint="eastAsia" w:ascii="仿宋" w:hAnsi="仿宋" w:eastAsia="仿宋"/>
          <w:color w:val="000000" w:themeColor="text1"/>
          <w:sz w:val="32"/>
          <w:szCs w:val="32"/>
          <w:lang w:eastAsia="zh-CN"/>
          <w14:textFill>
            <w14:solidFill>
              <w14:schemeClr w14:val="tx1"/>
            </w14:solidFill>
          </w14:textFill>
        </w:rPr>
        <w:t>上年度</w:t>
      </w:r>
      <w:r>
        <w:rPr>
          <w:rFonts w:hint="eastAsia" w:ascii="仿宋" w:hAnsi="仿宋" w:eastAsia="仿宋"/>
          <w:color w:val="000000" w:themeColor="text1"/>
          <w:sz w:val="32"/>
          <w:szCs w:val="32"/>
          <w14:textFill>
            <w14:solidFill>
              <w14:schemeClr w14:val="tx1"/>
            </w14:solidFill>
          </w14:textFill>
        </w:rPr>
        <w:t>项目</w:t>
      </w:r>
      <w:r>
        <w:rPr>
          <w:rFonts w:hint="eastAsia" w:ascii="仿宋" w:hAnsi="仿宋" w:eastAsia="仿宋"/>
          <w:color w:val="000000" w:themeColor="text1"/>
          <w:sz w:val="32"/>
          <w:szCs w:val="32"/>
          <w:lang w:eastAsia="zh-CN"/>
          <w14:textFill>
            <w14:solidFill>
              <w14:schemeClr w14:val="tx1"/>
            </w14:solidFill>
          </w14:textFill>
        </w:rPr>
        <w:t>绩效评价结果</w:t>
      </w:r>
      <w:r>
        <w:rPr>
          <w:rFonts w:hint="eastAsia" w:ascii="仿宋" w:hAnsi="仿宋" w:eastAsia="仿宋"/>
          <w:color w:val="000000" w:themeColor="text1"/>
          <w:sz w:val="32"/>
          <w:szCs w:val="32"/>
          <w14:textFill>
            <w14:solidFill>
              <w14:schemeClr w14:val="tx1"/>
            </w14:solidFill>
          </w14:textFill>
        </w:rPr>
        <w:t>进行资金分配，最后将审定项目和资金分配情况以红头文件形式下发。</w:t>
      </w:r>
    </w:p>
    <w:p w14:paraId="39BCD8CF">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（三）项目产出情况</w:t>
      </w:r>
    </w:p>
    <w:p w14:paraId="7D280315">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⑴数量指标：</w:t>
      </w:r>
    </w:p>
    <w:p w14:paraId="5CF770E5">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完成</w:t>
      </w:r>
      <w:r>
        <w:rPr>
          <w:rFonts w:hint="eastAsia" w:ascii="仿宋" w:hAnsi="仿宋" w:eastAsia="仿宋"/>
          <w:color w:val="000000" w:themeColor="text1"/>
          <w:sz w:val="32"/>
          <w:szCs w:val="32"/>
          <w:lang w:eastAsia="zh-CN"/>
          <w14:textFill>
            <w14:solidFill>
              <w14:schemeClr w14:val="tx1"/>
            </w14:solidFill>
          </w14:textFill>
        </w:rPr>
        <w:t>2024年</w:t>
      </w:r>
      <w:r>
        <w:rPr>
          <w:rFonts w:hint="eastAsia" w:ascii="仿宋" w:hAnsi="仿宋" w:eastAsia="仿宋"/>
          <w:color w:val="000000" w:themeColor="text1"/>
          <w:sz w:val="32"/>
          <w:szCs w:val="32"/>
          <w14:textFill>
            <w14:solidFill>
              <w14:schemeClr w14:val="tx1"/>
            </w14:solidFill>
          </w14:textFill>
        </w:rPr>
        <w:t>革命老区转移支付建设项目</w:t>
      </w:r>
      <w:r>
        <w:rPr>
          <w:rFonts w:hint="eastAsia" w:ascii="仿宋" w:hAnsi="仿宋" w:eastAsia="仿宋"/>
          <w:color w:val="000000" w:themeColor="text1"/>
          <w:sz w:val="32"/>
          <w:szCs w:val="32"/>
          <w:lang w:val="en-US" w:eastAsia="zh-CN"/>
          <w14:textFill>
            <w14:solidFill>
              <w14:schemeClr w14:val="tx1"/>
            </w14:solidFill>
          </w14:textFill>
        </w:rPr>
        <w:t>19</w:t>
      </w:r>
      <w:r>
        <w:rPr>
          <w:rFonts w:hint="eastAsia" w:ascii="仿宋" w:hAnsi="仿宋" w:eastAsia="仿宋"/>
          <w:color w:val="000000" w:themeColor="text1"/>
          <w:sz w:val="32"/>
          <w:szCs w:val="32"/>
          <w14:textFill>
            <w14:solidFill>
              <w14:schemeClr w14:val="tx1"/>
            </w14:solidFill>
          </w14:textFill>
        </w:rPr>
        <w:t>个。</w:t>
      </w:r>
    </w:p>
    <w:p w14:paraId="36AAF54C">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⑵质量指标：</w:t>
      </w:r>
      <w:r>
        <w:rPr>
          <w:rFonts w:hint="eastAsia" w:ascii="仿宋" w:hAnsi="仿宋" w:eastAsia="仿宋"/>
          <w:color w:val="000000" w:themeColor="text1"/>
          <w:sz w:val="32"/>
          <w:szCs w:val="32"/>
          <w14:textFill>
            <w14:solidFill>
              <w14:schemeClr w14:val="tx1"/>
            </w14:solidFill>
          </w14:textFill>
        </w:rPr>
        <w:t>工程质量合格，达到验收标准。硬化路基宽不小于4.5米，硬化路面宽度不小于3.5米，厚度不小于15厘米，两边路肩宽各0.5米，合理设置排水设施、错车道等；道路亮化项目路灯间距</w:t>
      </w:r>
      <w:r>
        <w:rPr>
          <w:rFonts w:hint="eastAsia" w:ascii="仿宋" w:hAnsi="仿宋" w:eastAsia="仿宋"/>
          <w:color w:val="000000" w:themeColor="text1"/>
          <w:sz w:val="32"/>
          <w:szCs w:val="32"/>
          <w:lang w:val="en-US" w:eastAsia="zh-CN"/>
          <w14:textFill>
            <w14:solidFill>
              <w14:schemeClr w14:val="tx1"/>
            </w14:solidFill>
          </w14:textFill>
        </w:rPr>
        <w:t>50</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100</w:t>
      </w:r>
      <w:r>
        <w:rPr>
          <w:rFonts w:hint="eastAsia" w:ascii="仿宋" w:hAnsi="仿宋" w:eastAsia="仿宋"/>
          <w:color w:val="000000" w:themeColor="text1"/>
          <w:sz w:val="32"/>
          <w:szCs w:val="32"/>
          <w14:textFill>
            <w14:solidFill>
              <w14:schemeClr w14:val="tx1"/>
            </w14:solidFill>
          </w14:textFill>
        </w:rPr>
        <w:t>米；排污工程排污池、污水处理设施、防护坡建设、革命教育基地建设、涵桥维修、水塔建设达到相关技术标准要求。</w:t>
      </w:r>
    </w:p>
    <w:p w14:paraId="21EFE5B9">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⑶时效指标：</w:t>
      </w:r>
      <w:r>
        <w:rPr>
          <w:rFonts w:hint="eastAsia" w:ascii="仿宋" w:hAnsi="仿宋" w:eastAsia="仿宋"/>
          <w:color w:val="000000" w:themeColor="text1"/>
          <w:sz w:val="32"/>
          <w:szCs w:val="32"/>
          <w14:textFill>
            <w14:solidFill>
              <w14:schemeClr w14:val="tx1"/>
            </w14:solidFill>
          </w14:textFill>
        </w:rPr>
        <w:t>项目完成时间</w:t>
      </w:r>
      <w:r>
        <w:rPr>
          <w:rFonts w:hint="eastAsia" w:ascii="仿宋" w:hAnsi="仿宋" w:eastAsia="仿宋"/>
          <w:color w:val="000000" w:themeColor="text1"/>
          <w:sz w:val="32"/>
          <w:szCs w:val="32"/>
          <w:lang w:eastAsia="zh-CN"/>
          <w14:textFill>
            <w14:solidFill>
              <w14:schemeClr w14:val="tx1"/>
            </w14:solidFill>
          </w14:textFill>
        </w:rPr>
        <w:t>2024年</w:t>
      </w:r>
      <w:r>
        <w:rPr>
          <w:rFonts w:hint="eastAsia" w:ascii="仿宋" w:hAnsi="仿宋" w:eastAsia="仿宋"/>
          <w:color w:val="000000" w:themeColor="text1"/>
          <w:sz w:val="32"/>
          <w:szCs w:val="32"/>
          <w14:textFill>
            <w14:solidFill>
              <w14:schemeClr w14:val="tx1"/>
            </w14:solidFill>
          </w14:textFill>
        </w:rPr>
        <w:t>12月31日前。项目完成率≥</w:t>
      </w:r>
      <w:r>
        <w:rPr>
          <w:rFonts w:hint="eastAsia" w:ascii="仿宋" w:hAnsi="仿宋" w:eastAsia="仿宋"/>
          <w:color w:val="000000" w:themeColor="text1"/>
          <w:sz w:val="32"/>
          <w:szCs w:val="32"/>
          <w:lang w:val="en-US" w:eastAsia="zh-CN"/>
          <w14:textFill>
            <w14:solidFill>
              <w14:schemeClr w14:val="tx1"/>
            </w14:solidFill>
          </w14:textFill>
        </w:rPr>
        <w:t>100</w:t>
      </w:r>
      <w:r>
        <w:rPr>
          <w:rFonts w:hint="eastAsia" w:ascii="仿宋" w:hAnsi="仿宋" w:eastAsia="仿宋"/>
          <w:color w:val="000000" w:themeColor="text1"/>
          <w:sz w:val="32"/>
          <w:szCs w:val="32"/>
          <w14:textFill>
            <w14:solidFill>
              <w14:schemeClr w14:val="tx1"/>
            </w14:solidFill>
          </w14:textFill>
        </w:rPr>
        <w:t>%。</w:t>
      </w:r>
    </w:p>
    <w:p w14:paraId="59BEBB81">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643" w:firstLineChars="200"/>
        <w:jc w:val="both"/>
        <w:textAlignment w:val="auto"/>
        <w:rPr>
          <w:rFonts w:hint="eastAsia" w:ascii="sinsum" w:hAnsi="sinsum" w:eastAsia="仿宋"/>
          <w:color w:val="000000" w:themeColor="text1"/>
          <w:lang w:val="en-US" w:eastAsia="zh-CN"/>
          <w14:textFill>
            <w14:solidFill>
              <w14:schemeClr w14:val="tx1"/>
            </w14:solidFill>
          </w14:textFill>
        </w:rPr>
      </w:pPr>
      <w:r>
        <w:rPr>
          <w:rStyle w:val="5"/>
          <w:rFonts w:hint="eastAsia" w:ascii="仿宋" w:hAnsi="仿宋" w:eastAsia="仿宋"/>
          <w:color w:val="000000" w:themeColor="text1"/>
          <w:sz w:val="32"/>
          <w:szCs w:val="32"/>
          <w14:textFill>
            <w14:solidFill>
              <w14:schemeClr w14:val="tx1"/>
            </w14:solidFill>
          </w14:textFill>
        </w:rPr>
        <w:t>⑷成本指标：</w:t>
      </w:r>
      <w:r>
        <w:rPr>
          <w:rFonts w:hint="eastAsia" w:ascii="仿宋" w:hAnsi="仿宋" w:eastAsia="仿宋"/>
          <w:color w:val="000000" w:themeColor="text1"/>
          <w:sz w:val="32"/>
          <w:szCs w:val="32"/>
          <w14:textFill>
            <w14:solidFill>
              <w14:schemeClr w14:val="tx1"/>
            </w14:solidFill>
          </w14:textFill>
        </w:rPr>
        <w:t>我县</w:t>
      </w:r>
      <w:r>
        <w:rPr>
          <w:rFonts w:hint="eastAsia" w:ascii="仿宋" w:hAnsi="仿宋" w:eastAsia="仿宋"/>
          <w:color w:val="000000" w:themeColor="text1"/>
          <w:sz w:val="32"/>
          <w:szCs w:val="32"/>
          <w:lang w:eastAsia="zh-CN"/>
          <w14:textFill>
            <w14:solidFill>
              <w14:schemeClr w14:val="tx1"/>
            </w14:solidFill>
          </w14:textFill>
        </w:rPr>
        <w:t>2024年</w:t>
      </w:r>
      <w:r>
        <w:rPr>
          <w:rFonts w:hint="eastAsia" w:ascii="仿宋" w:hAnsi="仿宋" w:eastAsia="仿宋"/>
          <w:color w:val="000000" w:themeColor="text1"/>
          <w:sz w:val="32"/>
          <w:szCs w:val="32"/>
          <w14:textFill>
            <w14:solidFill>
              <w14:schemeClr w14:val="tx1"/>
            </w14:solidFill>
          </w14:textFill>
        </w:rPr>
        <w:t>革命老区转移支付建设项目16</w:t>
      </w:r>
      <w:r>
        <w:rPr>
          <w:rFonts w:hint="eastAsia" w:ascii="仿宋" w:hAnsi="仿宋" w:eastAsia="仿宋"/>
          <w:color w:val="000000" w:themeColor="text1"/>
          <w:sz w:val="32"/>
          <w:szCs w:val="32"/>
          <w:lang w:val="en-US" w:eastAsia="zh-CN"/>
          <w14:textFill>
            <w14:solidFill>
              <w14:schemeClr w14:val="tx1"/>
            </w14:solidFill>
          </w14:textFill>
        </w:rPr>
        <w:t>0</w:t>
      </w:r>
      <w:r>
        <w:rPr>
          <w:rFonts w:hint="eastAsia" w:ascii="仿宋" w:hAnsi="仿宋" w:eastAsia="仿宋"/>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lang w:eastAsia="zh-CN"/>
          <w14:textFill>
            <w14:solidFill>
              <w14:schemeClr w14:val="tx1"/>
            </w14:solidFill>
          </w14:textFill>
        </w:rPr>
        <w:t>。</w:t>
      </w:r>
    </w:p>
    <w:p w14:paraId="7011B9A7">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（四）项目效益情况</w:t>
      </w:r>
    </w:p>
    <w:p w14:paraId="6B8B9019">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1.社会效益：</w:t>
      </w:r>
      <w:r>
        <w:rPr>
          <w:rFonts w:hint="eastAsia" w:ascii="楷体" w:hAnsi="楷体" w:eastAsia="楷体"/>
          <w:b w:val="0"/>
          <w:bCs/>
          <w:color w:val="000000" w:themeColor="text1"/>
          <w:sz w:val="32"/>
          <w:szCs w:val="32"/>
          <w:lang w:eastAsia="zh-CN"/>
          <w14:textFill>
            <w14:solidFill>
              <w14:schemeClr w14:val="tx1"/>
            </w14:solidFill>
          </w14:textFill>
        </w:rPr>
        <w:t>对</w:t>
      </w:r>
      <w:r>
        <w:rPr>
          <w:rFonts w:hint="eastAsia" w:ascii="仿宋" w:hAnsi="仿宋" w:eastAsia="仿宋"/>
          <w:color w:val="000000" w:themeColor="text1"/>
          <w:sz w:val="32"/>
          <w:szCs w:val="32"/>
          <w14:textFill>
            <w14:solidFill>
              <w14:schemeClr w14:val="tx1"/>
            </w14:solidFill>
          </w14:textFill>
        </w:rPr>
        <w:t>改变革命老区贫困落后面貌，支持革命老区改善和保障民生，促进革命老区农村经济和各项社会事业发展，保护红色遗产资源，留住红色历史财富，改善革命老区群众生产生活条件，提高革命老区人民生产生活水平、加快新农村建设起到积极作用。</w:t>
      </w:r>
    </w:p>
    <w:p w14:paraId="78E7459C">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hint="eastAsia" w:ascii="楷体" w:hAnsi="楷体" w:eastAsia="楷体"/>
          <w:b/>
          <w:color w:val="000000" w:themeColor="text1"/>
          <w:sz w:val="32"/>
          <w:szCs w:val="32"/>
          <w14:textFill>
            <w14:solidFill>
              <w14:schemeClr w14:val="tx1"/>
            </w14:solidFill>
          </w14:textFill>
        </w:rPr>
        <w:t>2.可持续影响指标：</w:t>
      </w:r>
      <w:r>
        <w:rPr>
          <w:rFonts w:hint="eastAsia" w:ascii="仿宋" w:hAnsi="仿宋" w:eastAsia="仿宋"/>
          <w:color w:val="000000" w:themeColor="text1"/>
          <w:sz w:val="32"/>
          <w:szCs w:val="32"/>
          <w14:textFill>
            <w14:solidFill>
              <w14:schemeClr w14:val="tx1"/>
            </w14:solidFill>
          </w14:textFill>
        </w:rPr>
        <w:t>改善革命老区的基础设施、交通设施、文体活动设施等，其中：屯级道路使用年限15</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20年，水塔使用年限20</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30年，篮球场使用年限15</w:t>
      </w:r>
      <w:r>
        <w:rPr>
          <w:rFonts w:hint="eastAsia"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20年，道路亮化设施使用年限15</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20年。</w:t>
      </w:r>
    </w:p>
    <w:p w14:paraId="5C286386">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Style w:val="5"/>
          <w:rFonts w:hint="eastAsia" w:ascii="楷体" w:hAnsi="楷体" w:eastAsia="楷体" w:cs="楷体"/>
          <w:color w:val="000000" w:themeColor="text1"/>
          <w:sz w:val="32"/>
          <w:szCs w:val="32"/>
          <w14:textFill>
            <w14:solidFill>
              <w14:schemeClr w14:val="tx1"/>
            </w14:solidFill>
          </w14:textFill>
        </w:rPr>
        <w:t>3.服务对象满意度</w:t>
      </w:r>
      <w:r>
        <w:rPr>
          <w:rFonts w:hint="eastAsia" w:ascii="楷体" w:hAnsi="楷体" w:eastAsia="楷体" w:cs="楷体"/>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服务对象满意度达</w:t>
      </w:r>
      <w:r>
        <w:rPr>
          <w:rFonts w:ascii="Times New Roman" w:hAnsi="Times New Roman" w:eastAsia="仿宋" w:cs="Times New Roman"/>
          <w:color w:val="000000" w:themeColor="text1"/>
          <w:sz w:val="32"/>
          <w:szCs w:val="32"/>
          <w14:textFill>
            <w14:solidFill>
              <w14:schemeClr w14:val="tx1"/>
            </w14:solidFill>
          </w14:textFill>
        </w:rPr>
        <w:t>90</w:t>
      </w:r>
      <w:r>
        <w:rPr>
          <w:rFonts w:ascii="Times New Roman" w:hAnsi="Times New Roman" w:cs="Times New Roman"/>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以上。</w:t>
      </w:r>
      <w:r>
        <w:rPr>
          <w:rFonts w:ascii="Times New Roman" w:hAnsi="Times New Roman" w:cs="Times New Roman"/>
          <w:color w:val="000000" w:themeColor="text1"/>
          <w:sz w:val="32"/>
          <w:szCs w:val="32"/>
          <w14:textFill>
            <w14:solidFill>
              <w14:schemeClr w14:val="tx1"/>
            </w14:solidFill>
          </w14:textFill>
        </w:rPr>
        <w:t> </w:t>
      </w:r>
    </w:p>
    <w:p w14:paraId="268EE7C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黑体" w:hAnsi="黑体" w:eastAsia="黑体"/>
          <w:bCs/>
          <w:color w:val="000000" w:themeColor="text1"/>
          <w:sz w:val="32"/>
          <w:szCs w:val="32"/>
          <w14:textFill>
            <w14:solidFill>
              <w14:schemeClr w14:val="tx1"/>
            </w14:solidFill>
          </w14:textFill>
        </w:rPr>
      </w:pPr>
      <w:r>
        <w:rPr>
          <w:rFonts w:hint="eastAsia" w:ascii="黑体" w:hAnsi="黑体" w:eastAsia="黑体"/>
          <w:bCs/>
          <w:color w:val="000000" w:themeColor="text1"/>
          <w:sz w:val="32"/>
          <w:szCs w:val="32"/>
          <w14:textFill>
            <w14:solidFill>
              <w14:schemeClr w14:val="tx1"/>
            </w14:solidFill>
          </w14:textFill>
        </w:rPr>
        <w:t>五、主要经验及做法、存在的问题及原因分析</w:t>
      </w:r>
    </w:p>
    <w:p w14:paraId="1B8B4AAA">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ascii="仿宋" w:hAnsi="仿宋" w:eastAsia="仿宋"/>
          <w:b/>
          <w:color w:val="000000" w:themeColor="text1"/>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（一）主要做法及经验</w:t>
      </w:r>
    </w:p>
    <w:p w14:paraId="20FAA820">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bookmarkStart w:id="0" w:name="_Toc495442572"/>
      <w:bookmarkEnd w:id="0"/>
      <w:r>
        <w:rPr>
          <w:rFonts w:ascii="Times New Roman" w:hAnsi="Times New Roman" w:cs="Times New Roman"/>
          <w:color w:val="000000" w:themeColor="text1"/>
          <w:sz w:val="32"/>
          <w:szCs w:val="32"/>
          <w14:textFill>
            <w14:solidFill>
              <w14:schemeClr w14:val="tx1"/>
            </w14:solidFill>
          </w14:textFill>
        </w:rPr>
        <w:t>1.</w:t>
      </w:r>
      <w:r>
        <w:rPr>
          <w:rFonts w:hint="eastAsia" w:ascii="仿宋_GB2312" w:hAnsi="仿宋_GB2312" w:eastAsia="仿宋_GB2312"/>
          <w:color w:val="000000" w:themeColor="text1"/>
          <w:sz w:val="32"/>
          <w:szCs w:val="32"/>
          <w14:textFill>
            <w14:solidFill>
              <w14:schemeClr w14:val="tx1"/>
            </w14:solidFill>
          </w14:textFill>
        </w:rPr>
        <w:t>严格按照程序组织项目申报。</w:t>
      </w:r>
      <w:r>
        <w:rPr>
          <w:rStyle w:val="5"/>
          <w:rFonts w:hint="eastAsia" w:ascii="仿宋_GB2312" w:hAnsi="仿宋_GB2312" w:eastAsia="仿宋_GB2312"/>
          <w:color w:val="000000" w:themeColor="text1"/>
          <w:sz w:val="32"/>
          <w:szCs w:val="32"/>
          <w14:textFill>
            <w14:solidFill>
              <w14:schemeClr w14:val="tx1"/>
            </w14:solidFill>
          </w14:textFill>
        </w:rPr>
        <w:t>一是</w:t>
      </w:r>
      <w:r>
        <w:rPr>
          <w:rFonts w:hint="eastAsia" w:ascii="仿宋_GB2312" w:hAnsi="仿宋_GB2312" w:eastAsia="仿宋_GB2312"/>
          <w:color w:val="000000" w:themeColor="text1"/>
          <w:sz w:val="32"/>
          <w:szCs w:val="32"/>
          <w14:textFill>
            <w14:solidFill>
              <w14:schemeClr w14:val="tx1"/>
            </w14:solidFill>
          </w14:textFill>
        </w:rPr>
        <w:t>充分发挥乡镇的主观能动性，由乡镇逐级上报项目。二</w:t>
      </w:r>
      <w:r>
        <w:rPr>
          <w:rStyle w:val="5"/>
          <w:rFonts w:hint="eastAsia" w:ascii="仿宋_GB2312" w:hAnsi="仿宋_GB2312" w:eastAsia="仿宋_GB2312"/>
          <w:color w:val="000000" w:themeColor="text1"/>
          <w:sz w:val="32"/>
          <w:szCs w:val="32"/>
          <w14:textFill>
            <w14:solidFill>
              <w14:schemeClr w14:val="tx1"/>
            </w14:solidFill>
          </w14:textFill>
        </w:rPr>
        <w:t>是</w:t>
      </w:r>
      <w:r>
        <w:rPr>
          <w:rFonts w:hint="eastAsia" w:ascii="仿宋_GB2312" w:hAnsi="仿宋_GB2312" w:eastAsia="仿宋_GB2312"/>
          <w:color w:val="000000" w:themeColor="text1"/>
          <w:sz w:val="32"/>
          <w:szCs w:val="32"/>
          <w14:textFill>
            <w14:solidFill>
              <w14:schemeClr w14:val="tx1"/>
            </w14:solidFill>
          </w14:textFill>
        </w:rPr>
        <w:t>县民政局组织人员实地到点调查项目实施的可行性。</w:t>
      </w:r>
    </w:p>
    <w:p w14:paraId="3D1454A3">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sinsum" w:hAnsi="sinsum"/>
          <w:color w:val="000000" w:themeColor="text1"/>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2.</w:t>
      </w:r>
      <w:r>
        <w:rPr>
          <w:rFonts w:hint="eastAsia" w:ascii="仿宋_GB2312" w:hAnsi="仿宋_GB2312" w:eastAsia="仿宋_GB2312"/>
          <w:color w:val="000000" w:themeColor="text1"/>
          <w:sz w:val="32"/>
          <w:szCs w:val="32"/>
          <w14:textFill>
            <w14:solidFill>
              <w14:schemeClr w14:val="tx1"/>
            </w14:solidFill>
          </w14:textFill>
        </w:rPr>
        <w:t>做好项目实施的前期工作，确保项目进度和质量。定期对施工项目开展监督，确保项目实施的进度和质量。</w:t>
      </w:r>
    </w:p>
    <w:p w14:paraId="7674D04F">
      <w:pPr>
        <w:pStyle w:val="2"/>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ascii="仿宋_GB2312" w:hAnsi="仿宋_GB2312" w:eastAsia="仿宋_GB2312"/>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3.</w:t>
      </w:r>
      <w:r>
        <w:rPr>
          <w:rFonts w:hint="eastAsia" w:ascii="仿宋_GB2312" w:hAnsi="仿宋_GB2312" w:eastAsia="仿宋_GB2312"/>
          <w:color w:val="000000" w:themeColor="text1"/>
          <w:sz w:val="32"/>
          <w:szCs w:val="32"/>
          <w14:textFill>
            <w14:solidFill>
              <w14:schemeClr w14:val="tx1"/>
            </w14:solidFill>
          </w14:textFill>
        </w:rPr>
        <w:t>专款专用确保资金安全。严格按照</w:t>
      </w:r>
      <w:r>
        <w:rPr>
          <w:rFonts w:hint="eastAsia" w:ascii="仿宋" w:hAnsi="仿宋" w:eastAsia="仿宋"/>
          <w:color w:val="000000" w:themeColor="text1"/>
          <w:sz w:val="32"/>
          <w:szCs w:val="32"/>
          <w14:textFill>
            <w14:solidFill>
              <w14:schemeClr w14:val="tx1"/>
            </w14:solidFill>
          </w14:textFill>
        </w:rPr>
        <w:t>《革命老区转移支付资金管理办法》（财预</w:t>
      </w:r>
      <w:r>
        <w:rPr>
          <w:rFonts w:hint="eastAsia" w:ascii="仿宋" w:hAnsi="仿宋" w:eastAsia="仿宋"/>
          <w:color w:val="000000" w:themeColor="text1"/>
          <w:sz w:val="32"/>
          <w:szCs w:val="32"/>
          <w:highlight w:val="none"/>
          <w:lang w:eastAsia="zh-CN"/>
          <w14:textFill>
            <w14:solidFill>
              <w14:schemeClr w14:val="tx1"/>
            </w14:solidFill>
          </w14:textFill>
        </w:rPr>
        <w:t>〔2015〕121号</w:t>
      </w:r>
      <w:r>
        <w:rPr>
          <w:rFonts w:hint="eastAsia" w:ascii="仿宋" w:hAnsi="仿宋" w:eastAsia="仿宋"/>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14:textFill>
            <w14:solidFill>
              <w14:schemeClr w14:val="tx1"/>
            </w14:solidFill>
          </w14:textFill>
        </w:rPr>
        <w:t>，确保专款专用</w:t>
      </w:r>
      <w:r>
        <w:rPr>
          <w:rFonts w:hint="eastAsia" w:ascii="仿宋_GB2312" w:hAnsi="仿宋_GB2312" w:eastAsia="仿宋_GB2312"/>
          <w:color w:val="000000" w:themeColor="text1"/>
          <w:sz w:val="32"/>
          <w:szCs w:val="32"/>
          <w:lang w:eastAsia="zh-CN"/>
          <w14:textFill>
            <w14:solidFill>
              <w14:schemeClr w14:val="tx1"/>
            </w14:solidFill>
          </w14:textFill>
        </w:rPr>
        <w:t>，无</w:t>
      </w:r>
      <w:r>
        <w:rPr>
          <w:rFonts w:hint="eastAsia" w:ascii="仿宋_GB2312" w:hAnsi="仿宋_GB2312" w:eastAsia="仿宋_GB2312"/>
          <w:color w:val="000000" w:themeColor="text1"/>
          <w:sz w:val="32"/>
          <w:szCs w:val="32"/>
          <w14:textFill>
            <w14:solidFill>
              <w14:schemeClr w14:val="tx1"/>
            </w14:solidFill>
          </w14:textFill>
        </w:rPr>
        <w:t>挪用、挤占</w:t>
      </w:r>
      <w:r>
        <w:rPr>
          <w:rFonts w:hint="eastAsia" w:ascii="仿宋_GB2312" w:hAnsi="仿宋_GB2312" w:eastAsia="仿宋_GB2312"/>
          <w:color w:val="000000" w:themeColor="text1"/>
          <w:sz w:val="32"/>
          <w:szCs w:val="32"/>
          <w:lang w:eastAsia="zh-CN"/>
          <w14:textFill>
            <w14:solidFill>
              <w14:schemeClr w14:val="tx1"/>
            </w14:solidFill>
          </w14:textFill>
        </w:rPr>
        <w:t>资金</w:t>
      </w:r>
      <w:r>
        <w:rPr>
          <w:rFonts w:hint="eastAsia" w:ascii="仿宋_GB2312" w:hAnsi="仿宋_GB2312" w:eastAsia="仿宋_GB2312"/>
          <w:color w:val="000000" w:themeColor="text1"/>
          <w:sz w:val="32"/>
          <w:szCs w:val="32"/>
          <w14:textFill>
            <w14:solidFill>
              <w14:schemeClr w14:val="tx1"/>
            </w14:solidFill>
          </w14:textFill>
        </w:rPr>
        <w:t>等现象发生。</w:t>
      </w:r>
    </w:p>
    <w:p w14:paraId="36D38B07">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jc w:val="both"/>
        <w:textAlignment w:val="auto"/>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 </w:t>
      </w:r>
    </w:p>
    <w:p w14:paraId="1D2DBD5B">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jc w:val="both"/>
        <w:textAlignment w:val="auto"/>
        <w:rPr>
          <w:rFonts w:ascii="Times New Roman" w:hAnsi="Times New Roman" w:eastAsia="仿宋_GB2312" w:cs="Times New Roman"/>
          <w:color w:val="000000" w:themeColor="text1"/>
          <w:sz w:val="28"/>
          <w:szCs w:val="28"/>
          <w14:textFill>
            <w14:solidFill>
              <w14:schemeClr w14:val="tx1"/>
            </w14:solidFill>
          </w14:textFill>
        </w:rPr>
      </w:pPr>
    </w:p>
    <w:p w14:paraId="07480DD8">
      <w:pPr>
        <w:keepNext w:val="0"/>
        <w:keepLines w:val="0"/>
        <w:pageBreakBefore w:val="0"/>
        <w:kinsoku/>
        <w:wordWrap/>
        <w:overflowPunct/>
        <w:topLinePunct w:val="0"/>
        <w:autoSpaceDE/>
        <w:autoSpaceDN/>
        <w:bidi w:val="0"/>
        <w:adjustRightInd/>
        <w:snapToGrid/>
        <w:spacing w:line="600" w:lineRule="exact"/>
        <w:ind w:firstLine="4480" w:firstLineChars="1400"/>
        <w:textAlignment w:val="auto"/>
        <w:rPr>
          <w:rFonts w:eastAsia="仿宋_GB2312"/>
          <w:color w:val="000000" w:themeColor="text1"/>
          <w:sz w:val="28"/>
          <w:szCs w:val="28"/>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新晃侗族自治县民政局</w:t>
      </w:r>
      <w:r>
        <w:rPr>
          <w:rFonts w:ascii="仿宋" w:hAnsi="仿宋" w:eastAsia="仿宋"/>
          <w:color w:val="000000" w:themeColor="text1"/>
          <w:sz w:val="32"/>
          <w:szCs w:val="32"/>
          <w14:textFill>
            <w14:solidFill>
              <w14:schemeClr w14:val="tx1"/>
            </w14:solidFill>
          </w14:textFill>
        </w:rPr>
        <w:t xml:space="preserve">   </w:t>
      </w:r>
      <w:r>
        <w:rPr>
          <w:rFonts w:eastAsia="仿宋_GB2312"/>
          <w:color w:val="000000" w:themeColor="text1"/>
          <w:sz w:val="28"/>
          <w:szCs w:val="28"/>
          <w14:textFill>
            <w14:solidFill>
              <w14:schemeClr w14:val="tx1"/>
            </w14:solidFill>
          </w14:textFill>
        </w:rPr>
        <w:t xml:space="preserve">                     </w:t>
      </w:r>
    </w:p>
    <w:p w14:paraId="0AC17506">
      <w:pPr>
        <w:keepNext w:val="0"/>
        <w:keepLines w:val="0"/>
        <w:pageBreakBefore w:val="0"/>
        <w:kinsoku/>
        <w:wordWrap/>
        <w:overflowPunct/>
        <w:topLinePunct w:val="0"/>
        <w:autoSpaceDE/>
        <w:autoSpaceDN/>
        <w:bidi w:val="0"/>
        <w:adjustRightInd/>
        <w:snapToGrid/>
        <w:spacing w:line="600" w:lineRule="exact"/>
        <w:ind w:firstLine="4800" w:firstLineChars="1500"/>
        <w:textAlignment w:val="auto"/>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 xml:space="preserve">年 </w:t>
      </w:r>
      <w:r>
        <w:rPr>
          <w:rFonts w:hint="eastAsia" w:ascii="仿宋" w:hAnsi="仿宋" w:eastAsia="仿宋"/>
          <w:color w:val="000000" w:themeColor="text1"/>
          <w:sz w:val="32"/>
          <w:szCs w:val="32"/>
          <w:lang w:val="en-US" w:eastAsia="zh-CN"/>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19</w:t>
      </w:r>
      <w:r>
        <w:rPr>
          <w:rFonts w:ascii="仿宋" w:hAnsi="仿宋" w:eastAsia="仿宋"/>
          <w:color w:val="000000" w:themeColor="text1"/>
          <w:sz w:val="32"/>
          <w:szCs w:val="32"/>
          <w14:textFill>
            <w14:solidFill>
              <w14:schemeClr w14:val="tx1"/>
            </w14:solidFill>
          </w14:textFill>
        </w:rPr>
        <w:t>日</w:t>
      </w:r>
    </w:p>
    <w:p w14:paraId="778FFC21">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olor w:val="000000" w:themeColor="text1"/>
          <w:sz w:val="32"/>
          <w:szCs w:val="32"/>
          <w14:textFill>
            <w14:solidFill>
              <w14:schemeClr w14:val="tx1"/>
            </w14:solidFill>
          </w14:textFill>
        </w:rPr>
      </w:pPr>
    </w:p>
    <w:sectPr>
      <w:pgSz w:w="11906" w:h="16838"/>
      <w:pgMar w:top="1701" w:right="1474" w:bottom="170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sinsum">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yNDk1OTE5Y2JlMzFjYzNkMzc3Njg2Y2I3ZmU5ODEifQ=="/>
  </w:docVars>
  <w:rsids>
    <w:rsidRoot w:val="0075179A"/>
    <w:rsid w:val="0015205F"/>
    <w:rsid w:val="001F3764"/>
    <w:rsid w:val="003239B1"/>
    <w:rsid w:val="003330A5"/>
    <w:rsid w:val="003A55E1"/>
    <w:rsid w:val="004061B1"/>
    <w:rsid w:val="005512BF"/>
    <w:rsid w:val="00555271"/>
    <w:rsid w:val="006910B2"/>
    <w:rsid w:val="006E121A"/>
    <w:rsid w:val="0075179A"/>
    <w:rsid w:val="00825402"/>
    <w:rsid w:val="0083050D"/>
    <w:rsid w:val="008A7E27"/>
    <w:rsid w:val="00924C0C"/>
    <w:rsid w:val="00A577AD"/>
    <w:rsid w:val="00A808CA"/>
    <w:rsid w:val="00A80F97"/>
    <w:rsid w:val="00B465B9"/>
    <w:rsid w:val="00C02501"/>
    <w:rsid w:val="00C3100A"/>
    <w:rsid w:val="00C93F38"/>
    <w:rsid w:val="00CA48D6"/>
    <w:rsid w:val="00D96D91"/>
    <w:rsid w:val="00DF626E"/>
    <w:rsid w:val="00ED18DB"/>
    <w:rsid w:val="00F00390"/>
    <w:rsid w:val="02171A75"/>
    <w:rsid w:val="042B522A"/>
    <w:rsid w:val="07052FD8"/>
    <w:rsid w:val="07FB1587"/>
    <w:rsid w:val="14DE5899"/>
    <w:rsid w:val="1752679B"/>
    <w:rsid w:val="18BB58C7"/>
    <w:rsid w:val="1A936A7B"/>
    <w:rsid w:val="21275814"/>
    <w:rsid w:val="2AE3568B"/>
    <w:rsid w:val="2C0734F1"/>
    <w:rsid w:val="2D1E4376"/>
    <w:rsid w:val="2D9112AE"/>
    <w:rsid w:val="31B32F4A"/>
    <w:rsid w:val="31DB5E1C"/>
    <w:rsid w:val="3A794624"/>
    <w:rsid w:val="41956F94"/>
    <w:rsid w:val="41C8610E"/>
    <w:rsid w:val="42A035D3"/>
    <w:rsid w:val="509671E9"/>
    <w:rsid w:val="513F3887"/>
    <w:rsid w:val="51740191"/>
    <w:rsid w:val="558419F7"/>
    <w:rsid w:val="5B500161"/>
    <w:rsid w:val="711E68DF"/>
    <w:rsid w:val="71DD0F18"/>
    <w:rsid w:val="794B3C0F"/>
    <w:rsid w:val="79B50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1608</Words>
  <Characters>1700</Characters>
  <Lines>18</Lines>
  <Paragraphs>5</Paragraphs>
  <TotalTime>68</TotalTime>
  <ScaleCrop>false</ScaleCrop>
  <LinksUpToDate>false</LinksUpToDate>
  <CharactersWithSpaces>1700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2022-05-26T03:37:00Z</dcterms:created>
  <dc:creator>xb21cn</dc:creator>
  <cp:lastModifiedBy>艾朵朵</cp:lastModifiedBy>
  <cp:lastPrinted>2025-04-07T06:48:32Z</cp:lastPrinted>
  <dcterms:modified xsi:type="dcterms:W3CDTF">2025-04-07T06:49:14Z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eyJoZGlkIjoiMGJlNjcxYWRhYmE4ZGQyYTJjZTg4NThmMmY1ZDRjNjAifQ==</vt:lpwstr>
  </property>
  <property fmtid="{D5CDD505-2E9C-101B-9397-08002B2CF9AE}" pid="3" name="KSOProductBuildVer">
    <vt:lpwstr>2052-12.1.0.20305</vt:lpwstr>
  </property>
  <property fmtid="{D5CDD505-2E9C-101B-9397-08002B2CF9AE}" pid="4" name="ICV">
    <vt:lpwstr>A6EAFF28656D4221805D1F0A54F076FD_13</vt:lpwstr>
  </property>
  <property fmtid="{D5CDD505-2E9C-101B-9397-08002B2CF9AE}" pid="5" name="KSOTemplateDocerSaveRecord">
    <vt:lpwstr>eyJoZGlkIjoiZDMyNDk1OTE5Y2JlMzFjYzNkMzc3Njg2Y2I3ZmU5ODEiLCJ1c2VySWQiOiIzODkyMTI2MzIifQ==</vt:lpwstr>
  </property>
</Properties>
</file>