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1C2880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jc w:val="center"/>
        <w:rPr>
          <w:rStyle w:val="8"/>
          <w:rFonts w:cs="Times New Roman" w:asciiTheme="majorEastAsia" w:hAnsiTheme="majorEastAsia" w:eastAsiaTheme="majorEastAsia"/>
          <w:bCs w:val="0"/>
          <w:spacing w:val="-23"/>
          <w:sz w:val="44"/>
          <w:szCs w:val="44"/>
        </w:rPr>
      </w:pPr>
      <w:r>
        <w:rPr>
          <w:rStyle w:val="8"/>
          <w:rFonts w:hint="eastAsia" w:cs="Times New Roman" w:asciiTheme="majorEastAsia" w:hAnsiTheme="majorEastAsia" w:eastAsiaTheme="majorEastAsia"/>
          <w:bCs w:val="0"/>
          <w:spacing w:val="-23"/>
          <w:sz w:val="44"/>
          <w:szCs w:val="44"/>
        </w:rPr>
        <w:t>新晃侗族自治县民政局</w:t>
      </w:r>
      <w:r>
        <w:rPr>
          <w:rStyle w:val="8"/>
          <w:rFonts w:hint="eastAsia" w:cs="Times New Roman" w:asciiTheme="majorEastAsia" w:hAnsiTheme="majorEastAsia" w:eastAsiaTheme="majorEastAsia"/>
          <w:bCs w:val="0"/>
          <w:spacing w:val="-23"/>
          <w:sz w:val="44"/>
          <w:szCs w:val="44"/>
          <w:lang w:eastAsia="zh-CN"/>
        </w:rPr>
        <w:t>202</w:t>
      </w:r>
      <w:r>
        <w:rPr>
          <w:rStyle w:val="8"/>
          <w:rFonts w:hint="eastAsia" w:cs="Times New Roman" w:asciiTheme="majorEastAsia" w:hAnsiTheme="majorEastAsia" w:eastAsiaTheme="majorEastAsia"/>
          <w:bCs w:val="0"/>
          <w:spacing w:val="-23"/>
          <w:sz w:val="44"/>
          <w:szCs w:val="44"/>
          <w:lang w:val="en-US" w:eastAsia="zh-CN"/>
        </w:rPr>
        <w:t>4</w:t>
      </w:r>
      <w:r>
        <w:rPr>
          <w:rStyle w:val="8"/>
          <w:rFonts w:hint="eastAsia" w:cs="Times New Roman" w:asciiTheme="majorEastAsia" w:hAnsiTheme="majorEastAsia" w:eastAsiaTheme="majorEastAsia"/>
          <w:bCs w:val="0"/>
          <w:spacing w:val="-23"/>
          <w:sz w:val="44"/>
          <w:szCs w:val="44"/>
          <w:lang w:eastAsia="zh-CN"/>
        </w:rPr>
        <w:t>年</w:t>
      </w:r>
      <w:r>
        <w:rPr>
          <w:rStyle w:val="8"/>
          <w:rFonts w:cs="Times New Roman" w:asciiTheme="majorEastAsia" w:hAnsiTheme="majorEastAsia" w:eastAsiaTheme="majorEastAsia"/>
          <w:bCs w:val="0"/>
          <w:spacing w:val="-23"/>
          <w:sz w:val="44"/>
          <w:szCs w:val="44"/>
        </w:rPr>
        <w:t>度整体支出绩效</w:t>
      </w:r>
    </w:p>
    <w:p w14:paraId="3A76CDA5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jc w:val="center"/>
        <w:rPr>
          <w:rStyle w:val="8"/>
          <w:rFonts w:cs="Times New Roman" w:asciiTheme="majorEastAsia" w:hAnsiTheme="majorEastAsia" w:eastAsiaTheme="majorEastAsia"/>
          <w:bCs w:val="0"/>
          <w:spacing w:val="-23"/>
          <w:sz w:val="44"/>
          <w:szCs w:val="44"/>
        </w:rPr>
      </w:pPr>
      <w:r>
        <w:rPr>
          <w:rStyle w:val="8"/>
          <w:rFonts w:cs="Times New Roman" w:asciiTheme="majorEastAsia" w:hAnsiTheme="majorEastAsia" w:eastAsiaTheme="majorEastAsia"/>
          <w:bCs w:val="0"/>
          <w:spacing w:val="-23"/>
          <w:sz w:val="44"/>
          <w:szCs w:val="44"/>
        </w:rPr>
        <w:t>自</w:t>
      </w:r>
      <w:r>
        <w:rPr>
          <w:rStyle w:val="8"/>
          <w:rFonts w:hint="eastAsia" w:cs="Times New Roman" w:asciiTheme="majorEastAsia" w:hAnsiTheme="majorEastAsia" w:eastAsiaTheme="majorEastAsia"/>
          <w:bCs w:val="0"/>
          <w:spacing w:val="-23"/>
          <w:sz w:val="44"/>
          <w:szCs w:val="44"/>
        </w:rPr>
        <w:t xml:space="preserve"> </w:t>
      </w:r>
      <w:r>
        <w:rPr>
          <w:rStyle w:val="8"/>
          <w:rFonts w:cs="Times New Roman" w:asciiTheme="majorEastAsia" w:hAnsiTheme="majorEastAsia" w:eastAsiaTheme="majorEastAsia"/>
          <w:bCs w:val="0"/>
          <w:spacing w:val="-23"/>
          <w:sz w:val="44"/>
          <w:szCs w:val="44"/>
        </w:rPr>
        <w:t>评</w:t>
      </w:r>
      <w:r>
        <w:rPr>
          <w:rStyle w:val="8"/>
          <w:rFonts w:hint="eastAsia" w:cs="Times New Roman" w:asciiTheme="majorEastAsia" w:hAnsiTheme="majorEastAsia" w:eastAsiaTheme="majorEastAsia"/>
          <w:bCs w:val="0"/>
          <w:spacing w:val="-23"/>
          <w:sz w:val="44"/>
          <w:szCs w:val="44"/>
        </w:rPr>
        <w:t xml:space="preserve"> </w:t>
      </w:r>
      <w:r>
        <w:rPr>
          <w:rStyle w:val="8"/>
          <w:rFonts w:cs="Times New Roman" w:asciiTheme="majorEastAsia" w:hAnsiTheme="majorEastAsia" w:eastAsiaTheme="majorEastAsia"/>
          <w:bCs w:val="0"/>
          <w:spacing w:val="-23"/>
          <w:sz w:val="44"/>
          <w:szCs w:val="44"/>
        </w:rPr>
        <w:t>报</w:t>
      </w:r>
      <w:r>
        <w:rPr>
          <w:rStyle w:val="8"/>
          <w:rFonts w:hint="eastAsia" w:cs="Times New Roman" w:asciiTheme="majorEastAsia" w:hAnsiTheme="majorEastAsia" w:eastAsiaTheme="majorEastAsia"/>
          <w:bCs w:val="0"/>
          <w:spacing w:val="-23"/>
          <w:sz w:val="44"/>
          <w:szCs w:val="44"/>
        </w:rPr>
        <w:t xml:space="preserve"> </w:t>
      </w:r>
      <w:r>
        <w:rPr>
          <w:rStyle w:val="8"/>
          <w:rFonts w:cs="Times New Roman" w:asciiTheme="majorEastAsia" w:hAnsiTheme="majorEastAsia" w:eastAsiaTheme="majorEastAsia"/>
          <w:bCs w:val="0"/>
          <w:spacing w:val="-23"/>
          <w:sz w:val="44"/>
          <w:szCs w:val="44"/>
        </w:rPr>
        <w:t>告</w:t>
      </w:r>
    </w:p>
    <w:p w14:paraId="5B218F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left"/>
        <w:rPr>
          <w:rFonts w:ascii="仿宋" w:hAnsi="仿宋" w:eastAsia="仿宋"/>
          <w:sz w:val="32"/>
          <w:szCs w:val="32"/>
        </w:rPr>
      </w:pPr>
    </w:p>
    <w:p w14:paraId="56C199BB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960" w:firstLineChars="300"/>
        <w:jc w:val="left"/>
        <w:rPr>
          <w:rFonts w:ascii="黑体" w:hAnsi="黑体" w:eastAsia="黑体"/>
          <w:sz w:val="32"/>
          <w:szCs w:val="32"/>
        </w:rPr>
      </w:pPr>
      <w:r>
        <w:rPr>
          <w:rFonts w:ascii="黑体" w:hAnsi="黑体" w:eastAsia="黑体"/>
          <w:sz w:val="32"/>
          <w:szCs w:val="32"/>
        </w:rPr>
        <w:t>单位基本概况</w:t>
      </w:r>
    </w:p>
    <w:p w14:paraId="53B00D9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300"/>
        <w:jc w:val="left"/>
        <w:rPr>
          <w:rFonts w:ascii="仿宋" w:hAnsi="仿宋" w:eastAsia="仿宋" w:cs="宋体"/>
          <w:sz w:val="32"/>
          <w:szCs w:val="32"/>
        </w:rPr>
      </w:pPr>
      <w:r>
        <w:rPr>
          <w:rFonts w:ascii="仿宋" w:hAnsi="仿宋" w:eastAsia="仿宋" w:cs="宋体"/>
          <w:b/>
          <w:bCs/>
          <w:sz w:val="32"/>
          <w:szCs w:val="32"/>
        </w:rPr>
        <w:t>（一）机构设置情况</w:t>
      </w:r>
    </w:p>
    <w:p w14:paraId="24C501F8"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30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单位内设机构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个：办公室（规划财务股）、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社会组织管理和慈善事业促进股（政策法规股、行政审批服务股）</w:t>
      </w:r>
      <w:r>
        <w:rPr>
          <w:rFonts w:hint="eastAsia" w:ascii="仿宋" w:hAnsi="仿宋" w:eastAsia="仿宋" w:cs="仿宋"/>
          <w:sz w:val="32"/>
          <w:szCs w:val="32"/>
        </w:rPr>
        <w:t>、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社会事务和区划地名股</w:t>
      </w:r>
      <w:r>
        <w:rPr>
          <w:rFonts w:hint="eastAsia" w:ascii="仿宋" w:hAnsi="仿宋" w:eastAsia="仿宋" w:cs="仿宋"/>
          <w:sz w:val="32"/>
          <w:szCs w:val="32"/>
        </w:rPr>
        <w:t>、养老服务和儿童福利股、社会救助股。所属事业单位7个：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新晃县</w:t>
      </w:r>
      <w:r>
        <w:rPr>
          <w:rFonts w:hint="eastAsia" w:ascii="仿宋" w:hAnsi="仿宋" w:eastAsia="仿宋" w:cs="仿宋"/>
          <w:sz w:val="32"/>
          <w:szCs w:val="32"/>
        </w:rPr>
        <w:t>慈善会办公室、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新晃县</w:t>
      </w:r>
      <w:r>
        <w:rPr>
          <w:rFonts w:hint="eastAsia" w:ascii="仿宋" w:hAnsi="仿宋" w:eastAsia="仿宋" w:cs="仿宋"/>
          <w:sz w:val="32"/>
          <w:szCs w:val="32"/>
        </w:rPr>
        <w:t>居民家庭经济状况核对中心、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新晃县</w:t>
      </w:r>
      <w:r>
        <w:rPr>
          <w:rFonts w:hint="eastAsia" w:ascii="仿宋" w:hAnsi="仿宋" w:eastAsia="仿宋" w:cs="仿宋"/>
          <w:sz w:val="32"/>
          <w:szCs w:val="32"/>
        </w:rPr>
        <w:t>福利院（中心敬老院）、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新晃县</w:t>
      </w:r>
      <w:r>
        <w:rPr>
          <w:rFonts w:hint="eastAsia" w:ascii="仿宋" w:hAnsi="仿宋" w:eastAsia="仿宋" w:cs="仿宋"/>
          <w:sz w:val="32"/>
          <w:szCs w:val="32"/>
        </w:rPr>
        <w:t>流浪乞讨人员救助管理站、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新晃县</w:t>
      </w:r>
      <w:r>
        <w:rPr>
          <w:rFonts w:hint="eastAsia" w:ascii="仿宋" w:hAnsi="仿宋" w:eastAsia="仿宋" w:cs="仿宋"/>
          <w:sz w:val="32"/>
          <w:szCs w:val="32"/>
        </w:rPr>
        <w:t>婚姻登记服务中心、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新晃县</w:t>
      </w:r>
      <w:r>
        <w:rPr>
          <w:rFonts w:hint="eastAsia" w:ascii="仿宋" w:hAnsi="仿宋" w:eastAsia="仿宋" w:cs="仿宋"/>
          <w:sz w:val="32"/>
          <w:szCs w:val="32"/>
        </w:rPr>
        <w:t>革命老根据地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管理</w:t>
      </w:r>
      <w:r>
        <w:rPr>
          <w:rFonts w:hint="eastAsia" w:ascii="仿宋" w:hAnsi="仿宋" w:eastAsia="仿宋" w:cs="仿宋"/>
          <w:sz w:val="32"/>
          <w:szCs w:val="32"/>
        </w:rPr>
        <w:t>办公室、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新晃县</w:t>
      </w:r>
      <w:r>
        <w:rPr>
          <w:rFonts w:hint="eastAsia" w:ascii="仿宋" w:hAnsi="仿宋" w:eastAsia="仿宋" w:cs="仿宋"/>
          <w:sz w:val="32"/>
          <w:szCs w:val="32"/>
        </w:rPr>
        <w:t>殡葬管理所。</w:t>
      </w:r>
    </w:p>
    <w:p w14:paraId="49E88164"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300" w:firstLine="643" w:firstLineChars="200"/>
        <w:jc w:val="left"/>
        <w:textAlignment w:val="auto"/>
        <w:rPr>
          <w:rFonts w:ascii="仿宋" w:hAnsi="仿宋" w:eastAsia="仿宋" w:cs="宋体"/>
          <w:sz w:val="32"/>
          <w:szCs w:val="32"/>
        </w:rPr>
      </w:pPr>
      <w:r>
        <w:rPr>
          <w:rFonts w:ascii="仿宋" w:hAnsi="仿宋" w:eastAsia="仿宋" w:cs="宋体"/>
          <w:b/>
          <w:bCs/>
          <w:sz w:val="32"/>
          <w:szCs w:val="32"/>
        </w:rPr>
        <w:t>（二）人员</w:t>
      </w:r>
      <w:r>
        <w:rPr>
          <w:rFonts w:hint="eastAsia" w:ascii="仿宋" w:hAnsi="仿宋" w:eastAsia="仿宋" w:cs="宋体"/>
          <w:b/>
          <w:bCs/>
          <w:sz w:val="32"/>
          <w:szCs w:val="32"/>
          <w:lang w:eastAsia="zh-CN"/>
        </w:rPr>
        <w:t>结构</w:t>
      </w:r>
      <w:r>
        <w:rPr>
          <w:rFonts w:ascii="仿宋" w:hAnsi="仿宋" w:eastAsia="仿宋" w:cs="宋体"/>
          <w:b/>
          <w:bCs/>
          <w:sz w:val="32"/>
          <w:szCs w:val="32"/>
        </w:rPr>
        <w:t>情况</w:t>
      </w:r>
    </w:p>
    <w:p w14:paraId="6FEA1A7F"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300"/>
        <w:jc w:val="left"/>
        <w:textAlignment w:val="auto"/>
        <w:rPr>
          <w:rFonts w:ascii="仿宋" w:hAnsi="仿宋" w:eastAsia="仿宋" w:cs="宋体"/>
          <w:sz w:val="32"/>
          <w:szCs w:val="32"/>
        </w:rPr>
      </w:pPr>
      <w:r>
        <w:rPr>
          <w:rFonts w:ascii="微软雅黑" w:hAnsi="微软雅黑" w:eastAsia="仿宋" w:cs="宋体"/>
          <w:sz w:val="32"/>
          <w:szCs w:val="32"/>
        </w:rPr>
        <w:t> </w:t>
      </w:r>
      <w:r>
        <w:rPr>
          <w:rFonts w:hint="eastAsia" w:ascii="仿宋" w:hAnsi="仿宋" w:eastAsia="仿宋" w:cs="宋体"/>
          <w:sz w:val="32"/>
          <w:szCs w:val="32"/>
        </w:rPr>
        <w:t xml:space="preserve">    </w:t>
      </w:r>
      <w:r>
        <w:rPr>
          <w:rFonts w:ascii="仿宋" w:hAnsi="仿宋" w:eastAsia="仿宋" w:cs="宋体"/>
          <w:sz w:val="32"/>
          <w:szCs w:val="32"/>
        </w:rPr>
        <w:t>共有人员编制</w:t>
      </w:r>
      <w:r>
        <w:rPr>
          <w:rFonts w:hint="eastAsia" w:ascii="仿宋" w:hAnsi="仿宋" w:eastAsia="仿宋" w:cs="宋体"/>
          <w:sz w:val="32"/>
          <w:szCs w:val="32"/>
        </w:rPr>
        <w:t>46名</w:t>
      </w:r>
      <w:r>
        <w:rPr>
          <w:rFonts w:ascii="仿宋" w:hAnsi="仿宋" w:eastAsia="仿宋" w:cs="宋体"/>
          <w:sz w:val="32"/>
          <w:szCs w:val="32"/>
        </w:rPr>
        <w:t>，其中行政编制</w:t>
      </w:r>
      <w:r>
        <w:rPr>
          <w:rFonts w:hint="eastAsia" w:ascii="仿宋" w:hAnsi="仿宋" w:eastAsia="仿宋" w:cs="宋体"/>
          <w:sz w:val="32"/>
          <w:szCs w:val="32"/>
        </w:rPr>
        <w:t>10名</w:t>
      </w:r>
      <w:r>
        <w:rPr>
          <w:rFonts w:ascii="仿宋" w:hAnsi="仿宋" w:eastAsia="仿宋" w:cs="宋体"/>
          <w:sz w:val="32"/>
          <w:szCs w:val="32"/>
        </w:rPr>
        <w:t>，事业编制</w:t>
      </w:r>
      <w:r>
        <w:rPr>
          <w:rFonts w:hint="eastAsia" w:ascii="仿宋" w:hAnsi="仿宋" w:eastAsia="仿宋" w:cs="宋体"/>
          <w:sz w:val="32"/>
          <w:szCs w:val="32"/>
        </w:rPr>
        <w:t>36名</w:t>
      </w:r>
      <w:r>
        <w:rPr>
          <w:rFonts w:ascii="仿宋" w:hAnsi="仿宋" w:eastAsia="仿宋" w:cs="宋体"/>
          <w:sz w:val="32"/>
          <w:szCs w:val="32"/>
        </w:rPr>
        <w:t>，实有在职人员</w:t>
      </w:r>
      <w:r>
        <w:rPr>
          <w:rFonts w:hint="eastAsia" w:ascii="仿宋" w:hAnsi="仿宋" w:eastAsia="仿宋" w:cs="宋体"/>
          <w:color w:val="auto"/>
          <w:sz w:val="32"/>
          <w:szCs w:val="32"/>
          <w:lang w:val="en-US" w:eastAsia="zh-CN"/>
        </w:rPr>
        <w:t>38</w:t>
      </w:r>
      <w:r>
        <w:rPr>
          <w:rFonts w:ascii="仿宋" w:hAnsi="仿宋" w:eastAsia="仿宋" w:cs="宋体"/>
          <w:sz w:val="32"/>
          <w:szCs w:val="32"/>
        </w:rPr>
        <w:t>人。</w:t>
      </w:r>
      <w:r>
        <w:rPr>
          <w:rFonts w:hint="eastAsia" w:ascii="仿宋" w:hAnsi="仿宋" w:eastAsia="仿宋" w:cs="宋体"/>
          <w:sz w:val="32"/>
          <w:szCs w:val="32"/>
        </w:rPr>
        <w:t>人员涵盖行政管理、社会工作、财务等多个专业领域，为民政工作开展提供人力支持。</w:t>
      </w:r>
    </w:p>
    <w:p w14:paraId="0E296627"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300" w:firstLine="643" w:firstLineChars="200"/>
        <w:jc w:val="left"/>
        <w:textAlignment w:val="auto"/>
        <w:rPr>
          <w:rFonts w:ascii="仿宋" w:hAnsi="仿宋" w:eastAsia="仿宋" w:cs="宋体"/>
          <w:sz w:val="32"/>
          <w:szCs w:val="32"/>
        </w:rPr>
      </w:pPr>
      <w:r>
        <w:rPr>
          <w:rFonts w:ascii="仿宋" w:hAnsi="仿宋" w:eastAsia="仿宋" w:cs="宋体"/>
          <w:b/>
          <w:bCs/>
          <w:sz w:val="32"/>
          <w:szCs w:val="32"/>
        </w:rPr>
        <w:t>（三）主要职能职责</w:t>
      </w:r>
    </w:p>
    <w:p w14:paraId="4CE550AE"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300" w:firstLine="640"/>
        <w:jc w:val="left"/>
        <w:textAlignment w:val="auto"/>
        <w:rPr>
          <w:rFonts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  <w:lang w:eastAsia="zh-CN"/>
        </w:rPr>
        <w:t>我局</w:t>
      </w:r>
      <w:r>
        <w:rPr>
          <w:rFonts w:hint="eastAsia" w:ascii="仿宋" w:hAnsi="仿宋" w:eastAsia="仿宋" w:cs="宋体"/>
          <w:sz w:val="32"/>
          <w:szCs w:val="32"/>
        </w:rPr>
        <w:t>作为政府社会行政事务主管部门</w:t>
      </w:r>
      <w:r>
        <w:rPr>
          <w:rFonts w:ascii="仿宋" w:hAnsi="仿宋" w:eastAsia="仿宋" w:cs="宋体"/>
          <w:sz w:val="32"/>
          <w:szCs w:val="32"/>
        </w:rPr>
        <w:t>，</w:t>
      </w:r>
      <w:r>
        <w:rPr>
          <w:rFonts w:hint="eastAsia" w:ascii="仿宋" w:hAnsi="仿宋" w:eastAsia="仿宋" w:cs="宋体"/>
          <w:sz w:val="32"/>
          <w:szCs w:val="32"/>
          <w:lang w:eastAsia="zh-CN"/>
        </w:rPr>
        <w:t>承担着</w:t>
      </w:r>
      <w:r>
        <w:rPr>
          <w:rFonts w:ascii="仿宋" w:hAnsi="仿宋" w:eastAsia="仿宋" w:cs="宋体"/>
          <w:sz w:val="32"/>
          <w:szCs w:val="32"/>
        </w:rPr>
        <w:t>社会救助、民间组织管理、基层政权建设、婚姻登记</w:t>
      </w:r>
      <w:r>
        <w:rPr>
          <w:rFonts w:hint="eastAsia" w:ascii="仿宋" w:hAnsi="仿宋" w:eastAsia="仿宋" w:cs="宋体"/>
          <w:sz w:val="32"/>
          <w:szCs w:val="32"/>
          <w:lang w:eastAsia="zh-CN"/>
        </w:rPr>
        <w:t>管理</w:t>
      </w:r>
      <w:r>
        <w:rPr>
          <w:rFonts w:ascii="仿宋" w:hAnsi="仿宋" w:eastAsia="仿宋" w:cs="宋体"/>
          <w:sz w:val="32"/>
          <w:szCs w:val="32"/>
        </w:rPr>
        <w:t>、殡葬</w:t>
      </w:r>
      <w:r>
        <w:rPr>
          <w:rFonts w:hint="eastAsia" w:ascii="仿宋" w:hAnsi="仿宋" w:eastAsia="仿宋" w:cs="宋体"/>
          <w:sz w:val="32"/>
          <w:szCs w:val="32"/>
          <w:lang w:eastAsia="zh-CN"/>
        </w:rPr>
        <w:t>改革</w:t>
      </w:r>
      <w:r>
        <w:rPr>
          <w:rFonts w:ascii="仿宋" w:hAnsi="仿宋" w:eastAsia="仿宋" w:cs="宋体"/>
          <w:sz w:val="32"/>
          <w:szCs w:val="32"/>
        </w:rPr>
        <w:t>、养老服务、</w:t>
      </w:r>
      <w:r>
        <w:rPr>
          <w:rFonts w:hint="eastAsia" w:ascii="仿宋" w:hAnsi="仿宋" w:eastAsia="仿宋" w:cs="宋体"/>
          <w:sz w:val="32"/>
          <w:szCs w:val="32"/>
        </w:rPr>
        <w:t>儿童</w:t>
      </w:r>
      <w:r>
        <w:rPr>
          <w:rFonts w:ascii="仿宋" w:hAnsi="仿宋" w:eastAsia="仿宋" w:cs="宋体"/>
          <w:sz w:val="32"/>
          <w:szCs w:val="32"/>
        </w:rPr>
        <w:t>福利</w:t>
      </w:r>
      <w:r>
        <w:rPr>
          <w:rFonts w:hint="eastAsia" w:ascii="仿宋" w:hAnsi="仿宋" w:eastAsia="仿宋" w:cs="宋体"/>
          <w:sz w:val="32"/>
          <w:szCs w:val="32"/>
          <w:lang w:eastAsia="zh-CN"/>
        </w:rPr>
        <w:t>保障</w:t>
      </w:r>
      <w:r>
        <w:rPr>
          <w:rFonts w:ascii="仿宋" w:hAnsi="仿宋" w:eastAsia="仿宋" w:cs="宋体"/>
          <w:sz w:val="32"/>
          <w:szCs w:val="32"/>
        </w:rPr>
        <w:t>、慈善事业、福利彩票管理等</w:t>
      </w:r>
      <w:r>
        <w:rPr>
          <w:rFonts w:hint="eastAsia" w:ascii="仿宋" w:hAnsi="仿宋" w:eastAsia="仿宋" w:cs="宋体"/>
          <w:sz w:val="32"/>
          <w:szCs w:val="32"/>
          <w:lang w:eastAsia="zh-CN"/>
        </w:rPr>
        <w:t>多项职能</w:t>
      </w:r>
      <w:r>
        <w:rPr>
          <w:rFonts w:ascii="仿宋" w:hAnsi="仿宋" w:eastAsia="仿宋" w:cs="宋体"/>
          <w:sz w:val="32"/>
          <w:szCs w:val="32"/>
        </w:rPr>
        <w:t>。</w:t>
      </w:r>
    </w:p>
    <w:p w14:paraId="01FBA3F8"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300" w:firstLine="640"/>
        <w:jc w:val="left"/>
        <w:textAlignment w:val="auto"/>
        <w:rPr>
          <w:rFonts w:ascii="仿宋" w:hAnsi="仿宋" w:eastAsia="仿宋" w:cs="宋体"/>
          <w:sz w:val="32"/>
          <w:szCs w:val="32"/>
        </w:rPr>
      </w:pPr>
      <w:r>
        <w:rPr>
          <w:rFonts w:ascii="仿宋" w:hAnsi="仿宋" w:eastAsia="仿宋" w:cs="宋体"/>
          <w:b/>
          <w:bCs/>
          <w:sz w:val="32"/>
          <w:szCs w:val="32"/>
        </w:rPr>
        <w:t>（四）绩效目标设定情况</w:t>
      </w:r>
    </w:p>
    <w:p w14:paraId="4D8BC355"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left"/>
        <w:textAlignment w:val="auto"/>
        <w:rPr>
          <w:rFonts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  <w:lang w:eastAsia="zh-CN"/>
        </w:rPr>
        <w:t>202</w:t>
      </w: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宋体"/>
          <w:sz w:val="32"/>
          <w:szCs w:val="32"/>
          <w:lang w:eastAsia="zh-CN"/>
        </w:rPr>
        <w:t>年</w:t>
      </w:r>
      <w:r>
        <w:rPr>
          <w:rFonts w:ascii="仿宋" w:hAnsi="仿宋" w:eastAsia="仿宋" w:cs="宋体"/>
          <w:sz w:val="32"/>
          <w:szCs w:val="32"/>
        </w:rPr>
        <w:t>初设定的绩效目标：基本支出不突破预算、</w:t>
      </w:r>
      <w:r>
        <w:rPr>
          <w:rFonts w:hint="eastAsia" w:ascii="仿宋" w:hAnsi="仿宋" w:eastAsia="仿宋" w:cs="宋体"/>
          <w:sz w:val="32"/>
          <w:szCs w:val="32"/>
        </w:rPr>
        <w:t>低保金</w:t>
      </w:r>
      <w:r>
        <w:rPr>
          <w:rFonts w:ascii="仿宋" w:hAnsi="仿宋" w:eastAsia="仿宋" w:cs="宋体"/>
          <w:sz w:val="32"/>
          <w:szCs w:val="32"/>
        </w:rPr>
        <w:t>精准发放、</w:t>
      </w:r>
      <w:r>
        <w:rPr>
          <w:rFonts w:hint="eastAsia" w:ascii="仿宋" w:hAnsi="仿宋" w:eastAsia="仿宋" w:cs="宋体"/>
          <w:sz w:val="32"/>
          <w:szCs w:val="32"/>
        </w:rPr>
        <w:t>特困供养金精准发放、残疾人生活补贴和护理补贴精准发放、孤儿和事实无人抚养儿童生活补贴精准发放、</w:t>
      </w:r>
      <w:r>
        <w:rPr>
          <w:rFonts w:ascii="仿宋" w:hAnsi="仿宋" w:eastAsia="仿宋" w:cs="宋体"/>
          <w:sz w:val="32"/>
          <w:szCs w:val="32"/>
        </w:rPr>
        <w:t>孤儿助学金精准发放、社会组织精准登记、婚姻登记率百分百完成、高龄老人</w:t>
      </w:r>
      <w:r>
        <w:rPr>
          <w:rFonts w:hint="eastAsia" w:ascii="仿宋" w:hAnsi="仿宋" w:eastAsia="仿宋" w:cs="宋体"/>
          <w:sz w:val="32"/>
          <w:szCs w:val="32"/>
        </w:rPr>
        <w:t>津贴</w:t>
      </w:r>
      <w:r>
        <w:rPr>
          <w:rFonts w:ascii="仿宋" w:hAnsi="仿宋" w:eastAsia="仿宋" w:cs="宋体"/>
          <w:sz w:val="32"/>
          <w:szCs w:val="32"/>
        </w:rPr>
        <w:t>精准发放。</w:t>
      </w:r>
    </w:p>
    <w:p w14:paraId="3F1FCB6F"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left"/>
        <w:textAlignment w:val="auto"/>
        <w:rPr>
          <w:rFonts w:ascii="黑体" w:hAnsi="黑体" w:eastAsia="黑体" w:cs="宋体"/>
          <w:sz w:val="32"/>
          <w:szCs w:val="32"/>
        </w:rPr>
      </w:pPr>
      <w:r>
        <w:rPr>
          <w:rFonts w:ascii="黑体" w:hAnsi="黑体" w:eastAsia="黑体" w:cs="宋体"/>
          <w:sz w:val="32"/>
          <w:szCs w:val="32"/>
        </w:rPr>
        <w:t>二、一般公共预算支出情况</w:t>
      </w:r>
    </w:p>
    <w:p w14:paraId="2F271006"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3" w:firstLineChars="200"/>
        <w:jc w:val="left"/>
        <w:textAlignment w:val="auto"/>
        <w:rPr>
          <w:rFonts w:ascii="仿宋" w:hAnsi="仿宋" w:eastAsia="仿宋" w:cs="宋体"/>
          <w:sz w:val="32"/>
          <w:szCs w:val="32"/>
        </w:rPr>
      </w:pPr>
      <w:r>
        <w:rPr>
          <w:rFonts w:ascii="仿宋" w:hAnsi="仿宋" w:eastAsia="仿宋" w:cs="宋体"/>
          <w:b/>
          <w:bCs/>
          <w:sz w:val="32"/>
          <w:szCs w:val="32"/>
        </w:rPr>
        <w:t>（一）经批复的预、决算情况</w:t>
      </w:r>
    </w:p>
    <w:p w14:paraId="3FE900B9"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ascii="仿宋" w:hAnsi="仿宋" w:eastAsia="仿宋" w:cs="宋体"/>
          <w:color w:val="auto"/>
          <w:sz w:val="32"/>
          <w:szCs w:val="32"/>
        </w:rPr>
      </w:pPr>
      <w:r>
        <w:rPr>
          <w:rFonts w:ascii="仿宋" w:hAnsi="仿宋" w:eastAsia="仿宋" w:cs="宋体"/>
          <w:color w:val="auto"/>
          <w:sz w:val="32"/>
          <w:szCs w:val="32"/>
        </w:rPr>
        <w:t>本年年初预算</w:t>
      </w:r>
      <w:r>
        <w:rPr>
          <w:rFonts w:hint="eastAsia" w:ascii="仿宋" w:hAnsi="仿宋" w:eastAsia="仿宋" w:cs="宋体"/>
          <w:color w:val="auto"/>
          <w:sz w:val="32"/>
          <w:szCs w:val="32"/>
          <w:lang w:val="en-US" w:eastAsia="zh-CN"/>
        </w:rPr>
        <w:t>9354.74</w:t>
      </w:r>
      <w:r>
        <w:rPr>
          <w:rFonts w:ascii="仿宋" w:hAnsi="仿宋" w:eastAsia="仿宋" w:cs="宋体"/>
          <w:color w:val="auto"/>
          <w:sz w:val="32"/>
          <w:szCs w:val="32"/>
        </w:rPr>
        <w:t>万元</w:t>
      </w:r>
      <w:r>
        <w:rPr>
          <w:rFonts w:hint="eastAsia" w:ascii="仿宋" w:hAnsi="仿宋" w:eastAsia="仿宋" w:cs="宋体"/>
          <w:color w:val="auto"/>
          <w:sz w:val="32"/>
          <w:szCs w:val="32"/>
        </w:rPr>
        <w:t>。</w:t>
      </w:r>
      <w:r>
        <w:rPr>
          <w:rFonts w:ascii="仿宋" w:hAnsi="仿宋" w:eastAsia="仿宋" w:cs="宋体"/>
          <w:color w:val="auto"/>
          <w:sz w:val="32"/>
          <w:szCs w:val="32"/>
        </w:rPr>
        <w:t>其中社会保障和就业支出</w:t>
      </w:r>
      <w:r>
        <w:rPr>
          <w:rFonts w:hint="eastAsia" w:ascii="仿宋" w:hAnsi="仿宋" w:eastAsia="仿宋" w:cs="宋体"/>
          <w:color w:val="auto"/>
          <w:sz w:val="32"/>
          <w:szCs w:val="32"/>
          <w:lang w:val="en-US" w:eastAsia="zh-CN"/>
        </w:rPr>
        <w:t>8886.69</w:t>
      </w:r>
      <w:r>
        <w:rPr>
          <w:rFonts w:hint="eastAsia" w:ascii="仿宋" w:hAnsi="仿宋" w:eastAsia="仿宋" w:cs="宋体"/>
          <w:color w:val="auto"/>
          <w:sz w:val="32"/>
          <w:szCs w:val="32"/>
        </w:rPr>
        <w:t>万元，卫生健康支出</w:t>
      </w:r>
      <w:r>
        <w:rPr>
          <w:rFonts w:hint="eastAsia" w:ascii="仿宋" w:hAnsi="仿宋" w:eastAsia="仿宋" w:cs="宋体"/>
          <w:color w:val="auto"/>
          <w:sz w:val="32"/>
          <w:szCs w:val="32"/>
          <w:lang w:val="en-US" w:eastAsia="zh-CN"/>
        </w:rPr>
        <w:t>22.52</w:t>
      </w:r>
      <w:r>
        <w:rPr>
          <w:rFonts w:hint="eastAsia" w:ascii="仿宋" w:hAnsi="仿宋" w:eastAsia="仿宋" w:cs="宋体"/>
          <w:color w:val="auto"/>
          <w:sz w:val="32"/>
          <w:szCs w:val="32"/>
        </w:rPr>
        <w:t>万元，住房保障支出</w:t>
      </w:r>
      <w:r>
        <w:rPr>
          <w:rFonts w:hint="eastAsia" w:ascii="仿宋" w:hAnsi="仿宋" w:eastAsia="仿宋" w:cs="宋体"/>
          <w:color w:val="auto"/>
          <w:sz w:val="32"/>
          <w:szCs w:val="32"/>
          <w:lang w:val="en-US" w:eastAsia="zh-CN"/>
        </w:rPr>
        <w:t>31.79</w:t>
      </w:r>
      <w:r>
        <w:rPr>
          <w:rFonts w:hint="eastAsia" w:ascii="仿宋" w:hAnsi="仿宋" w:eastAsia="仿宋" w:cs="宋体"/>
          <w:color w:val="auto"/>
          <w:sz w:val="32"/>
          <w:szCs w:val="32"/>
        </w:rPr>
        <w:t>万元，其他支出（福彩公益金）</w:t>
      </w:r>
      <w:r>
        <w:rPr>
          <w:rFonts w:hint="eastAsia" w:ascii="仿宋" w:hAnsi="仿宋" w:eastAsia="仿宋" w:cs="宋体"/>
          <w:color w:val="auto"/>
          <w:sz w:val="32"/>
          <w:szCs w:val="32"/>
          <w:lang w:val="en-US" w:eastAsia="zh-CN"/>
        </w:rPr>
        <w:t>413.74</w:t>
      </w:r>
      <w:r>
        <w:rPr>
          <w:rFonts w:hint="eastAsia" w:ascii="仿宋" w:hAnsi="仿宋" w:eastAsia="仿宋" w:cs="宋体"/>
          <w:color w:val="auto"/>
          <w:sz w:val="32"/>
          <w:szCs w:val="32"/>
        </w:rPr>
        <w:t>万元。</w:t>
      </w:r>
    </w:p>
    <w:p w14:paraId="78E69D7F"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本年决算</w:t>
      </w: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11246.07</w:t>
      </w:r>
      <w:r>
        <w:rPr>
          <w:rFonts w:ascii="仿宋" w:hAnsi="仿宋" w:eastAsia="仿宋" w:cs="宋体"/>
          <w:sz w:val="32"/>
          <w:szCs w:val="32"/>
        </w:rPr>
        <w:t>万元。</w:t>
      </w:r>
      <w:r>
        <w:rPr>
          <w:rFonts w:hint="eastAsia" w:ascii="仿宋" w:hAnsi="仿宋" w:eastAsia="仿宋" w:cs="宋体"/>
          <w:sz w:val="32"/>
          <w:szCs w:val="32"/>
        </w:rPr>
        <w:t>其中</w:t>
      </w:r>
      <w:r>
        <w:rPr>
          <w:rFonts w:ascii="仿宋" w:hAnsi="仿宋" w:eastAsia="仿宋" w:cs="宋体"/>
          <w:sz w:val="32"/>
          <w:szCs w:val="32"/>
        </w:rPr>
        <w:t>社会保障和就业支出</w:t>
      </w: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10329.46</w:t>
      </w:r>
      <w:r>
        <w:rPr>
          <w:rFonts w:ascii="仿宋" w:hAnsi="仿宋" w:eastAsia="仿宋" w:cs="宋体"/>
          <w:sz w:val="32"/>
          <w:szCs w:val="32"/>
        </w:rPr>
        <w:t>万元，占比</w:t>
      </w: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91.85</w:t>
      </w:r>
      <w:r>
        <w:rPr>
          <w:rFonts w:ascii="仿宋" w:hAnsi="仿宋" w:eastAsia="仿宋" w:cs="宋体"/>
          <w:sz w:val="32"/>
          <w:szCs w:val="32"/>
        </w:rPr>
        <w:t>%</w:t>
      </w:r>
      <w:r>
        <w:rPr>
          <w:rFonts w:hint="eastAsia" w:ascii="仿宋" w:hAnsi="仿宋" w:eastAsia="仿宋" w:cs="宋体"/>
          <w:sz w:val="32"/>
          <w:szCs w:val="32"/>
        </w:rPr>
        <w:t>，</w:t>
      </w:r>
      <w:r>
        <w:rPr>
          <w:rFonts w:ascii="仿宋" w:hAnsi="仿宋" w:eastAsia="仿宋" w:cs="宋体"/>
          <w:sz w:val="32"/>
          <w:szCs w:val="32"/>
        </w:rPr>
        <w:t>卫生健康支出</w:t>
      </w: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47.11</w:t>
      </w:r>
      <w:r>
        <w:rPr>
          <w:rFonts w:ascii="仿宋" w:hAnsi="仿宋" w:eastAsia="仿宋" w:cs="宋体"/>
          <w:sz w:val="32"/>
          <w:szCs w:val="32"/>
        </w:rPr>
        <w:t>万元，占比</w:t>
      </w: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0.42</w:t>
      </w:r>
      <w:r>
        <w:rPr>
          <w:rFonts w:ascii="仿宋" w:hAnsi="仿宋" w:eastAsia="仿宋" w:cs="宋体"/>
          <w:sz w:val="32"/>
          <w:szCs w:val="32"/>
        </w:rPr>
        <w:t>%</w:t>
      </w:r>
      <w:r>
        <w:rPr>
          <w:rFonts w:hint="eastAsia" w:ascii="仿宋" w:hAnsi="仿宋" w:eastAsia="仿宋" w:cs="宋体"/>
          <w:sz w:val="32"/>
          <w:szCs w:val="32"/>
        </w:rPr>
        <w:t>，</w:t>
      </w:r>
      <w:r>
        <w:rPr>
          <w:rFonts w:ascii="仿宋" w:hAnsi="仿宋" w:eastAsia="仿宋" w:cs="宋体"/>
          <w:sz w:val="32"/>
          <w:szCs w:val="32"/>
        </w:rPr>
        <w:t>住房保障支出</w:t>
      </w: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75.81</w:t>
      </w:r>
      <w:r>
        <w:rPr>
          <w:rFonts w:ascii="仿宋" w:hAnsi="仿宋" w:eastAsia="仿宋" w:cs="宋体"/>
          <w:sz w:val="32"/>
          <w:szCs w:val="32"/>
        </w:rPr>
        <w:t>万元，占比</w:t>
      </w:r>
      <w:r>
        <w:rPr>
          <w:rFonts w:hint="eastAsia" w:ascii="仿宋" w:hAnsi="仿宋" w:eastAsia="仿宋" w:cs="宋体"/>
          <w:sz w:val="32"/>
          <w:szCs w:val="32"/>
        </w:rPr>
        <w:t>0.</w:t>
      </w: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67</w:t>
      </w:r>
      <w:r>
        <w:rPr>
          <w:rFonts w:ascii="仿宋" w:hAnsi="仿宋" w:eastAsia="仿宋" w:cs="宋体"/>
          <w:sz w:val="32"/>
          <w:szCs w:val="32"/>
        </w:rPr>
        <w:t>%</w:t>
      </w:r>
      <w:r>
        <w:rPr>
          <w:rFonts w:hint="eastAsia" w:ascii="仿宋" w:hAnsi="仿宋" w:eastAsia="仿宋" w:cs="宋体"/>
          <w:sz w:val="32"/>
          <w:szCs w:val="32"/>
        </w:rPr>
        <w:t>，农林水支出</w:t>
      </w: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15万元，占比0.14%，</w:t>
      </w:r>
      <w:r>
        <w:rPr>
          <w:rFonts w:hint="eastAsia" w:ascii="仿宋" w:hAnsi="仿宋" w:eastAsia="仿宋" w:cs="宋体"/>
          <w:sz w:val="32"/>
          <w:szCs w:val="32"/>
          <w:lang w:eastAsia="zh-CN"/>
        </w:rPr>
        <w:t>灾害防治及应急管理支出</w:t>
      </w: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53万元，</w:t>
      </w:r>
      <w:r>
        <w:rPr>
          <w:rFonts w:ascii="仿宋" w:hAnsi="仿宋" w:eastAsia="仿宋" w:cs="宋体"/>
          <w:sz w:val="32"/>
          <w:szCs w:val="32"/>
        </w:rPr>
        <w:t>占比</w:t>
      </w:r>
      <w:r>
        <w:rPr>
          <w:rFonts w:hint="eastAsia" w:ascii="仿宋" w:hAnsi="仿宋" w:eastAsia="仿宋" w:cs="宋体"/>
          <w:sz w:val="32"/>
          <w:szCs w:val="32"/>
        </w:rPr>
        <w:t>0.</w:t>
      </w: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47</w:t>
      </w:r>
      <w:r>
        <w:rPr>
          <w:rFonts w:ascii="仿宋" w:hAnsi="仿宋" w:eastAsia="仿宋" w:cs="宋体"/>
          <w:sz w:val="32"/>
          <w:szCs w:val="32"/>
        </w:rPr>
        <w:t>%</w:t>
      </w:r>
      <w:r>
        <w:rPr>
          <w:rFonts w:hint="eastAsia" w:ascii="仿宋" w:hAnsi="仿宋" w:eastAsia="仿宋" w:cs="宋体"/>
          <w:sz w:val="32"/>
          <w:szCs w:val="32"/>
        </w:rPr>
        <w:t>，</w:t>
      </w:r>
      <w:r>
        <w:rPr>
          <w:rFonts w:ascii="仿宋" w:hAnsi="仿宋" w:eastAsia="仿宋" w:cs="宋体"/>
          <w:sz w:val="32"/>
          <w:szCs w:val="32"/>
        </w:rPr>
        <w:t>政府性基金支出（彩票公益金</w:t>
      </w:r>
      <w:r>
        <w:rPr>
          <w:rFonts w:hint="eastAsia" w:ascii="仿宋" w:hAnsi="仿宋" w:eastAsia="仿宋" w:cs="宋体"/>
          <w:sz w:val="32"/>
          <w:szCs w:val="32"/>
          <w:lang w:eastAsia="zh-CN"/>
        </w:rPr>
        <w:t>和专项债券</w:t>
      </w:r>
      <w:r>
        <w:rPr>
          <w:rFonts w:ascii="仿宋" w:hAnsi="仿宋" w:eastAsia="仿宋" w:cs="宋体"/>
          <w:sz w:val="32"/>
          <w:szCs w:val="32"/>
        </w:rPr>
        <w:t>）</w:t>
      </w: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725.69</w:t>
      </w:r>
      <w:r>
        <w:rPr>
          <w:rFonts w:ascii="仿宋" w:hAnsi="仿宋" w:eastAsia="仿宋" w:cs="宋体"/>
          <w:sz w:val="32"/>
          <w:szCs w:val="32"/>
        </w:rPr>
        <w:t>万元，占比</w:t>
      </w: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6.45</w:t>
      </w:r>
      <w:r>
        <w:rPr>
          <w:rFonts w:ascii="仿宋" w:hAnsi="仿宋" w:eastAsia="仿宋" w:cs="宋体"/>
          <w:sz w:val="32"/>
          <w:szCs w:val="32"/>
        </w:rPr>
        <w:t>%</w:t>
      </w:r>
      <w:r>
        <w:rPr>
          <w:rFonts w:hint="eastAsia" w:ascii="仿宋" w:hAnsi="仿宋" w:eastAsia="仿宋" w:cs="宋体"/>
          <w:sz w:val="32"/>
          <w:szCs w:val="32"/>
        </w:rPr>
        <w:t>。</w:t>
      </w:r>
    </w:p>
    <w:p w14:paraId="310BD82A"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482" w:firstLineChars="150"/>
        <w:jc w:val="left"/>
        <w:textAlignment w:val="auto"/>
        <w:rPr>
          <w:rFonts w:ascii="仿宋" w:hAnsi="仿宋" w:eastAsia="仿宋" w:cs="宋体"/>
          <w:sz w:val="32"/>
          <w:szCs w:val="32"/>
        </w:rPr>
      </w:pPr>
      <w:r>
        <w:rPr>
          <w:rFonts w:ascii="仿宋" w:hAnsi="仿宋" w:eastAsia="仿宋" w:cs="宋体"/>
          <w:b/>
          <w:bCs/>
          <w:sz w:val="32"/>
          <w:szCs w:val="32"/>
        </w:rPr>
        <w:t>（二）部门预算执行情况</w:t>
      </w:r>
    </w:p>
    <w:p w14:paraId="3BE2EB16"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3" w:firstLineChars="200"/>
        <w:jc w:val="left"/>
        <w:textAlignment w:val="auto"/>
        <w:rPr>
          <w:rFonts w:ascii="仿宋" w:hAnsi="仿宋" w:eastAsia="仿宋" w:cs="宋体"/>
          <w:sz w:val="32"/>
          <w:szCs w:val="32"/>
        </w:rPr>
      </w:pPr>
      <w:r>
        <w:rPr>
          <w:rFonts w:ascii="仿宋" w:hAnsi="仿宋" w:eastAsia="仿宋" w:cs="宋体"/>
          <w:b/>
          <w:bCs/>
          <w:sz w:val="32"/>
          <w:szCs w:val="32"/>
        </w:rPr>
        <w:t>1.基本支出情况</w:t>
      </w:r>
    </w:p>
    <w:p w14:paraId="18E7998D"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ascii="仿宋" w:hAnsi="仿宋" w:eastAsia="仿宋" w:cs="宋体"/>
          <w:color w:val="auto"/>
          <w:sz w:val="32"/>
          <w:szCs w:val="32"/>
        </w:rPr>
      </w:pPr>
      <w:r>
        <w:rPr>
          <w:rFonts w:hint="eastAsia" w:ascii="仿宋" w:hAnsi="仿宋" w:eastAsia="仿宋" w:cs="宋体"/>
          <w:color w:val="auto"/>
          <w:sz w:val="32"/>
          <w:szCs w:val="32"/>
          <w:lang w:eastAsia="zh-CN"/>
        </w:rPr>
        <w:t>2024年</w:t>
      </w:r>
      <w:r>
        <w:rPr>
          <w:rFonts w:ascii="仿宋" w:hAnsi="仿宋" w:eastAsia="仿宋" w:cs="宋体"/>
          <w:color w:val="auto"/>
          <w:sz w:val="32"/>
          <w:szCs w:val="32"/>
        </w:rPr>
        <w:t>基本支出数为</w:t>
      </w:r>
      <w:r>
        <w:rPr>
          <w:rFonts w:hint="eastAsia" w:ascii="仿宋" w:hAnsi="仿宋" w:eastAsia="仿宋" w:cs="宋体"/>
          <w:color w:val="auto"/>
          <w:sz w:val="32"/>
          <w:szCs w:val="32"/>
          <w:lang w:val="en-US" w:eastAsia="zh-CN"/>
        </w:rPr>
        <w:t>769.76</w:t>
      </w:r>
      <w:r>
        <w:rPr>
          <w:rFonts w:hint="eastAsia" w:ascii="仿宋" w:hAnsi="仿宋" w:eastAsia="仿宋" w:cs="宋体"/>
          <w:color w:val="auto"/>
          <w:sz w:val="32"/>
          <w:szCs w:val="32"/>
        </w:rPr>
        <w:t>万元。</w:t>
      </w:r>
    </w:p>
    <w:p w14:paraId="208BEDA3"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3" w:firstLineChars="200"/>
        <w:jc w:val="left"/>
        <w:textAlignment w:val="auto"/>
        <w:rPr>
          <w:rFonts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b/>
          <w:bCs/>
          <w:sz w:val="32"/>
          <w:szCs w:val="32"/>
        </w:rPr>
        <w:t>2.</w:t>
      </w:r>
      <w:r>
        <w:rPr>
          <w:rFonts w:ascii="仿宋" w:hAnsi="仿宋" w:eastAsia="仿宋" w:cs="宋体"/>
          <w:b/>
          <w:bCs/>
          <w:sz w:val="32"/>
          <w:szCs w:val="32"/>
        </w:rPr>
        <w:t>项目支出情况</w:t>
      </w:r>
    </w:p>
    <w:p w14:paraId="0F631A6F"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left"/>
        <w:textAlignment w:val="auto"/>
        <w:rPr>
          <w:rFonts w:ascii="仿宋" w:hAnsi="仿宋" w:eastAsia="仿宋" w:cs="宋体"/>
          <w:color w:val="auto"/>
          <w:sz w:val="32"/>
          <w:szCs w:val="32"/>
        </w:rPr>
      </w:pPr>
      <w:r>
        <w:rPr>
          <w:rFonts w:hint="eastAsia" w:ascii="仿宋" w:hAnsi="仿宋" w:eastAsia="仿宋" w:cs="宋体"/>
          <w:color w:val="auto"/>
          <w:sz w:val="32"/>
          <w:szCs w:val="32"/>
          <w:lang w:eastAsia="zh-CN"/>
        </w:rPr>
        <w:t>2024年</w:t>
      </w:r>
      <w:r>
        <w:rPr>
          <w:rFonts w:ascii="仿宋" w:hAnsi="仿宋" w:eastAsia="仿宋" w:cs="宋体"/>
          <w:color w:val="auto"/>
          <w:sz w:val="32"/>
          <w:szCs w:val="32"/>
        </w:rPr>
        <w:t>项目支出数为</w:t>
      </w:r>
      <w:r>
        <w:rPr>
          <w:rFonts w:hint="eastAsia" w:ascii="仿宋" w:hAnsi="仿宋" w:eastAsia="仿宋" w:cs="宋体"/>
          <w:color w:val="auto"/>
          <w:sz w:val="32"/>
          <w:szCs w:val="32"/>
          <w:lang w:val="en-US" w:eastAsia="zh-CN"/>
        </w:rPr>
        <w:t>10476.31</w:t>
      </w:r>
      <w:r>
        <w:rPr>
          <w:rFonts w:ascii="仿宋" w:hAnsi="仿宋" w:eastAsia="仿宋" w:cs="宋体"/>
          <w:color w:val="auto"/>
          <w:sz w:val="32"/>
          <w:szCs w:val="32"/>
        </w:rPr>
        <w:t>万元，</w:t>
      </w:r>
      <w:r>
        <w:rPr>
          <w:rFonts w:hint="eastAsia" w:ascii="仿宋" w:hAnsi="仿宋" w:eastAsia="仿宋" w:cs="宋体"/>
          <w:color w:val="auto"/>
          <w:sz w:val="32"/>
          <w:szCs w:val="32"/>
        </w:rPr>
        <w:t>一般公共预算财政拨款</w:t>
      </w:r>
      <w:r>
        <w:rPr>
          <w:rFonts w:hint="eastAsia" w:ascii="仿宋" w:hAnsi="仿宋" w:eastAsia="仿宋" w:cs="宋体"/>
          <w:color w:val="auto"/>
          <w:sz w:val="32"/>
          <w:szCs w:val="32"/>
          <w:lang w:val="en-US" w:eastAsia="zh-CN"/>
        </w:rPr>
        <w:t>9750.62万元，政府性基金预算财政拨款725.69万元</w:t>
      </w:r>
      <w:r>
        <w:rPr>
          <w:rFonts w:hint="eastAsia" w:ascii="仿宋" w:hAnsi="仿宋" w:eastAsia="仿宋" w:cs="宋体"/>
          <w:color w:val="auto"/>
          <w:sz w:val="32"/>
          <w:szCs w:val="32"/>
        </w:rPr>
        <w:t>。</w:t>
      </w:r>
    </w:p>
    <w:p w14:paraId="65E91C0D"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3" w:firstLineChars="200"/>
        <w:jc w:val="left"/>
        <w:textAlignment w:val="auto"/>
        <w:rPr>
          <w:rFonts w:ascii="仿宋" w:hAnsi="仿宋" w:eastAsia="仿宋" w:cs="宋体"/>
          <w:b/>
          <w:bCs/>
          <w:sz w:val="32"/>
          <w:szCs w:val="32"/>
        </w:rPr>
      </w:pPr>
      <w:r>
        <w:rPr>
          <w:rFonts w:hint="eastAsia" w:ascii="仿宋" w:hAnsi="仿宋" w:eastAsia="仿宋" w:cs="宋体"/>
          <w:b/>
          <w:bCs/>
          <w:sz w:val="32"/>
          <w:szCs w:val="32"/>
        </w:rPr>
        <w:t>（三）</w:t>
      </w:r>
      <w:r>
        <w:rPr>
          <w:rFonts w:ascii="仿宋" w:hAnsi="仿宋" w:eastAsia="仿宋" w:cs="宋体"/>
          <w:b/>
          <w:bCs/>
          <w:sz w:val="32"/>
          <w:szCs w:val="32"/>
        </w:rPr>
        <w:t>固定资产</w:t>
      </w:r>
      <w:r>
        <w:rPr>
          <w:rFonts w:hint="eastAsia" w:ascii="仿宋" w:hAnsi="仿宋" w:eastAsia="仿宋" w:cs="宋体"/>
          <w:b/>
          <w:bCs/>
          <w:sz w:val="32"/>
          <w:szCs w:val="32"/>
        </w:rPr>
        <w:t>情况</w:t>
      </w:r>
    </w:p>
    <w:p w14:paraId="0E88CBC8"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left"/>
        <w:textAlignment w:val="auto"/>
        <w:rPr>
          <w:rFonts w:ascii="仿宋" w:hAnsi="仿宋" w:eastAsia="仿宋" w:cs="宋体"/>
          <w:color w:val="000000" w:themeColor="text1"/>
          <w:sz w:val="32"/>
          <w:szCs w:val="32"/>
        </w:rPr>
      </w:pPr>
      <w:r>
        <w:rPr>
          <w:rFonts w:hint="eastAsia" w:ascii="仿宋" w:hAnsi="仿宋" w:eastAsia="仿宋" w:cs="宋体"/>
          <w:bCs/>
          <w:color w:val="000000" w:themeColor="text1"/>
          <w:sz w:val="32"/>
          <w:szCs w:val="32"/>
        </w:rPr>
        <w:t>固定资产年初总值</w:t>
      </w:r>
      <w:r>
        <w:rPr>
          <w:rFonts w:hint="eastAsia" w:ascii="仿宋" w:hAnsi="仿宋" w:eastAsia="仿宋" w:cs="宋体"/>
          <w:bCs/>
          <w:color w:val="000000" w:themeColor="text1"/>
          <w:sz w:val="32"/>
          <w:szCs w:val="32"/>
          <w:lang w:val="en-US" w:eastAsia="zh-CN"/>
        </w:rPr>
        <w:t>593.45</w:t>
      </w:r>
      <w:r>
        <w:rPr>
          <w:rFonts w:hint="eastAsia" w:ascii="仿宋" w:hAnsi="仿宋" w:eastAsia="仿宋" w:cs="宋体"/>
          <w:bCs/>
          <w:color w:val="000000" w:themeColor="text1"/>
          <w:sz w:val="32"/>
          <w:szCs w:val="32"/>
        </w:rPr>
        <w:t>万元，年末资产总值</w:t>
      </w:r>
      <w:r>
        <w:rPr>
          <w:rFonts w:hint="eastAsia" w:ascii="仿宋" w:hAnsi="仿宋" w:eastAsia="仿宋" w:cs="宋体"/>
          <w:bCs/>
          <w:color w:val="000000" w:themeColor="text1"/>
          <w:sz w:val="32"/>
          <w:szCs w:val="32"/>
          <w:lang w:val="en-US" w:eastAsia="zh-CN"/>
        </w:rPr>
        <w:t>615.42</w:t>
      </w:r>
      <w:r>
        <w:rPr>
          <w:rFonts w:hint="eastAsia" w:ascii="仿宋" w:hAnsi="仿宋" w:eastAsia="仿宋" w:cs="宋体"/>
          <w:bCs/>
          <w:color w:val="000000" w:themeColor="text1"/>
          <w:sz w:val="32"/>
          <w:szCs w:val="32"/>
        </w:rPr>
        <w:t>万元。在建工程年初总值</w:t>
      </w:r>
      <w:r>
        <w:rPr>
          <w:rFonts w:hint="eastAsia" w:ascii="仿宋" w:hAnsi="仿宋" w:eastAsia="仿宋" w:cs="宋体"/>
          <w:bCs/>
          <w:color w:val="000000" w:themeColor="text1"/>
          <w:sz w:val="32"/>
          <w:szCs w:val="32"/>
          <w:lang w:val="en-US" w:eastAsia="zh-CN"/>
        </w:rPr>
        <w:t>1300.89</w:t>
      </w:r>
      <w:r>
        <w:rPr>
          <w:rFonts w:hint="eastAsia" w:ascii="仿宋" w:hAnsi="仿宋" w:eastAsia="仿宋" w:cs="宋体"/>
          <w:bCs/>
          <w:color w:val="000000" w:themeColor="text1"/>
          <w:sz w:val="32"/>
          <w:szCs w:val="32"/>
        </w:rPr>
        <w:t>万元，年末总值</w:t>
      </w:r>
      <w:r>
        <w:rPr>
          <w:rFonts w:hint="eastAsia" w:ascii="仿宋" w:hAnsi="仿宋" w:eastAsia="仿宋" w:cs="宋体"/>
          <w:bCs/>
          <w:color w:val="000000" w:themeColor="text1"/>
          <w:sz w:val="32"/>
          <w:szCs w:val="32"/>
          <w:lang w:val="en-US" w:eastAsia="zh-CN"/>
        </w:rPr>
        <w:t>2303.71</w:t>
      </w:r>
      <w:r>
        <w:rPr>
          <w:rFonts w:hint="eastAsia" w:ascii="仿宋" w:hAnsi="仿宋" w:eastAsia="仿宋" w:cs="宋体"/>
          <w:bCs/>
          <w:color w:val="000000" w:themeColor="text1"/>
          <w:sz w:val="32"/>
          <w:szCs w:val="32"/>
        </w:rPr>
        <w:t>万元。</w:t>
      </w:r>
    </w:p>
    <w:p w14:paraId="06B950A3"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firstLine="482" w:firstLineChars="150"/>
        <w:jc w:val="left"/>
        <w:textAlignment w:val="auto"/>
        <w:rPr>
          <w:rFonts w:ascii="仿宋" w:hAnsi="仿宋" w:eastAsia="仿宋" w:cs="宋体"/>
          <w:sz w:val="32"/>
          <w:szCs w:val="32"/>
        </w:rPr>
      </w:pPr>
      <w:r>
        <w:rPr>
          <w:rFonts w:ascii="仿宋" w:hAnsi="仿宋" w:eastAsia="仿宋" w:cs="宋体"/>
          <w:b/>
          <w:bCs/>
          <w:sz w:val="32"/>
          <w:szCs w:val="32"/>
        </w:rPr>
        <w:t>（</w:t>
      </w:r>
      <w:r>
        <w:rPr>
          <w:rFonts w:hint="eastAsia" w:ascii="仿宋" w:hAnsi="仿宋" w:eastAsia="仿宋" w:cs="宋体"/>
          <w:b/>
          <w:bCs/>
          <w:sz w:val="32"/>
          <w:szCs w:val="32"/>
        </w:rPr>
        <w:t>四</w:t>
      </w:r>
      <w:r>
        <w:rPr>
          <w:rFonts w:ascii="仿宋" w:hAnsi="仿宋" w:eastAsia="仿宋" w:cs="宋体"/>
          <w:b/>
          <w:bCs/>
          <w:sz w:val="32"/>
          <w:szCs w:val="32"/>
        </w:rPr>
        <w:t>）财务管理制度执行情况</w:t>
      </w:r>
    </w:p>
    <w:p w14:paraId="154B08F3"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left"/>
        <w:textAlignment w:val="auto"/>
        <w:rPr>
          <w:rFonts w:ascii="仿宋" w:hAnsi="仿宋" w:eastAsia="仿宋" w:cs="宋体"/>
          <w:sz w:val="32"/>
          <w:szCs w:val="32"/>
        </w:rPr>
      </w:pPr>
      <w:r>
        <w:rPr>
          <w:rFonts w:ascii="仿宋" w:hAnsi="仿宋" w:eastAsia="仿宋" w:cs="宋体"/>
          <w:sz w:val="32"/>
          <w:szCs w:val="32"/>
        </w:rPr>
        <w:t>我单位组织全面梳理了各项财务制度，从预算收支管理、资产管理、政府采购管理、合同管理等方面健全和完善单位财务管理制度，坚定实施《</w:t>
      </w:r>
      <w:r>
        <w:rPr>
          <w:rFonts w:hint="eastAsia" w:ascii="仿宋" w:hAnsi="仿宋" w:eastAsia="仿宋" w:cs="宋体"/>
          <w:sz w:val="32"/>
          <w:szCs w:val="32"/>
          <w:highlight w:val="none"/>
        </w:rPr>
        <w:t>新晃</w:t>
      </w:r>
      <w:r>
        <w:rPr>
          <w:rFonts w:ascii="仿宋" w:hAnsi="仿宋" w:eastAsia="仿宋" w:cs="宋体"/>
          <w:sz w:val="32"/>
          <w:szCs w:val="32"/>
          <w:highlight w:val="none"/>
        </w:rPr>
        <w:t>县</w:t>
      </w:r>
      <w:r>
        <w:rPr>
          <w:rFonts w:ascii="仿宋" w:hAnsi="仿宋" w:eastAsia="仿宋" w:cs="宋体"/>
          <w:sz w:val="32"/>
          <w:szCs w:val="32"/>
        </w:rPr>
        <w:t>民政局内部控制制度》。一是强化财务约束，严格控制一般性支出，推进厉行节约信息公开</w:t>
      </w:r>
      <w:r>
        <w:rPr>
          <w:rFonts w:hint="eastAsia" w:ascii="仿宋" w:hAnsi="仿宋" w:eastAsia="仿宋" w:cs="宋体"/>
          <w:sz w:val="32"/>
          <w:szCs w:val="32"/>
          <w:lang w:eastAsia="zh-CN"/>
        </w:rPr>
        <w:t>。</w:t>
      </w:r>
      <w:r>
        <w:rPr>
          <w:rFonts w:ascii="仿宋" w:hAnsi="仿宋" w:eastAsia="仿宋" w:cs="宋体"/>
          <w:sz w:val="32"/>
          <w:szCs w:val="32"/>
        </w:rPr>
        <w:t>二是提高预算管理水平，增强部门预算编制的科学性</w:t>
      </w:r>
      <w:r>
        <w:rPr>
          <w:rFonts w:hint="eastAsia" w:ascii="仿宋" w:hAnsi="仿宋" w:eastAsia="仿宋" w:cs="宋体"/>
          <w:sz w:val="32"/>
          <w:szCs w:val="32"/>
          <w:lang w:eastAsia="zh-CN"/>
        </w:rPr>
        <w:t>。</w:t>
      </w:r>
      <w:r>
        <w:rPr>
          <w:rFonts w:ascii="仿宋" w:hAnsi="仿宋" w:eastAsia="仿宋" w:cs="宋体"/>
          <w:sz w:val="32"/>
          <w:szCs w:val="32"/>
        </w:rPr>
        <w:t>三是推进预算绩效管理，精准编制预算绩效管理目标，提高财政资金使用效益</w:t>
      </w:r>
      <w:r>
        <w:rPr>
          <w:rFonts w:hint="eastAsia" w:ascii="仿宋" w:hAnsi="仿宋" w:eastAsia="仿宋" w:cs="宋体"/>
          <w:sz w:val="32"/>
          <w:szCs w:val="32"/>
          <w:lang w:eastAsia="zh-CN"/>
        </w:rPr>
        <w:t>。</w:t>
      </w:r>
      <w:r>
        <w:rPr>
          <w:rFonts w:ascii="仿宋" w:hAnsi="仿宋" w:eastAsia="仿宋" w:cs="宋体"/>
          <w:sz w:val="32"/>
          <w:szCs w:val="32"/>
        </w:rPr>
        <w:t>四是强化财务规范化管理，加快预算执行进度，加大对项目资金的监督检查。</w:t>
      </w:r>
    </w:p>
    <w:p w14:paraId="576438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lef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</w:t>
      </w:r>
      <w:r>
        <w:rPr>
          <w:rFonts w:ascii="黑体" w:hAnsi="黑体" w:eastAsia="黑体"/>
          <w:sz w:val="32"/>
          <w:szCs w:val="32"/>
        </w:rPr>
        <w:t>、单位整体支出绩效状况</w:t>
      </w:r>
    </w:p>
    <w:p w14:paraId="426723DC"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firstLine="600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 w:cs="宋体"/>
          <w:b/>
          <w:sz w:val="32"/>
          <w:szCs w:val="32"/>
        </w:rPr>
        <w:t>（一）绩效目标完成情况</w:t>
      </w:r>
    </w:p>
    <w:p w14:paraId="0B611B14"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3" w:firstLineChars="200"/>
        <w:textAlignment w:val="auto"/>
        <w:rPr>
          <w:rFonts w:hint="eastAsia" w:ascii="仿宋" w:hAnsi="仿宋" w:eastAsia="仿宋"/>
          <w:color w:val="000000" w:themeColor="text1"/>
          <w:sz w:val="32"/>
          <w:szCs w:val="32"/>
        </w:rPr>
      </w:pPr>
      <w:r>
        <w:rPr>
          <w:rFonts w:hint="eastAsia" w:ascii="仿宋" w:hAnsi="仿宋" w:eastAsia="仿宋"/>
          <w:b/>
          <w:bCs/>
          <w:color w:val="000000" w:themeColor="text1"/>
          <w:sz w:val="32"/>
          <w:szCs w:val="32"/>
        </w:rPr>
        <w:t>1.社会救助精准化：</w:t>
      </w:r>
      <w:r>
        <w:rPr>
          <w:rFonts w:hint="eastAsia" w:ascii="仿宋" w:hAnsi="仿宋" w:eastAsia="仿宋"/>
          <w:color w:val="000000" w:themeColor="text1"/>
          <w:sz w:val="32"/>
          <w:szCs w:val="32"/>
        </w:rPr>
        <w:t>全年累计救助城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</w:rPr>
        <w:t>市</w:t>
      </w:r>
      <w:r>
        <w:rPr>
          <w:rFonts w:hint="eastAsia" w:ascii="仿宋" w:hAnsi="仿宋" w:eastAsia="仿宋"/>
          <w:color w:val="000000" w:themeColor="text1"/>
          <w:sz w:val="32"/>
          <w:szCs w:val="32"/>
        </w:rPr>
        <w:t>低保对象</w:t>
      </w: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</w:rPr>
        <w:t>17250</w:t>
      </w:r>
      <w:r>
        <w:rPr>
          <w:rFonts w:hint="eastAsia" w:ascii="仿宋" w:hAnsi="仿宋" w:eastAsia="仿宋"/>
          <w:color w:val="000000" w:themeColor="text1"/>
          <w:sz w:val="32"/>
          <w:szCs w:val="32"/>
        </w:rPr>
        <w:t>人次、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</w:rPr>
        <w:t>农村低保对象</w:t>
      </w: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</w:rPr>
        <w:t>112598人次、城乡</w:t>
      </w:r>
      <w:r>
        <w:rPr>
          <w:rFonts w:hint="eastAsia" w:ascii="仿宋" w:hAnsi="仿宋" w:eastAsia="仿宋"/>
          <w:color w:val="000000" w:themeColor="text1"/>
          <w:sz w:val="32"/>
          <w:szCs w:val="32"/>
        </w:rPr>
        <w:t>特困人员</w:t>
      </w: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</w:rPr>
        <w:t>35490</w:t>
      </w:r>
      <w:r>
        <w:rPr>
          <w:rFonts w:hint="eastAsia" w:ascii="仿宋" w:hAnsi="仿宋" w:eastAsia="仿宋"/>
          <w:color w:val="000000" w:themeColor="text1"/>
          <w:sz w:val="32"/>
          <w:szCs w:val="32"/>
        </w:rPr>
        <w:t>人次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</w:rPr>
        <w:t>、临时救助</w:t>
      </w: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</w:rPr>
        <w:t>2316人次、流浪乞讨救助62人次、孤儿和</w:t>
      </w:r>
      <w:r>
        <w:rPr>
          <w:rFonts w:hint="eastAsia" w:ascii="仿宋" w:hAnsi="仿宋" w:eastAsia="仿宋"/>
          <w:color w:val="000000" w:themeColor="text1"/>
          <w:sz w:val="32"/>
          <w:szCs w:val="32"/>
          <w:highlight w:val="none"/>
          <w:lang w:val="en-US" w:eastAsia="zh-CN"/>
        </w:rPr>
        <w:t>事实</w:t>
      </w: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</w:rPr>
        <w:t>无人抚养儿童救助1786人次</w:t>
      </w:r>
      <w:r>
        <w:rPr>
          <w:rFonts w:hint="eastAsia" w:ascii="仿宋" w:hAnsi="仿宋" w:eastAsia="仿宋"/>
          <w:color w:val="000000" w:themeColor="text1"/>
          <w:sz w:val="32"/>
          <w:szCs w:val="32"/>
        </w:rPr>
        <w:t>。通过精准识别、动态管理，做到应保尽保、应退尽退，有效保障困难群众基本生活。</w:t>
      </w:r>
    </w:p>
    <w:p w14:paraId="2CA7A6C3"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firstLine="600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bCs/>
          <w:color w:val="000000" w:themeColor="text1"/>
          <w:sz w:val="32"/>
          <w:szCs w:val="32"/>
        </w:rPr>
        <w:t>2.养老服务提质：</w:t>
      </w:r>
      <w:r>
        <w:rPr>
          <w:rFonts w:hint="eastAsia" w:ascii="仿宋" w:hAnsi="仿宋" w:eastAsia="仿宋"/>
          <w:sz w:val="32"/>
          <w:szCs w:val="32"/>
        </w:rPr>
        <w:t>完成137户特殊困难老年人家庭适老化改</w:t>
      </w:r>
      <w:r>
        <w:rPr>
          <w:rFonts w:hint="eastAsia" w:ascii="仿宋" w:hAnsi="仿宋" w:eastAsia="仿宋"/>
          <w:color w:val="000000" w:themeColor="text1"/>
          <w:sz w:val="32"/>
          <w:szCs w:val="32"/>
        </w:rPr>
        <w:t>造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</w:rPr>
        <w:t>，</w:t>
      </w:r>
      <w:r>
        <w:rPr>
          <w:rFonts w:hint="eastAsia" w:ascii="仿宋" w:hAnsi="仿宋" w:eastAsia="仿宋"/>
          <w:color w:val="000000" w:themeColor="text1"/>
          <w:sz w:val="32"/>
          <w:szCs w:val="32"/>
        </w:rPr>
        <w:t>4个老年服务助餐点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</w:rPr>
        <w:t>建设</w:t>
      </w:r>
      <w:r>
        <w:rPr>
          <w:rFonts w:hint="eastAsia" w:ascii="仿宋" w:hAnsi="仿宋" w:eastAsia="仿宋"/>
          <w:color w:val="000000" w:themeColor="text1"/>
          <w:sz w:val="32"/>
          <w:szCs w:val="32"/>
        </w:rPr>
        <w:t>，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</w:rPr>
        <w:t>推进老年人养护服务中心项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目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建设</w:t>
      </w:r>
      <w:r>
        <w:rPr>
          <w:rFonts w:hint="eastAsia" w:ascii="仿宋" w:hAnsi="仿宋" w:eastAsia="仿宋" w:cs="仿宋"/>
          <w:sz w:val="32"/>
          <w:szCs w:val="32"/>
        </w:rPr>
        <w:t>。</w:t>
      </w:r>
      <w:r>
        <w:rPr>
          <w:rFonts w:hint="eastAsia" w:ascii="仿宋" w:hAnsi="仿宋" w:eastAsia="仿宋" w:cs="仿宋"/>
          <w:b w:val="0"/>
          <w:bCs/>
          <w:kern w:val="0"/>
          <w:sz w:val="32"/>
          <w:szCs w:val="32"/>
        </w:rPr>
        <w:t>探索推动智慧养老服务平台建设。</w:t>
      </w:r>
      <w:r>
        <w:rPr>
          <w:rFonts w:hint="eastAsia" w:ascii="仿宋" w:hAnsi="仿宋" w:eastAsia="仿宋"/>
          <w:color w:val="000000" w:themeColor="text1"/>
          <w:sz w:val="32"/>
          <w:szCs w:val="32"/>
        </w:rPr>
        <w:t>开展养老服务质量提升行动，对全县养老机构进行安全检查和服务质量评估，提升养老服务水平。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精准做好高龄补贴发放工作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，</w:t>
      </w:r>
      <w:r>
        <w:rPr>
          <w:rFonts w:hint="eastAsia" w:ascii="仿宋" w:hAnsi="仿宋" w:eastAsia="仿宋"/>
          <w:sz w:val="32"/>
          <w:szCs w:val="32"/>
          <w:lang w:eastAsia="zh-CN"/>
        </w:rPr>
        <w:t>全年</w:t>
      </w:r>
      <w:r>
        <w:rPr>
          <w:rFonts w:hint="eastAsia" w:ascii="仿宋" w:hAnsi="仿宋" w:eastAsia="仿宋"/>
          <w:sz w:val="32"/>
          <w:szCs w:val="32"/>
        </w:rPr>
        <w:t>发放高龄补贴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90236</w:t>
      </w:r>
      <w:r>
        <w:rPr>
          <w:rFonts w:hint="eastAsia" w:ascii="仿宋" w:hAnsi="仿宋" w:eastAsia="仿宋"/>
          <w:sz w:val="32"/>
          <w:szCs w:val="32"/>
        </w:rPr>
        <w:t xml:space="preserve">人次，发放金额 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387.62</w:t>
      </w:r>
      <w:r>
        <w:rPr>
          <w:rFonts w:hint="eastAsia" w:ascii="仿宋" w:hAnsi="仿宋" w:eastAsia="仿宋"/>
          <w:sz w:val="32"/>
          <w:szCs w:val="32"/>
        </w:rPr>
        <w:t>万元。</w:t>
      </w:r>
    </w:p>
    <w:p w14:paraId="2FD0B714"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firstLine="600"/>
        <w:textAlignment w:val="auto"/>
        <w:rPr>
          <w:rFonts w:hint="default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/>
          <w:bCs/>
          <w:sz w:val="32"/>
          <w:szCs w:val="32"/>
          <w:lang w:val="en-US" w:eastAsia="zh-CN"/>
        </w:rPr>
        <w:t>3.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  <w:t>全力推进未成年人保护工作：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将未成年人保护工作纳入平安建设重要考核内容进行量化考核，建立“三级书记”抓未保工作机制，选优配强村未保专干，形成了县、乡、村（社区）齐抓共管的协调运行机制。严格落实从业查询、强制报告制度，加大对重点行业、重点场所、重点人群的监管。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</w:rPr>
        <w:t>组织开展集中培训2场，正常培训50余场，张贴未成年人入住“五个必须”要求40余张。</w:t>
      </w:r>
    </w:p>
    <w:p w14:paraId="141A2C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3" w:firstLineChars="200"/>
        <w:textAlignment w:val="auto"/>
        <w:rPr>
          <w:rFonts w:hint="eastAsia" w:ascii="仿宋" w:hAnsi="仿宋" w:eastAsia="仿宋"/>
          <w:color w:val="FF0000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/>
          <w:bCs/>
          <w:color w:val="000000" w:themeColor="text1"/>
          <w:sz w:val="32"/>
          <w:szCs w:val="32"/>
        </w:rPr>
        <w:t>4.专项事务规范管理：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</w:rPr>
        <w:t>落实残疾人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eastAsia="zh-CN"/>
        </w:rPr>
        <w:t>两项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</w:rPr>
        <w:t>补贴制度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eastAsia="zh-CN"/>
        </w:rPr>
        <w:t>，全年发放重度残疾人护理补贴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val="en-US" w:eastAsia="zh-CN"/>
        </w:rPr>
        <w:t>42745人次，困难残疾人生活补贴39225人次。</w:t>
      </w:r>
      <w:r>
        <w:rPr>
          <w:rFonts w:hint="eastAsia" w:ascii="仿宋" w:hAnsi="仿宋" w:eastAsia="仿宋" w:cs="仿宋"/>
          <w:b w:val="0"/>
          <w:bCs/>
          <w:sz w:val="32"/>
          <w:szCs w:val="32"/>
        </w:rPr>
        <w:t>持续推进精神康复社区建设</w:t>
      </w:r>
      <w:r>
        <w:rPr>
          <w:rFonts w:hint="eastAsia" w:ascii="仿宋" w:hAnsi="仿宋" w:eastAsia="仿宋" w:cs="仿宋"/>
          <w:b w:val="0"/>
          <w:bCs/>
          <w:sz w:val="32"/>
          <w:szCs w:val="32"/>
          <w:lang w:eastAsia="zh-CN"/>
        </w:rPr>
        <w:t>，</w:t>
      </w:r>
      <w:r>
        <w:rPr>
          <w:rFonts w:hint="eastAsia" w:ascii="仿宋" w:hAnsi="仿宋" w:eastAsia="仿宋"/>
          <w:sz w:val="32"/>
          <w:szCs w:val="32"/>
        </w:rPr>
        <w:t>对198人精障人员全部建立了个人档案</w:t>
      </w:r>
      <w:r>
        <w:rPr>
          <w:rFonts w:hint="eastAsia" w:ascii="仿宋" w:hAnsi="仿宋" w:eastAsia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/>
          <w:sz w:val="32"/>
          <w:szCs w:val="32"/>
        </w:rPr>
        <w:t>服务总次数达1166次</w:t>
      </w:r>
      <w:r>
        <w:rPr>
          <w:rFonts w:hint="eastAsia" w:ascii="仿宋" w:hAnsi="仿宋" w:eastAsia="仿宋"/>
          <w:sz w:val="32"/>
          <w:szCs w:val="32"/>
          <w:lang w:eastAsia="zh-CN"/>
        </w:rPr>
        <w:t>。</w:t>
      </w:r>
      <w:r>
        <w:rPr>
          <w:rFonts w:hint="eastAsia" w:ascii="仿宋" w:hAnsi="仿宋" w:eastAsia="仿宋"/>
          <w:color w:val="000000" w:themeColor="text1"/>
          <w:sz w:val="32"/>
          <w:szCs w:val="32"/>
        </w:rPr>
        <w:t>规范婚姻登记服务，全年办理结婚登记</w:t>
      </w: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</w:rPr>
        <w:t>809</w:t>
      </w:r>
      <w:r>
        <w:rPr>
          <w:rFonts w:hint="eastAsia" w:ascii="仿宋" w:hAnsi="仿宋" w:eastAsia="仿宋"/>
          <w:color w:val="000000" w:themeColor="text1"/>
          <w:sz w:val="32"/>
          <w:szCs w:val="32"/>
        </w:rPr>
        <w:t>对、离婚登记</w:t>
      </w: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</w:rPr>
        <w:t>373</w:t>
      </w:r>
      <w:r>
        <w:rPr>
          <w:rFonts w:hint="eastAsia" w:ascii="仿宋" w:hAnsi="仿宋" w:eastAsia="仿宋"/>
          <w:color w:val="000000" w:themeColor="text1"/>
          <w:sz w:val="32"/>
          <w:szCs w:val="32"/>
        </w:rPr>
        <w:t>对，婚姻登记合格率达100%。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</w:rPr>
        <w:t>强力推进殡仪馆项目建设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已完成土地征收、规划许可、规划设计、用地报批、施工场地“三通一平”等前期工作。</w:t>
      </w:r>
      <w:r>
        <w:rPr>
          <w:rFonts w:hint="eastAsia" w:ascii="仿宋" w:hAnsi="仿宋" w:eastAsia="仿宋"/>
          <w:color w:val="FF0000"/>
          <w:sz w:val="32"/>
          <w:szCs w:val="32"/>
          <w:lang w:val="en-US" w:eastAsia="zh-CN"/>
        </w:rPr>
        <w:t xml:space="preserve">   </w:t>
      </w:r>
    </w:p>
    <w:p w14:paraId="75E4E5CF"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firstLine="600"/>
        <w:textAlignment w:val="auto"/>
        <w:rPr>
          <w:rFonts w:hint="eastAsia" w:ascii="仿宋" w:hAnsi="仿宋" w:eastAsia="仿宋" w:cs="宋体"/>
          <w:b/>
          <w:bCs w:val="0"/>
          <w:color w:val="000000" w:themeColor="text1"/>
          <w:sz w:val="32"/>
          <w:szCs w:val="32"/>
        </w:rPr>
      </w:pPr>
      <w:r>
        <w:rPr>
          <w:rFonts w:hint="eastAsia" w:ascii="仿宋" w:hAnsi="仿宋" w:eastAsia="仿宋" w:cs="宋体"/>
          <w:b/>
          <w:bCs w:val="0"/>
          <w:color w:val="000000" w:themeColor="text1"/>
          <w:sz w:val="32"/>
          <w:szCs w:val="32"/>
        </w:rPr>
        <w:t>（二）绩效效益分析</w:t>
      </w:r>
    </w:p>
    <w:p w14:paraId="5E2E9BAE"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firstLine="600"/>
        <w:textAlignment w:val="auto"/>
        <w:rPr>
          <w:rFonts w:hint="eastAsia" w:ascii="仿宋" w:hAnsi="仿宋" w:eastAsia="仿宋" w:cs="宋体"/>
          <w:b w:val="0"/>
          <w:bCs/>
          <w:color w:val="000000" w:themeColor="text1"/>
          <w:sz w:val="32"/>
          <w:szCs w:val="32"/>
        </w:rPr>
      </w:pPr>
      <w:r>
        <w:rPr>
          <w:rFonts w:hint="eastAsia" w:ascii="仿宋" w:hAnsi="仿宋" w:eastAsia="仿宋" w:cs="宋体"/>
          <w:b/>
          <w:bCs w:val="0"/>
          <w:color w:val="000000" w:themeColor="text1"/>
          <w:sz w:val="32"/>
          <w:szCs w:val="32"/>
        </w:rPr>
        <w:t>1.经济效益：</w:t>
      </w:r>
      <w:r>
        <w:rPr>
          <w:rFonts w:hint="eastAsia" w:ascii="仿宋" w:hAnsi="仿宋" w:eastAsia="仿宋" w:cs="宋体"/>
          <w:b w:val="0"/>
          <w:bCs/>
          <w:color w:val="000000" w:themeColor="text1"/>
          <w:sz w:val="32"/>
          <w:szCs w:val="32"/>
        </w:rPr>
        <w:t>通过社会救助和养老服务等资金投入，拉动了部分内需。如养老服务设施建设带动了建筑、装修等相关产业发展；社会救助资金保障困难群众基本生活，使其能够维持基本消费，促进经济微循环。</w:t>
      </w:r>
    </w:p>
    <w:p w14:paraId="168CE1FE"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firstLine="600"/>
        <w:textAlignment w:val="auto"/>
        <w:rPr>
          <w:rFonts w:hint="eastAsia" w:ascii="仿宋" w:hAnsi="仿宋" w:eastAsia="仿宋" w:cs="宋体"/>
          <w:b w:val="0"/>
          <w:bCs/>
          <w:color w:val="000000" w:themeColor="text1"/>
          <w:sz w:val="32"/>
          <w:szCs w:val="32"/>
        </w:rPr>
      </w:pPr>
      <w:r>
        <w:rPr>
          <w:rFonts w:hint="eastAsia" w:ascii="仿宋" w:hAnsi="仿宋" w:eastAsia="仿宋" w:cs="宋体"/>
          <w:b/>
          <w:bCs w:val="0"/>
          <w:color w:val="000000" w:themeColor="text1"/>
          <w:sz w:val="32"/>
          <w:szCs w:val="32"/>
        </w:rPr>
        <w:t>2.社会效益：</w:t>
      </w:r>
      <w:r>
        <w:rPr>
          <w:rFonts w:hint="eastAsia" w:ascii="仿宋" w:hAnsi="仿宋" w:eastAsia="仿宋" w:cs="宋体"/>
          <w:b w:val="0"/>
          <w:bCs/>
          <w:color w:val="000000" w:themeColor="text1"/>
          <w:sz w:val="32"/>
          <w:szCs w:val="32"/>
        </w:rPr>
        <w:t>社会救助工作有效缓解了贫困现象，维护了社会稳定；养老服务发展满足了老年人养老需求，提升了老年人生活质量；基层治理工作增强了社区凝聚力，促进了社区和谐发展；婚姻登记、殡葬管理等专项事务规范管理，推动了社会文明进步。</w:t>
      </w:r>
    </w:p>
    <w:p w14:paraId="540690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lef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四</w:t>
      </w:r>
      <w:r>
        <w:rPr>
          <w:rFonts w:ascii="黑体" w:hAnsi="黑体" w:eastAsia="黑体"/>
          <w:sz w:val="32"/>
          <w:szCs w:val="32"/>
        </w:rPr>
        <w:t>、存在的问题及原因</w:t>
      </w:r>
    </w:p>
    <w:p w14:paraId="071925B1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3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1.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殡葬项目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建设推进滞后。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因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项目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建设原址结算问题，导致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监理费用和安全文明施工措施费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未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能及时拨付到位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。报建手续仍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在</w:t>
      </w:r>
      <w:r>
        <w:rPr>
          <w:rFonts w:hint="eastAsia" w:ascii="仿宋" w:hAnsi="仿宋" w:eastAsia="仿宋" w:cs="仿宋"/>
          <w:sz w:val="32"/>
          <w:szCs w:val="32"/>
        </w:rPr>
        <w:t>等待规划审批，导致项目建设报建和施工许可证办理滞后。</w:t>
      </w:r>
    </w:p>
    <w:p w14:paraId="03FF1CE7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  <w:t>2.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老年人养护服务中心项目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推进困难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项目资金保障困难，申请的中央预算内资金5700万元尚未落实到位。</w:t>
      </w:r>
    </w:p>
    <w:p w14:paraId="30E5E1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lef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五</w:t>
      </w:r>
      <w:r>
        <w:rPr>
          <w:rFonts w:ascii="黑体" w:hAnsi="黑体" w:eastAsia="黑体"/>
          <w:sz w:val="32"/>
          <w:szCs w:val="32"/>
        </w:rPr>
        <w:t>、提高财政资金绩效的措施与建议</w:t>
      </w:r>
    </w:p>
    <w:p w14:paraId="6F1F8E6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3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1.加快殡葬项目建设进度。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2025年10月前，完成殡仪馆所有工程建设并投入运营使用。</w:t>
      </w:r>
    </w:p>
    <w:p w14:paraId="345CF74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3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2.正式启动公墓建设工作。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2025年10月前，争取开发建设县级公墓100亩。 </w:t>
      </w:r>
    </w:p>
    <w:p w14:paraId="4E1009D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3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3.全面启动推进殡葬改革工作。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一是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提请县委、县政府出台我县殡葬改革和惠民殡葬相关政策文件；二是加大县城区域内和铁道、国道沿线及“三沿六区”乱埋乱葬的治理力度。</w:t>
      </w:r>
    </w:p>
    <w:p w14:paraId="7EA82B17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  <w:t>.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稳步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推进老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年人养护服务中心项目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。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eastAsia="zh-CN"/>
        </w:rPr>
        <w:t>积极主动向上级发改部门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衔接申请的中央预算内资金，确保资金保障到位，有序推进该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eastAsia="zh-CN"/>
        </w:rPr>
        <w:t>项目建设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</w:rPr>
        <w:t>。</w:t>
      </w:r>
    </w:p>
    <w:p w14:paraId="5AE3EA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left"/>
        <w:rPr>
          <w:rFonts w:ascii="仿宋" w:hAnsi="仿宋" w:eastAsia="仿宋"/>
          <w:sz w:val="32"/>
          <w:szCs w:val="32"/>
        </w:rPr>
      </w:pPr>
      <w:bookmarkStart w:id="0" w:name="_GoBack"/>
      <w:bookmarkEnd w:id="0"/>
    </w:p>
    <w:p w14:paraId="352DBD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/>
        <w:jc w:val="left"/>
        <w:rPr>
          <w:rFonts w:ascii="仿宋" w:hAnsi="仿宋" w:eastAsia="仿宋"/>
          <w:sz w:val="32"/>
          <w:szCs w:val="32"/>
        </w:rPr>
      </w:pPr>
    </w:p>
    <w:p w14:paraId="6C0509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ascii="仿宋" w:hAnsi="仿宋" w:eastAsia="仿宋"/>
          <w:sz w:val="32"/>
          <w:szCs w:val="32"/>
        </w:rPr>
        <w:t xml:space="preserve">                          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/>
          <w:sz w:val="32"/>
          <w:szCs w:val="32"/>
        </w:rPr>
        <w:t>202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5</w:t>
      </w:r>
      <w:r>
        <w:rPr>
          <w:rFonts w:ascii="仿宋" w:hAnsi="仿宋" w:eastAsia="仿宋"/>
          <w:sz w:val="32"/>
          <w:szCs w:val="32"/>
        </w:rPr>
        <w:t>年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3</w:t>
      </w:r>
      <w:r>
        <w:rPr>
          <w:rFonts w:ascii="仿宋" w:hAnsi="仿宋" w:eastAsia="仿宋"/>
          <w:sz w:val="32"/>
          <w:szCs w:val="32"/>
        </w:rPr>
        <w:t>月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18日</w:t>
      </w:r>
    </w:p>
    <w:p w14:paraId="765B8E46">
      <w:pPr>
        <w:pStyle w:val="2"/>
        <w:rPr>
          <w:rFonts w:hint="default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                  新晃侗族自治县民政局</w:t>
      </w:r>
    </w:p>
    <w:p w14:paraId="2B30E4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0" w:firstLineChars="0"/>
        <w:rPr>
          <w:rFonts w:ascii="仿宋" w:hAnsi="仿宋" w:eastAsia="仿宋"/>
          <w:sz w:val="32"/>
          <w:szCs w:val="32"/>
        </w:rPr>
      </w:pPr>
    </w:p>
    <w:sectPr>
      <w:footerReference r:id="rId5" w:type="default"/>
      <w:pgSz w:w="11906" w:h="16838"/>
      <w:pgMar w:top="1701" w:right="1474" w:bottom="1701" w:left="1588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736204015"/>
      <w:docPartObj>
        <w:docPartGallery w:val="autotext"/>
      </w:docPartObj>
    </w:sdtPr>
    <w:sdtContent>
      <w:p w14:paraId="6CAAFD8F">
        <w:pPr>
          <w:pStyle w:val="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5</w:t>
        </w:r>
        <w:r>
          <w:fldChar w:fldCharType="end"/>
        </w:r>
      </w:p>
    </w:sdtContent>
  </w:sdt>
  <w:p w14:paraId="07185AC2">
    <w:pPr>
      <w:pStyle w:val="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8421BF7"/>
    <w:multiLevelType w:val="singleLevel"/>
    <w:tmpl w:val="28421BF7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DMyNDk1OTE5Y2JlMzFjYzNkMzc3Njg2Y2I3ZmU5ODEifQ=="/>
  </w:docVars>
  <w:rsids>
    <w:rsidRoot w:val="00FC7CFE"/>
    <w:rsid w:val="0016262B"/>
    <w:rsid w:val="0023752C"/>
    <w:rsid w:val="002614C7"/>
    <w:rsid w:val="00300B6C"/>
    <w:rsid w:val="00376608"/>
    <w:rsid w:val="003C3552"/>
    <w:rsid w:val="00460B0B"/>
    <w:rsid w:val="00585A07"/>
    <w:rsid w:val="00666E16"/>
    <w:rsid w:val="00674E82"/>
    <w:rsid w:val="006C729A"/>
    <w:rsid w:val="007041A2"/>
    <w:rsid w:val="00736144"/>
    <w:rsid w:val="00756F3E"/>
    <w:rsid w:val="007D7007"/>
    <w:rsid w:val="00893336"/>
    <w:rsid w:val="008C33E3"/>
    <w:rsid w:val="0093135C"/>
    <w:rsid w:val="009E6266"/>
    <w:rsid w:val="00A756CD"/>
    <w:rsid w:val="00AA0494"/>
    <w:rsid w:val="00B109FD"/>
    <w:rsid w:val="00C02AE0"/>
    <w:rsid w:val="00C167CA"/>
    <w:rsid w:val="00C72314"/>
    <w:rsid w:val="00CA3609"/>
    <w:rsid w:val="00CD2340"/>
    <w:rsid w:val="00D6087D"/>
    <w:rsid w:val="00DD6459"/>
    <w:rsid w:val="00E15149"/>
    <w:rsid w:val="00E304C8"/>
    <w:rsid w:val="00E663AF"/>
    <w:rsid w:val="00EC50A6"/>
    <w:rsid w:val="00F85ACD"/>
    <w:rsid w:val="00FB7AAD"/>
    <w:rsid w:val="00FC7CFE"/>
    <w:rsid w:val="04CC1DCE"/>
    <w:rsid w:val="05400295"/>
    <w:rsid w:val="0FC81E75"/>
    <w:rsid w:val="1397611F"/>
    <w:rsid w:val="251F7FB3"/>
    <w:rsid w:val="2BF41076"/>
    <w:rsid w:val="38820772"/>
    <w:rsid w:val="3DDF060F"/>
    <w:rsid w:val="42BD7DF2"/>
    <w:rsid w:val="463C1243"/>
    <w:rsid w:val="4C056031"/>
    <w:rsid w:val="4C2E5BAC"/>
    <w:rsid w:val="502F4C40"/>
    <w:rsid w:val="58DD285C"/>
    <w:rsid w:val="59EF7E08"/>
    <w:rsid w:val="5A53355E"/>
    <w:rsid w:val="5B1D730F"/>
    <w:rsid w:val="5C351B99"/>
    <w:rsid w:val="5CD175C5"/>
    <w:rsid w:val="617526CF"/>
    <w:rsid w:val="62783F5F"/>
    <w:rsid w:val="67D46EF3"/>
    <w:rsid w:val="6AC800E6"/>
    <w:rsid w:val="6BB36625"/>
    <w:rsid w:val="6FFF2863"/>
    <w:rsid w:val="75D0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5" w:lineRule="atLeast"/>
      <w:ind w:left="1"/>
      <w:jc w:val="both"/>
      <w:textAlignment w:val="bottom"/>
    </w:pPr>
    <w:rPr>
      <w:rFonts w:ascii="Times New Roman" w:hAnsi="Times New Roman" w:eastAsia="宋体" w:cs="Times New Roman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列出段落1"/>
    <w:basedOn w:val="1"/>
    <w:qFormat/>
    <w:uiPriority w:val="0"/>
    <w:pPr>
      <w:ind w:firstLine="200" w:firstLineChars="200"/>
    </w:p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widowControl/>
      <w:spacing w:before="100" w:beforeAutospacing="1" w:after="100" w:afterAutospacing="1" w:line="240" w:lineRule="auto"/>
      <w:ind w:left="0"/>
      <w:jc w:val="left"/>
      <w:textAlignment w:val="auto"/>
    </w:pPr>
    <w:rPr>
      <w:rFonts w:ascii="宋体" w:hAnsi="宋体" w:cs="宋体"/>
      <w:sz w:val="24"/>
      <w:szCs w:val="24"/>
    </w:rPr>
  </w:style>
  <w:style w:type="character" w:styleId="8">
    <w:name w:val="Strong"/>
    <w:qFormat/>
    <w:uiPriority w:val="0"/>
    <w:rPr>
      <w:b/>
      <w:bCs/>
    </w:rPr>
  </w:style>
  <w:style w:type="paragraph" w:customStyle="1" w:styleId="9">
    <w:name w:val="p"/>
    <w:basedOn w:val="1"/>
    <w:qFormat/>
    <w:uiPriority w:val="0"/>
    <w:pPr>
      <w:widowControl/>
      <w:spacing w:before="100" w:beforeAutospacing="1" w:after="100" w:afterAutospacing="1" w:line="240" w:lineRule="auto"/>
      <w:ind w:left="0"/>
      <w:jc w:val="left"/>
      <w:textAlignment w:val="auto"/>
    </w:pPr>
    <w:rPr>
      <w:rFonts w:ascii="宋体" w:hAnsi="宋体" w:cs="宋体"/>
      <w:sz w:val="24"/>
      <w:szCs w:val="24"/>
    </w:rPr>
  </w:style>
  <w:style w:type="character" w:customStyle="1" w:styleId="10">
    <w:name w:val="页眉 Char"/>
    <w:basedOn w:val="7"/>
    <w:link w:val="4"/>
    <w:qFormat/>
    <w:uiPriority w:val="99"/>
    <w:rPr>
      <w:rFonts w:ascii="Times New Roman" w:hAnsi="Times New Roman" w:eastAsia="宋体" w:cs="Times New Roman"/>
      <w:kern w:val="0"/>
      <w:sz w:val="18"/>
      <w:szCs w:val="18"/>
    </w:rPr>
  </w:style>
  <w:style w:type="character" w:customStyle="1" w:styleId="11">
    <w:name w:val="页脚 Char"/>
    <w:basedOn w:val="7"/>
    <w:link w:val="3"/>
    <w:qFormat/>
    <w:uiPriority w:val="99"/>
    <w:rPr>
      <w:rFonts w:ascii="Times New Roman" w:hAnsi="Times New Roman" w:eastAsia="宋体" w:cs="Times New Roman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2275</Words>
  <Characters>2510</Characters>
  <Lines>15</Lines>
  <Paragraphs>4</Paragraphs>
  <TotalTime>1</TotalTime>
  <ScaleCrop>false</ScaleCrop>
  <LinksUpToDate>false</LinksUpToDate>
  <CharactersWithSpaces>2549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2022-05-22T06:45:00Z</dcterms:created>
  <dc:creator>Administrator</dc:creator>
  <cp:lastModifiedBy>艾朵朵</cp:lastModifiedBy>
  <cp:lastPrinted>2024-04-22T08:23:00Z</cp:lastPrinted>
  <dcterms:modified xsi:type="dcterms:W3CDTF">2025-04-07T07:12:41Z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A9A1E05559E34C619145655C29B7B341_12</vt:lpwstr>
  </property>
  <property fmtid="{D5CDD505-2E9C-101B-9397-08002B2CF9AE}" pid="4" name="KSOTemplateDocerSaveRecord">
    <vt:lpwstr>eyJoZGlkIjoiZDMyNDk1OTE5Y2JlMzFjYzNkMzc3Njg2Y2I3ZmU5ODEiLCJ1c2VySWQiOiIzODkyMTI2MzIifQ==</vt:lpwstr>
  </property>
</Properties>
</file>