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202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  <w:lang w:val="en-US" w:eastAsia="zh-CN"/>
        </w:rPr>
        <w:t>3</w:t>
      </w: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年度新晃县彩票公益金项目支出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仿宋_GB2312" w:asciiTheme="majorEastAsia" w:hAnsiTheme="majorEastAsia" w:eastAsiaTheme="majorEastAsia"/>
          <w:b/>
          <w:color w:val="000000" w:themeColor="text1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仿宋_GB2312" w:asciiTheme="majorEastAsia" w:hAnsiTheme="majorEastAsia" w:eastAsiaTheme="majorEastAsia"/>
          <w:color w:val="000000" w:themeColor="text1"/>
          <w:sz w:val="44"/>
          <w:szCs w:val="44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资金分解下达情况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中央彩票公益金分解下达情况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 xml:space="preserve">    根据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《湖南省财政厅关于提前下达202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年中央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集中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彩票公益金支持社会福利事业专项资金的通知》（湘财社指[202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号）文件下达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47.6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万元，其中用于困难老年人家庭适老化改造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15.6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万元，福彩圆梦.孤儿助学工程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，精神障碍社区康复服务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25万元。</w:t>
      </w:r>
    </w:p>
    <w:p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省级彩票公益金分解下达情况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根据《湖南省财政厅 湖南省民政厅关于下达202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年省级福利彩票公益金的通知》（湘财综指[2022]1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号）文件，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收到省级福彩公益金指标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82.2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万元，其中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适老化改造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31.2万元，社工站项目补助30万元，五社联动项目12万元，福彩公益金超收分成9万元（用于养老服务真抓实干制度阵地建设）。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  <w:t>（三）市县分成彩票公益金分解下达情况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根据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《湖南省财政厅关于下达202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年市县分成福彩公益金的通知》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（湘财综指[202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号）文件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《湖南省财政厅关于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提前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下达202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市县分成福彩公益金的通知》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（湘财综指[202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号），下达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市县分成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97.08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万元用于社会福利项目，经局党组研究同意报县财政备案，其中养老服务示范点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万元；敬老院维修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57.4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万元；慈善助学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阳光伴晚项目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，“四个小屋”建设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6万元，农村互助养老服务设施建设9.68万元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）市级彩票公益金分解下达情况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根据《怀化市财政局关于下达202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年度分成福利彩票公益金的通知》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（怀财综指[202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]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号），收到市福彩公益金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兴隆综合养老服务中心维修改造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万元；民政局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社区居家养老服务设施建设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年共计收到中央、省、市下达福彩公益金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236.88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万元，已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169.27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1.困难老年人家庭适老化改造项目。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该项目目标任务为晃州镇、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林冲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镇、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凉伞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镇等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个乡镇辖区范围内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224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户困难老年人家庭，结合对象要求，分别进行房屋内的无障碍改造及配备必要的残障辅助器材。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2.孤儿助学。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对已被认定为孤儿身份、年满18岁后在普通全日制本科学校、普通全日制专科学校、高等职业学校等高等院校和中等职业学校就读中专、大专、本科学生和硕士研究生的孤儿进行补助。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  <w:t>3.精神障碍社区康复服务。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通过政府购买社会工作服务的方式，由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怀化雅康精神病医院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承接运营，为辖区内有精神康复需求的对象提供康复训练、心理疏导、事前预防、危机介入，实时支援、个案跟进等专业社工服务，从个人、家庭、社区三个层面介入，坚持“加强经济保障、立足个人发展、促进家庭和谐、推动社区共融”的服务理念，保障精神障碍者生存、参与和发展权利的专业社会工作服务平台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eastAsia="仿宋"/>
          <w:color w:val="000000" w:themeColor="text1"/>
        </w:rPr>
      </w:pPr>
      <w:r>
        <w:rPr>
          <w:rFonts w:hint="eastAsia" w:ascii="仿宋" w:hAnsi="仿宋" w:eastAsia="仿宋" w:cs="仿宋_GB2312"/>
          <w:b/>
          <w:color w:val="000000" w:themeColor="text1"/>
          <w:szCs w:val="32"/>
        </w:rPr>
        <w:t>4.乡镇社工站建设</w:t>
      </w:r>
      <w:r>
        <w:rPr>
          <w:rFonts w:hint="eastAsia" w:ascii="仿宋" w:hAnsi="仿宋" w:eastAsia="仿宋" w:cs="宋体"/>
          <w:b/>
          <w:color w:val="000000" w:themeColor="text1"/>
          <w:szCs w:val="32"/>
        </w:rPr>
        <w:t>。</w:t>
      </w:r>
      <w:r>
        <w:rPr>
          <w:rFonts w:hint="eastAsia" w:ascii="仿宋" w:hAnsi="仿宋" w:eastAsia="仿宋" w:cs="宋体"/>
          <w:color w:val="000000" w:themeColor="text1"/>
          <w:szCs w:val="32"/>
        </w:rPr>
        <w:t>乡镇社工站建设开展社会工作专业人才队伍建设，建设本土社工机构和培养社工人才；支持购买社工专业人员开展社会救助、慈善公益、社区服务、儿童关爱等社会工作服务;</w:t>
      </w:r>
      <w:r>
        <w:rPr>
          <w:rFonts w:hint="eastAsia" w:ascii="仿宋" w:hAnsi="仿宋" w:eastAsia="仿宋" w:cs="Times New Roman"/>
          <w:bCs/>
          <w:color w:val="000000" w:themeColor="text1"/>
          <w:kern w:val="0"/>
          <w:szCs w:val="32"/>
        </w:rPr>
        <w:t>探索建立“五社联动”服务模式。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</w:rPr>
        <w:t>.养老服务项目建设。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完成李树、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中寨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敬老院房屋的维修改造，解除房屋开裂、倾斜等安全隐患，确保五保老人有一个安全、舒适的生活环境。完成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养老服务示范点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建设。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完成“阳光伴晚”项目。完成农村互助养老服务设施阵地建设。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Arial"/>
          <w:b/>
          <w:color w:val="000000" w:themeColor="text1"/>
          <w:sz w:val="32"/>
          <w:szCs w:val="32"/>
          <w:shd w:val="clear" w:color="auto" w:fill="FFFFFF"/>
        </w:rPr>
        <w:t>.社会福利项目。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开展202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年度慈善助学工作。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完成宝贝小屋建设、阅读小屋建设、直播小屋建设。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</w:rPr>
        <w:t>（一）资金投入情况分析。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楷体" w:hAnsi="楷体" w:eastAsia="楷体" w:cs="宋体"/>
          <w:b/>
          <w:color w:val="000000" w:themeColor="text1"/>
          <w:sz w:val="32"/>
          <w:szCs w:val="32"/>
        </w:rPr>
        <w:t>项目资金执行情况分析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宋体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color w:val="000000" w:themeColor="text1"/>
          <w:sz w:val="32"/>
          <w:szCs w:val="32"/>
        </w:rPr>
        <w:t>中央福利彩票公益金执行情况：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中央福利彩票公益金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</w:rPr>
        <w:t>专项补助共计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47.6万元，已经支付37.6万元，资金执行率79%。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eastAsia="zh-CN"/>
        </w:rPr>
        <w:t>其中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困难老年人家庭适老化改造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15.6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15.6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万元。福彩圆梦.孤儿助学工程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精神障碍社区康复服务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25万元，按合同约定已支付15万元，剩余资金待10月份项目结束评估合格后再支付。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/>
          <w:color w:val="000000" w:themeColor="text1"/>
          <w:sz w:val="32"/>
          <w:szCs w:val="32"/>
        </w:rPr>
        <w:t>省级福利彩票公益金执行情况：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省级福利彩票公益金专项补助共计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82.2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60.57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，资金执行率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74%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。其中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适老化改造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val="en-US" w:eastAsia="zh-CN"/>
        </w:rPr>
        <w:t>31.2万元，已支付27.57万元，结余3.6万元。社工站项目补助30万元，已支付28万元，五社联动项目12万元，已支付5万元，福彩公益金超收分成9万元,用于养老服务真抓实干制度阵地建设,暂未支付。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  <w:lang w:val="en-US" w:eastAsia="zh-CN"/>
        </w:rPr>
        <w:t>市县分成彩票公益金执行情况：</w:t>
      </w:r>
      <w:r>
        <w:rPr>
          <w:rFonts w:hint="eastAsia" w:ascii="仿宋" w:hAnsi="仿宋" w:eastAsia="仿宋" w:cs="仿宋_GB2312"/>
          <w:b w:val="0"/>
          <w:bCs w:val="0"/>
          <w:color w:val="000000" w:themeColor="text1"/>
          <w:sz w:val="32"/>
          <w:szCs w:val="32"/>
          <w:lang w:val="en-US" w:eastAsia="zh-CN"/>
        </w:rPr>
        <w:t>市县分成福利彩票公益金共计97.08万元，已经支付61.1万元，资金执行率63%。其中养老服务示范点建设6万元，项目已验收，暂未支付。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敬老院维修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57.4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，项目已验收，支付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57.06万元。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慈善助学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，暂未支付。阳光伴晚项目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，该项目周期为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2023年7月至2024年7月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，暂未支付。“四个小屋”建设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6万元，项目已验收，暂未支付。农村互助养老服务设施建设9.68万元，项目已验收，支付4.04万元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bCs/>
          <w:color w:val="000000" w:themeColor="text1"/>
          <w:sz w:val="32"/>
          <w:szCs w:val="32"/>
        </w:rPr>
        <w:t>市级</w:t>
      </w:r>
      <w:r>
        <w:rPr>
          <w:rFonts w:hint="eastAsia" w:ascii="仿宋" w:hAnsi="仿宋" w:eastAsia="仿宋" w:cs="宋体"/>
          <w:b/>
          <w:bCs/>
          <w:color w:val="000000" w:themeColor="text1"/>
          <w:sz w:val="32"/>
          <w:szCs w:val="32"/>
        </w:rPr>
        <w:t>福利彩票公益金执行情况：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共收到市级福彩公益金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万元，已支付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万元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eastAsia="zh-CN"/>
        </w:rPr>
        <w:t>，资金执行率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宋体"/>
          <w:bCs/>
          <w:color w:val="000000" w:themeColor="text1"/>
          <w:sz w:val="32"/>
          <w:szCs w:val="32"/>
        </w:rPr>
        <w:t>。其中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兴隆综合养老服务中心维修改造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该项目已完工并验收，支付5万元。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社区居家养老服务设施建设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，该项目已完工并验收，支付5万元。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楷体" w:hAnsi="楷体" w:eastAsia="楷体" w:cs="仿宋_GB2312"/>
          <w:b/>
          <w:color w:val="000000" w:themeColor="text1"/>
          <w:sz w:val="32"/>
          <w:szCs w:val="32"/>
        </w:rPr>
        <w:t>2.</w:t>
      </w:r>
      <w:r>
        <w:rPr>
          <w:rFonts w:hint="eastAsia" w:ascii="楷体" w:hAnsi="楷体" w:eastAsia="楷体" w:cs="宋体"/>
          <w:b/>
          <w:color w:val="000000" w:themeColor="text1"/>
          <w:sz w:val="32"/>
          <w:szCs w:val="32"/>
        </w:rPr>
        <w:t>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（1）严格执行各项有关法律法规、财经纪律、财务规章制度、预（决）算、政府采购、国库集中支付、专项资金等管理办法和操作规程。在项目资金的使用上做到规范使用、专款专用，不断提高资金使用率。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（2）我县严格遵照省、市的有关规定，制定出台了《新晃侗族自治县民政局福彩公益金管理办法》，严格按照“谁主管、谁负责”的原则，实行主要领导负总责、分管领导亲自抓、业务部门具体管的办法，把民政专项资金监管工作纳入单位年度工作绩效考评和责任制考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宋体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（3）财务管理制度健全，执行情况良好。会计核算真实完整，项目资金支出和原定用途、预算批复用途相符，支出符合国家财经法规和财务管理制度规定。资金拨付程序规范，资产管理制度健全，定期对资金使用情况进行检查，严格确保项目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（二）总体绩效目标完成情况分析。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Style w:val="9"/>
          <w:rFonts w:hint="eastAsia" w:ascii="楷体" w:hAnsi="楷体" w:eastAsia="楷体"/>
          <w:color w:val="000000" w:themeColor="text1"/>
          <w:sz w:val="32"/>
          <w:szCs w:val="32"/>
        </w:rPr>
        <w:t>1.</w:t>
      </w: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数量指标。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224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名困难老年人家庭适老化改造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任务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8名孤儿助学金发放。在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乡镇设立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11个社工站，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聘请2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名社工充实基层民政力量。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完成扶罗镇“五社联动”试点。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2所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敬老院维修改造。完成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1个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养老服务示范点建设。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完成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3个小屋建设。“阳光伴晚”居家养老服务项目运转正常。完成农村互助养老服务设施建设3个。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慈善助学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资助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名贫困学生上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  <w:lang w:eastAsia="zh-CN"/>
        </w:rPr>
        <w:t>大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学。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2.质量指标。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符合助学条件的孤儿补助比例达到100%。加强乡镇社工站建设，提升社会服务能力。支持养老服务机构高质量发展，提升养老服务体系综合实力。敬老院维修、养老服务示范点建设、困难老年人家庭适老化改造建设质量合格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3.时效指标。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项目基本能按计划进行，资金拨付基本到位，运转状况</w:t>
      </w:r>
      <w:r>
        <w:rPr>
          <w:rFonts w:hint="eastAsia" w:ascii="仿宋" w:hAnsi="仿宋" w:eastAsia="仿宋"/>
          <w:color w:val="000000" w:themeColor="text1"/>
          <w:sz w:val="30"/>
          <w:szCs w:val="30"/>
        </w:rPr>
        <w:t>良好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textAlignment w:val="auto"/>
        <w:rPr>
          <w:rFonts w:hint="default" w:ascii="楷体" w:hAnsi="楷体" w:eastAsia="仿宋"/>
          <w:color w:val="000000" w:themeColor="text1"/>
          <w:sz w:val="32"/>
          <w:szCs w:val="32"/>
          <w:lang w:val="en-US" w:eastAsia="zh-CN"/>
        </w:rPr>
      </w:pPr>
      <w:r>
        <w:rPr>
          <w:rStyle w:val="9"/>
          <w:rFonts w:hint="eastAsia" w:ascii="楷体" w:hAnsi="楷体" w:eastAsia="楷体"/>
          <w:color w:val="000000" w:themeColor="text1"/>
          <w:sz w:val="32"/>
          <w:szCs w:val="32"/>
        </w:rPr>
        <w:t>4.</w:t>
      </w: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社会效益。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相关项目的实施，低保家庭、孤儿等困难群体上学得到有效保障，乡镇社工站、养老服务机构等相关服务能力明显提升。适老化改造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为老人独立自主生活提供更大便利，提高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老人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</w:rPr>
        <w:t>生活质量，从而促进社会和谐。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</w:rPr>
        <w:t>服务对象满意度达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</w:rPr>
        <w:t>90%。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楷体" w:hAnsi="楷体" w:eastAsia="楷体"/>
          <w:b/>
          <w:color w:val="000000" w:themeColor="text1"/>
          <w:sz w:val="32"/>
          <w:szCs w:val="32"/>
        </w:rPr>
        <w:t>5.可持续影响。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孤儿学习、生活状况得到保障，受教育权得到有效维护。</w:t>
      </w:r>
      <w:r>
        <w:rPr>
          <w:rFonts w:ascii="仿宋" w:hAnsi="仿宋" w:eastAsia="仿宋"/>
          <w:color w:val="000000" w:themeColor="text1"/>
          <w:sz w:val="32"/>
          <w:szCs w:val="32"/>
        </w:rPr>
        <w:t>搭建居家为基础、社区为依托、机构为补充、医养相结合的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养老</w:t>
      </w:r>
      <w:r>
        <w:rPr>
          <w:rFonts w:ascii="仿宋" w:hAnsi="仿宋" w:eastAsia="仿宋"/>
          <w:color w:val="000000" w:themeColor="text1"/>
          <w:sz w:val="32"/>
          <w:szCs w:val="32"/>
        </w:rPr>
        <w:t>制度框架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。促进我县专业社会服务和养老服务高质量、高水平发展。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四</w:t>
      </w:r>
      <w:r>
        <w:rPr>
          <w:rFonts w:ascii="黑体" w:hAnsi="黑体" w:eastAsia="黑体"/>
          <w:color w:val="000000" w:themeColor="text1"/>
          <w:sz w:val="32"/>
          <w:szCs w:val="32"/>
        </w:rPr>
        <w:t>、绩效评价情况及评价结论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Style w:val="9"/>
          <w:rFonts w:ascii="仿宋" w:hAnsi="仿宋" w:eastAsia="仿宋"/>
          <w:b w:val="0"/>
          <w:bCs w:val="0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　　新晃县民政局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2022年彩票公益金</w:t>
      </w:r>
      <w:r>
        <w:rPr>
          <w:rFonts w:ascii="仿宋" w:hAnsi="仿宋" w:eastAsia="仿宋"/>
          <w:color w:val="000000" w:themeColor="text1"/>
          <w:sz w:val="32"/>
          <w:szCs w:val="32"/>
        </w:rPr>
        <w:t>项目绩效评价自评结果：自评评分为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91</w:t>
      </w:r>
      <w:r>
        <w:rPr>
          <w:rFonts w:ascii="仿宋" w:hAnsi="仿宋" w:eastAsia="仿宋"/>
          <w:color w:val="000000" w:themeColor="text1"/>
          <w:sz w:val="32"/>
          <w:szCs w:val="32"/>
        </w:rPr>
        <w:t>分，自评等级为“优”。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五、偏离绩效目标原因和下一步改进措施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（一）偏离绩效目标原因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Arial"/>
          <w:color w:val="000000" w:themeColor="text1"/>
          <w:sz w:val="32"/>
          <w:szCs w:val="32"/>
        </w:rPr>
      </w:pP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因县财政资金紧张，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  <w:lang w:eastAsia="zh-CN"/>
        </w:rPr>
        <w:t>已完工项目</w:t>
      </w:r>
      <w:r>
        <w:rPr>
          <w:rFonts w:hint="eastAsia" w:ascii="仿宋" w:hAnsi="仿宋" w:eastAsia="仿宋" w:cs="Arial"/>
          <w:color w:val="000000" w:themeColor="text1"/>
          <w:sz w:val="32"/>
          <w:szCs w:val="32"/>
        </w:rPr>
        <w:t>不能及时结算项目款。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" w:hAnsi="仿宋" w:eastAsia="仿宋" w:cs="仿宋_GB2312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b/>
          <w:color w:val="000000" w:themeColor="text1"/>
          <w:sz w:val="32"/>
          <w:szCs w:val="32"/>
        </w:rPr>
        <w:t>（二）下一步改进措施</w:t>
      </w:r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5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_GB2312"/>
          <w:color w:val="000000" w:themeColor="text1"/>
          <w:sz w:val="32"/>
          <w:szCs w:val="32"/>
          <w:lang w:eastAsia="zh-CN"/>
        </w:rPr>
        <w:t>加强与财政资金衔接，</w:t>
      </w:r>
      <w:r>
        <w:rPr>
          <w:rFonts w:hint="eastAsia" w:ascii="仿宋" w:hAnsi="仿宋" w:eastAsia="仿宋" w:cs="仿宋_GB2312"/>
          <w:color w:val="000000" w:themeColor="text1"/>
          <w:sz w:val="32"/>
          <w:szCs w:val="32"/>
        </w:rPr>
        <w:t>加强福彩项目监督，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加强资金管理，提高资金使用率，确保福彩项目发挥实际作用效益。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黑体" w:hAnsi="黑体" w:eastAsia="黑体" w:cs="仿宋_GB2312"/>
          <w:color w:val="000000" w:themeColor="text1"/>
          <w:sz w:val="32"/>
          <w:szCs w:val="32"/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</w:rPr>
        <w:t>六、绩效自评结果拟应用和公开情况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利用政府政务公开栏对福彩资金的使用情况及时公示，加强社会监督。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bookmarkStart w:id="0" w:name="_GoBack"/>
      <w:bookmarkEnd w:id="0"/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5340" w:leftChars="1400" w:right="640" w:hanging="2400" w:hangingChars="75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</w:t>
      </w:r>
      <w:r>
        <w:rPr>
          <w:rFonts w:ascii="仿宋" w:hAnsi="仿宋" w:eastAsia="仿宋"/>
          <w:color w:val="000000" w:themeColor="text1"/>
          <w:sz w:val="32"/>
          <w:szCs w:val="32"/>
        </w:rPr>
        <w:t>新晃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侗族自治县</w:t>
      </w:r>
      <w:r>
        <w:rPr>
          <w:rFonts w:ascii="仿宋" w:hAnsi="仿宋" w:eastAsia="仿宋"/>
          <w:color w:val="000000" w:themeColor="text1"/>
          <w:sz w:val="32"/>
          <w:szCs w:val="32"/>
        </w:rPr>
        <w:t>民政局</w:t>
      </w:r>
    </w:p>
    <w:p>
      <w:pPr>
        <w:pStyle w:val="5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640" w:firstLine="5120" w:firstLineChars="1600"/>
        <w:textAlignment w:val="auto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202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color w:val="000000" w:themeColor="text1"/>
          <w:sz w:val="32"/>
          <w:szCs w:val="32"/>
        </w:rPr>
        <w:t>年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color w:val="000000" w:themeColor="text1"/>
          <w:sz w:val="32"/>
          <w:szCs w:val="32"/>
        </w:rPr>
        <w:t>月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color w:val="000000" w:themeColor="text1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20" w:leftChars="200"/>
        <w:jc w:val="left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</w:p>
    <w:sectPr>
      <w:pgSz w:w="11906" w:h="16838"/>
      <w:pgMar w:top="1701" w:right="1474" w:bottom="170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5E2AA9"/>
    <w:multiLevelType w:val="singleLevel"/>
    <w:tmpl w:val="CD5E2A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D0A34F4"/>
    <w:multiLevelType w:val="multilevel"/>
    <w:tmpl w:val="4D0A34F4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593061FD"/>
    <w:multiLevelType w:val="multilevel"/>
    <w:tmpl w:val="593061FD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MyNDk1OTE5Y2JlMzFjYzNkMzc3Njg2Y2I3ZmU5ODEifQ=="/>
  </w:docVars>
  <w:rsids>
    <w:rsidRoot w:val="008D768A"/>
    <w:rsid w:val="00046615"/>
    <w:rsid w:val="000E6DCD"/>
    <w:rsid w:val="00106677"/>
    <w:rsid w:val="00123084"/>
    <w:rsid w:val="002A582F"/>
    <w:rsid w:val="00322C84"/>
    <w:rsid w:val="0035286C"/>
    <w:rsid w:val="00362A96"/>
    <w:rsid w:val="00366B8B"/>
    <w:rsid w:val="003832EA"/>
    <w:rsid w:val="003A2A7B"/>
    <w:rsid w:val="003B4D47"/>
    <w:rsid w:val="003B5CA3"/>
    <w:rsid w:val="003C4C84"/>
    <w:rsid w:val="004265A8"/>
    <w:rsid w:val="004526DD"/>
    <w:rsid w:val="004A125D"/>
    <w:rsid w:val="004D1291"/>
    <w:rsid w:val="00525868"/>
    <w:rsid w:val="005A3B21"/>
    <w:rsid w:val="006852D2"/>
    <w:rsid w:val="0075150E"/>
    <w:rsid w:val="007805F1"/>
    <w:rsid w:val="00844CFB"/>
    <w:rsid w:val="00846786"/>
    <w:rsid w:val="00863140"/>
    <w:rsid w:val="008B2E1D"/>
    <w:rsid w:val="008C2A55"/>
    <w:rsid w:val="008D768A"/>
    <w:rsid w:val="00903B16"/>
    <w:rsid w:val="00915707"/>
    <w:rsid w:val="009D0C8A"/>
    <w:rsid w:val="00A001F8"/>
    <w:rsid w:val="00A9249B"/>
    <w:rsid w:val="00BA7EF5"/>
    <w:rsid w:val="00BB7BD7"/>
    <w:rsid w:val="00C922F6"/>
    <w:rsid w:val="00DB3E57"/>
    <w:rsid w:val="00E97AE5"/>
    <w:rsid w:val="00EF19DA"/>
    <w:rsid w:val="02502671"/>
    <w:rsid w:val="04545F46"/>
    <w:rsid w:val="07A529B5"/>
    <w:rsid w:val="093869E8"/>
    <w:rsid w:val="0ABB69F2"/>
    <w:rsid w:val="0EDE4308"/>
    <w:rsid w:val="125537EF"/>
    <w:rsid w:val="16851EB4"/>
    <w:rsid w:val="197E31FE"/>
    <w:rsid w:val="1B4337E7"/>
    <w:rsid w:val="1BD7002E"/>
    <w:rsid w:val="212D588A"/>
    <w:rsid w:val="23E51285"/>
    <w:rsid w:val="24A759DB"/>
    <w:rsid w:val="261C0DC0"/>
    <w:rsid w:val="2A772CF6"/>
    <w:rsid w:val="2C5404D6"/>
    <w:rsid w:val="2EE63C29"/>
    <w:rsid w:val="339A514D"/>
    <w:rsid w:val="38115009"/>
    <w:rsid w:val="3ABC5D6E"/>
    <w:rsid w:val="3B475522"/>
    <w:rsid w:val="3BC118D4"/>
    <w:rsid w:val="3C191058"/>
    <w:rsid w:val="3DCB1350"/>
    <w:rsid w:val="3EC11847"/>
    <w:rsid w:val="3F2B085D"/>
    <w:rsid w:val="42DA742E"/>
    <w:rsid w:val="45344114"/>
    <w:rsid w:val="46990162"/>
    <w:rsid w:val="47163D7B"/>
    <w:rsid w:val="482D79B6"/>
    <w:rsid w:val="49B94735"/>
    <w:rsid w:val="4A9219C5"/>
    <w:rsid w:val="4AD0109B"/>
    <w:rsid w:val="4C916ABA"/>
    <w:rsid w:val="54077753"/>
    <w:rsid w:val="617C3A5E"/>
    <w:rsid w:val="6CC4103A"/>
    <w:rsid w:val="6E156E9E"/>
    <w:rsid w:val="6F96380D"/>
    <w:rsid w:val="6FB47AF9"/>
    <w:rsid w:val="79E1673B"/>
    <w:rsid w:val="7A2A5002"/>
    <w:rsid w:val="7EF6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autoRedefine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link w:val="12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6">
    <w:name w:val="Body Text First Indent 2"/>
    <w:basedOn w:val="2"/>
    <w:next w:val="1"/>
    <w:link w:val="14"/>
    <w:autoRedefine/>
    <w:qFormat/>
    <w:uiPriority w:val="0"/>
    <w:pPr>
      <w:spacing w:after="0" w:line="440" w:lineRule="exact"/>
      <w:ind w:left="0" w:leftChars="0" w:firstLine="420" w:firstLineChars="200"/>
    </w:pPr>
    <w:rPr>
      <w:rFonts w:eastAsia="仿宋_GB2312"/>
      <w:sz w:val="32"/>
      <w:szCs w:val="22"/>
    </w:rPr>
  </w:style>
  <w:style w:type="character" w:styleId="9">
    <w:name w:val="Strong"/>
    <w:basedOn w:val="8"/>
    <w:autoRedefine/>
    <w:qFormat/>
    <w:uiPriority w:val="22"/>
    <w:rPr>
      <w:b/>
      <w:bCs/>
    </w:rPr>
  </w:style>
  <w:style w:type="paragraph" w:styleId="10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11">
    <w:name w:val="页眉 Char"/>
    <w:basedOn w:val="8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3"/>
    <w:autoRedefine/>
    <w:semiHidden/>
    <w:qFormat/>
    <w:uiPriority w:val="99"/>
    <w:rPr>
      <w:kern w:val="2"/>
      <w:sz w:val="18"/>
      <w:szCs w:val="18"/>
    </w:rPr>
  </w:style>
  <w:style w:type="character" w:customStyle="1" w:styleId="13">
    <w:name w:val="正文文本缩进 Char"/>
    <w:basedOn w:val="8"/>
    <w:link w:val="2"/>
    <w:autoRedefine/>
    <w:semiHidden/>
    <w:qFormat/>
    <w:uiPriority w:val="99"/>
    <w:rPr>
      <w:kern w:val="2"/>
      <w:sz w:val="21"/>
      <w:szCs w:val="24"/>
    </w:rPr>
  </w:style>
  <w:style w:type="character" w:customStyle="1" w:styleId="14">
    <w:name w:val="正文首行缩进 2 Char"/>
    <w:basedOn w:val="13"/>
    <w:link w:val="6"/>
    <w:autoRedefine/>
    <w:qFormat/>
    <w:uiPriority w:val="0"/>
    <w:rPr>
      <w:rFonts w:eastAsia="仿宋_GB231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2852</Words>
  <Characters>2993</Characters>
  <Lines>21</Lines>
  <Paragraphs>6</Paragraphs>
  <TotalTime>99</TotalTime>
  <ScaleCrop>false</ScaleCrop>
  <LinksUpToDate>false</LinksUpToDate>
  <CharactersWithSpaces>3011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2022-05-24T08:59:00Z</dcterms:created>
  <dc:creator>xb21cn</dc:creator>
  <cp:lastModifiedBy>艾朵朵</cp:lastModifiedBy>
  <cp:lastPrinted>2024-04-23T01:31:50Z</cp:lastPrinted>
  <dcterms:modified xsi:type="dcterms:W3CDTF">2024-04-23T01:33:05Z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A5E184C4FD9A4DDFA14E59FEC1D6376A_12</vt:lpwstr>
  </property>
</Properties>
</file>