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left="0"/>
        <w:jc w:val="left"/>
        <w:rPr>
          <w:b/>
          <w:sz w:val="24"/>
        </w:rPr>
      </w:pPr>
      <w:r>
        <w:rPr>
          <w:rFonts w:hint="eastAsia" w:ascii="仿宋_GB2312" w:hAnsi="仿宋_GB2312" w:eastAsia="仿宋_GB2312" w:cs="仿宋_GB2312"/>
          <w:b/>
          <w:sz w:val="24"/>
        </w:rPr>
        <w:t>附件1-1</w:t>
      </w:r>
    </w:p>
    <w:p>
      <w:pPr>
        <w:spacing w:line="500" w:lineRule="exact"/>
        <w:jc w:val="center"/>
        <w:rPr>
          <w:rFonts w:hint="eastAsia" w:ascii="宋体" w:hAnsi="宋体"/>
          <w:b/>
          <w:w w:val="85"/>
          <w:sz w:val="36"/>
          <w:szCs w:val="36"/>
        </w:rPr>
      </w:pPr>
      <w:bookmarkStart w:id="0" w:name="_GoBack"/>
      <w:r>
        <w:rPr>
          <w:rFonts w:hint="eastAsia" w:ascii="宋体" w:hAnsi="宋体"/>
          <w:b/>
          <w:w w:val="85"/>
          <w:sz w:val="36"/>
          <w:szCs w:val="36"/>
          <w:lang w:eastAsia="zh-CN"/>
        </w:rPr>
        <w:t>2023</w:t>
      </w:r>
      <w:r>
        <w:rPr>
          <w:rFonts w:ascii="宋体" w:hAnsi="宋体"/>
          <w:b/>
          <w:w w:val="85"/>
          <w:sz w:val="36"/>
          <w:szCs w:val="36"/>
        </w:rPr>
        <w:t>年度新晃县</w:t>
      </w:r>
      <w:r>
        <w:rPr>
          <w:rFonts w:hint="eastAsia" w:ascii="宋体" w:hAnsi="宋体"/>
          <w:b/>
          <w:w w:val="85"/>
          <w:sz w:val="36"/>
          <w:szCs w:val="36"/>
          <w:lang w:eastAsia="zh-CN"/>
        </w:rPr>
        <w:t>民政局</w:t>
      </w:r>
      <w:r>
        <w:rPr>
          <w:rFonts w:ascii="宋体" w:hAnsi="宋体"/>
          <w:b/>
          <w:w w:val="85"/>
          <w:sz w:val="36"/>
          <w:szCs w:val="36"/>
        </w:rPr>
        <w:t>整体支出绩效</w:t>
      </w:r>
      <w:r>
        <w:rPr>
          <w:rFonts w:hint="eastAsia" w:ascii="宋体" w:hAnsi="宋体"/>
          <w:b/>
          <w:w w:val="85"/>
          <w:sz w:val="36"/>
          <w:szCs w:val="36"/>
        </w:rPr>
        <w:t>自评表</w:t>
      </w:r>
    </w:p>
    <w:bookmarkEnd w:id="0"/>
    <w:tbl>
      <w:tblPr>
        <w:tblStyle w:val="3"/>
        <w:tblW w:w="14417" w:type="dxa"/>
        <w:jc w:val="center"/>
        <w:tblCellSpacing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079"/>
        <w:gridCol w:w="1179"/>
        <w:gridCol w:w="1226"/>
        <w:gridCol w:w="701"/>
        <w:gridCol w:w="4750"/>
        <w:gridCol w:w="3123"/>
        <w:gridCol w:w="1614"/>
        <w:gridCol w:w="74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88" w:hRule="atLeast"/>
          <w:tblHeader/>
          <w:tblCellSpacing w:w="0" w:type="dxa"/>
          <w:jc w:val="center"/>
        </w:trPr>
        <w:tc>
          <w:tcPr>
            <w:tcW w:w="1079"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一级指标</w:t>
            </w:r>
          </w:p>
        </w:tc>
        <w:tc>
          <w:tcPr>
            <w:tcW w:w="1179"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二级指标</w:t>
            </w:r>
          </w:p>
        </w:tc>
        <w:tc>
          <w:tcPr>
            <w:tcW w:w="1226"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三级指标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分值</w:t>
            </w:r>
          </w:p>
        </w:tc>
        <w:tc>
          <w:tcPr>
            <w:tcW w:w="4750"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指标内容</w:t>
            </w:r>
          </w:p>
        </w:tc>
        <w:tc>
          <w:tcPr>
            <w:tcW w:w="3123"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指标评价标</w:t>
            </w:r>
            <w:r>
              <w:rPr>
                <w:rFonts w:hint="eastAsia" w:eastAsia="楷体_GB2312"/>
              </w:rPr>
              <w:t>准</w:t>
            </w:r>
            <w:r>
              <w:rPr>
                <w:rFonts w:eastAsia="楷体_GB2312"/>
              </w:rPr>
              <w:t>及对应分值</w:t>
            </w:r>
          </w:p>
        </w:tc>
        <w:tc>
          <w:tcPr>
            <w:tcW w:w="1614"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指标实际完成情况及依据</w:t>
            </w:r>
          </w:p>
        </w:tc>
        <w:tc>
          <w:tcPr>
            <w:tcW w:w="745"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得分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tblCellSpacing w:w="0" w:type="dxa"/>
          <w:jc w:val="center"/>
        </w:trPr>
        <w:tc>
          <w:tcPr>
            <w:tcW w:w="10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投入</w:t>
            </w:r>
          </w:p>
          <w:p>
            <w:pPr>
              <w:spacing w:before="100" w:beforeAutospacing="1" w:after="100" w:afterAutospacing="1"/>
              <w:jc w:val="center"/>
              <w:rPr>
                <w:rFonts w:eastAsia="楷体_GB2312"/>
                <w:sz w:val="18"/>
                <w:szCs w:val="18"/>
              </w:rPr>
            </w:pPr>
            <w:r>
              <w:rPr>
                <w:rFonts w:eastAsia="楷体_GB2312"/>
                <w:sz w:val="18"/>
                <w:szCs w:val="18"/>
              </w:rPr>
              <w:t>(共</w:t>
            </w:r>
            <w:r>
              <w:rPr>
                <w:rFonts w:hint="eastAsia" w:eastAsia="楷体_GB2312"/>
                <w:sz w:val="18"/>
                <w:szCs w:val="18"/>
              </w:rPr>
              <w:t>14</w:t>
            </w:r>
            <w:r>
              <w:rPr>
                <w:rFonts w:eastAsia="楷体_GB2312"/>
                <w:sz w:val="18"/>
                <w:szCs w:val="18"/>
              </w:rPr>
              <w:t>分)</w:t>
            </w: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预算编制(共</w:t>
            </w:r>
            <w:r>
              <w:rPr>
                <w:rFonts w:hint="eastAsia" w:eastAsia="楷体_GB2312"/>
                <w:sz w:val="18"/>
                <w:szCs w:val="18"/>
              </w:rPr>
              <w:t>5</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整体绩效</w:t>
            </w:r>
          </w:p>
          <w:p>
            <w:pPr>
              <w:spacing w:line="300" w:lineRule="exact"/>
              <w:jc w:val="center"/>
              <w:rPr>
                <w:rFonts w:eastAsia="楷体_GB2312"/>
                <w:sz w:val="18"/>
                <w:szCs w:val="18"/>
              </w:rPr>
            </w:pPr>
            <w:r>
              <w:rPr>
                <w:rFonts w:eastAsia="楷体_GB2312"/>
                <w:sz w:val="18"/>
                <w:szCs w:val="18"/>
              </w:rPr>
              <w:t>目标设定</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r>
              <w:rPr>
                <w:rFonts w:eastAsia="楷体_GB2312"/>
                <w:sz w:val="18"/>
                <w:szCs w:val="18"/>
              </w:rPr>
              <w:t>5</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部门（含所属二级预算单位，下同）或单位是否制定了年度预算整体绩效目标；整体绩效目标制定依据是否充分，是否与部门履职、年度工作任务相符；整体绩效目标是否清晰、细化、可衡量。</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设有整体绩效目标</w:t>
            </w:r>
            <w:r>
              <w:rPr>
                <w:rFonts w:hint="eastAsia" w:eastAsia="楷体_GB2312"/>
                <w:sz w:val="18"/>
                <w:szCs w:val="18"/>
              </w:rPr>
              <w:t>1</w:t>
            </w:r>
            <w:r>
              <w:rPr>
                <w:rFonts w:eastAsia="楷体_GB2312"/>
                <w:sz w:val="18"/>
                <w:szCs w:val="18"/>
              </w:rPr>
              <w:t>分；目标设定依据充分符合客观实际</w:t>
            </w:r>
            <w:r>
              <w:rPr>
                <w:rFonts w:hint="eastAsia" w:eastAsia="楷体_GB2312"/>
                <w:sz w:val="18"/>
                <w:szCs w:val="18"/>
              </w:rPr>
              <w:t>0.5</w:t>
            </w:r>
            <w:r>
              <w:rPr>
                <w:rFonts w:eastAsia="楷体_GB2312"/>
                <w:sz w:val="18"/>
                <w:szCs w:val="18"/>
              </w:rPr>
              <w:t>分；目标清晰、细化</w:t>
            </w:r>
            <w:r>
              <w:rPr>
                <w:rFonts w:hint="eastAsia" w:eastAsia="楷体_GB2312"/>
                <w:sz w:val="18"/>
                <w:szCs w:val="18"/>
              </w:rPr>
              <w:t>0.5</w:t>
            </w:r>
            <w:r>
              <w:rPr>
                <w:rFonts w:eastAsia="楷体_GB2312"/>
                <w:sz w:val="18"/>
                <w:szCs w:val="18"/>
              </w:rPr>
              <w:t>分；目标可衡量</w:t>
            </w:r>
            <w:r>
              <w:rPr>
                <w:rFonts w:hint="eastAsia" w:eastAsia="楷体_GB2312"/>
                <w:sz w:val="18"/>
                <w:szCs w:val="18"/>
              </w:rPr>
              <w:t>0.5</w:t>
            </w:r>
            <w:r>
              <w:rPr>
                <w:rFonts w:eastAsia="楷体_GB2312"/>
                <w:sz w:val="18"/>
                <w:szCs w:val="18"/>
              </w:rPr>
              <w:t>分。</w:t>
            </w:r>
          </w:p>
        </w:tc>
        <w:tc>
          <w:tcPr>
            <w:tcW w:w="1614" w:type="dxa"/>
            <w:noWrap w:val="0"/>
            <w:tcMar>
              <w:top w:w="0" w:type="dxa"/>
              <w:left w:w="105" w:type="dxa"/>
              <w:bottom w:w="0" w:type="dxa"/>
              <w:right w:w="105" w:type="dxa"/>
            </w:tcMar>
            <w:vAlign w:val="center"/>
          </w:tcPr>
          <w:p>
            <w:pPr>
              <w:jc w:val="center"/>
              <w:rPr>
                <w:rFonts w:hint="eastAsia" w:eastAsia="楷体_GB2312"/>
                <w:sz w:val="18"/>
                <w:szCs w:val="18"/>
                <w:lang w:eastAsia="zh-CN"/>
              </w:rPr>
            </w:pPr>
            <w:r>
              <w:rPr>
                <w:rFonts w:hint="eastAsia" w:eastAsia="楷体_GB2312"/>
                <w:sz w:val="18"/>
                <w:szCs w:val="18"/>
                <w:lang w:eastAsia="zh-CN"/>
              </w:rPr>
              <w:t>整体绩效目标设立清晰、实际</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2.5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31"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项目绩效</w:t>
            </w:r>
          </w:p>
          <w:p>
            <w:pPr>
              <w:spacing w:line="300" w:lineRule="exact"/>
              <w:jc w:val="center"/>
              <w:rPr>
                <w:rFonts w:eastAsia="楷体_GB2312"/>
                <w:sz w:val="18"/>
                <w:szCs w:val="18"/>
              </w:rPr>
            </w:pPr>
            <w:r>
              <w:rPr>
                <w:rFonts w:eastAsia="楷体_GB2312"/>
                <w:sz w:val="18"/>
                <w:szCs w:val="18"/>
              </w:rPr>
              <w:t>目标设定</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r>
              <w:rPr>
                <w:rFonts w:eastAsia="楷体_GB2312"/>
                <w:sz w:val="18"/>
                <w:szCs w:val="18"/>
              </w:rPr>
              <w:t>5</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是否科学、合理设立了项目绩效目标；目标明确；目标细化；目标量化。</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项目均设有绩效目标</w:t>
            </w:r>
            <w:r>
              <w:rPr>
                <w:rFonts w:hint="eastAsia" w:eastAsia="楷体_GB2312"/>
                <w:sz w:val="18"/>
                <w:szCs w:val="18"/>
              </w:rPr>
              <w:t>0.5</w:t>
            </w:r>
            <w:r>
              <w:rPr>
                <w:rFonts w:eastAsia="楷体_GB2312"/>
                <w:sz w:val="18"/>
                <w:szCs w:val="18"/>
              </w:rPr>
              <w:t>分；目标科学合理</w:t>
            </w:r>
            <w:r>
              <w:rPr>
                <w:rFonts w:hint="eastAsia" w:eastAsia="楷体_GB2312"/>
                <w:sz w:val="18"/>
                <w:szCs w:val="18"/>
              </w:rPr>
              <w:t>0.5</w:t>
            </w:r>
            <w:r>
              <w:rPr>
                <w:rFonts w:eastAsia="楷体_GB2312"/>
                <w:sz w:val="18"/>
                <w:szCs w:val="18"/>
              </w:rPr>
              <w:t>分；目标明确</w:t>
            </w:r>
            <w:r>
              <w:rPr>
                <w:rFonts w:hint="eastAsia" w:eastAsia="楷体_GB2312"/>
                <w:sz w:val="18"/>
                <w:szCs w:val="18"/>
              </w:rPr>
              <w:t>0.5</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目标细化</w:t>
            </w:r>
            <w:r>
              <w:rPr>
                <w:rFonts w:hint="eastAsia" w:eastAsia="楷体_GB2312"/>
                <w:sz w:val="18"/>
                <w:szCs w:val="18"/>
              </w:rPr>
              <w:t>0.5</w:t>
            </w:r>
            <w:r>
              <w:rPr>
                <w:rFonts w:eastAsia="楷体_GB2312"/>
                <w:sz w:val="18"/>
                <w:szCs w:val="18"/>
              </w:rPr>
              <w:t>分；目标量化</w:t>
            </w:r>
            <w:r>
              <w:rPr>
                <w:rFonts w:hint="eastAsia" w:eastAsia="楷体_GB2312"/>
                <w:sz w:val="18"/>
                <w:szCs w:val="18"/>
              </w:rPr>
              <w:t>0.5</w:t>
            </w:r>
            <w:r>
              <w:rPr>
                <w:rFonts w:eastAsia="楷体_GB2312"/>
                <w:sz w:val="18"/>
                <w:szCs w:val="18"/>
              </w:rPr>
              <w:t>分。</w:t>
            </w:r>
          </w:p>
        </w:tc>
        <w:tc>
          <w:tcPr>
            <w:tcW w:w="1614" w:type="dxa"/>
            <w:noWrap w:val="0"/>
            <w:tcMar>
              <w:top w:w="0" w:type="dxa"/>
              <w:left w:w="105" w:type="dxa"/>
              <w:bottom w:w="0" w:type="dxa"/>
              <w:right w:w="105" w:type="dxa"/>
            </w:tcMar>
            <w:vAlign w:val="center"/>
          </w:tcPr>
          <w:p>
            <w:pPr>
              <w:jc w:val="center"/>
              <w:rPr>
                <w:rFonts w:hint="eastAsia" w:eastAsia="楷体_GB2312"/>
                <w:sz w:val="18"/>
                <w:szCs w:val="18"/>
                <w:lang w:eastAsia="zh-CN"/>
              </w:rPr>
            </w:pPr>
            <w:r>
              <w:rPr>
                <w:rFonts w:hint="eastAsia" w:eastAsia="楷体_GB2312"/>
                <w:sz w:val="18"/>
                <w:szCs w:val="18"/>
                <w:lang w:eastAsia="zh-CN"/>
              </w:rPr>
              <w:t>项目绩效目标设立科学、合理</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2.5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527"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预算配置(共</w:t>
            </w:r>
            <w:r>
              <w:rPr>
                <w:rFonts w:hint="eastAsia" w:eastAsia="楷体_GB2312"/>
                <w:sz w:val="18"/>
                <w:szCs w:val="18"/>
              </w:rPr>
              <w:t>9</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在职人员</w:t>
            </w:r>
          </w:p>
          <w:p>
            <w:pPr>
              <w:spacing w:line="300" w:lineRule="exact"/>
              <w:jc w:val="center"/>
              <w:rPr>
                <w:rFonts w:eastAsia="楷体_GB2312"/>
                <w:sz w:val="18"/>
                <w:szCs w:val="18"/>
              </w:rPr>
            </w:pPr>
            <w:r>
              <w:rPr>
                <w:rFonts w:eastAsia="楷体_GB2312"/>
                <w:sz w:val="18"/>
                <w:szCs w:val="18"/>
              </w:rPr>
              <w:t>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在职人员控制率=[在职人员数/编制数]×100%</w:t>
            </w:r>
          </w:p>
          <w:p>
            <w:pPr>
              <w:spacing w:line="300" w:lineRule="exact"/>
              <w:jc w:val="left"/>
              <w:rPr>
                <w:rFonts w:eastAsia="楷体_GB2312"/>
                <w:sz w:val="18"/>
                <w:szCs w:val="18"/>
              </w:rPr>
            </w:pPr>
            <w:r>
              <w:rPr>
                <w:rFonts w:eastAsia="楷体_GB2312"/>
                <w:sz w:val="18"/>
                <w:szCs w:val="18"/>
              </w:rPr>
              <w:t>在职人员数：部门实际在职人数，以财政确定的部门决算编制口径为准，结合工资发放表上的年平均人数。</w:t>
            </w:r>
          </w:p>
          <w:p>
            <w:pPr>
              <w:spacing w:line="300" w:lineRule="exact"/>
              <w:jc w:val="left"/>
              <w:rPr>
                <w:rFonts w:eastAsia="楷体_GB2312"/>
                <w:sz w:val="18"/>
                <w:szCs w:val="18"/>
              </w:rPr>
            </w:pPr>
            <w:r>
              <w:rPr>
                <w:rFonts w:eastAsia="楷体_GB2312"/>
                <w:sz w:val="18"/>
                <w:szCs w:val="18"/>
              </w:rPr>
              <w:t>编制数：机构编制部门核定批复的部门的人员编制数(含临时人员)。</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结果≤100%，得3分；</w:t>
            </w:r>
          </w:p>
          <w:p>
            <w:pPr>
              <w:spacing w:line="300" w:lineRule="exact"/>
              <w:jc w:val="left"/>
              <w:rPr>
                <w:rFonts w:eastAsia="楷体_GB2312"/>
                <w:sz w:val="18"/>
                <w:szCs w:val="18"/>
              </w:rPr>
            </w:pPr>
            <w:r>
              <w:rPr>
                <w:rFonts w:eastAsia="楷体_GB2312"/>
                <w:sz w:val="18"/>
                <w:szCs w:val="18"/>
              </w:rPr>
              <w:t>结果＞100%，得0分。</w:t>
            </w:r>
          </w:p>
        </w:tc>
        <w:tc>
          <w:tcPr>
            <w:tcW w:w="1614" w:type="dxa"/>
            <w:noWrap w:val="0"/>
            <w:tcMar>
              <w:top w:w="0" w:type="dxa"/>
              <w:left w:w="105" w:type="dxa"/>
              <w:bottom w:w="0" w:type="dxa"/>
              <w:right w:w="105" w:type="dxa"/>
            </w:tcMar>
            <w:vAlign w:val="center"/>
          </w:tcPr>
          <w:p>
            <w:pPr>
              <w:jc w:val="center"/>
              <w:rPr>
                <w:rFonts w:hint="default" w:eastAsia="楷体_GB2312"/>
                <w:sz w:val="18"/>
                <w:szCs w:val="18"/>
                <w:lang w:val="en-US" w:eastAsia="zh-CN"/>
              </w:rPr>
            </w:pPr>
            <w:r>
              <w:rPr>
                <w:rFonts w:hint="eastAsia" w:eastAsia="楷体_GB2312"/>
                <w:sz w:val="18"/>
                <w:szCs w:val="18"/>
                <w:lang w:val="en-US" w:eastAsia="zh-CN"/>
              </w:rPr>
              <w:t>(41</w:t>
            </w:r>
            <w:r>
              <w:rPr>
                <w:rFonts w:hint="default" w:ascii="Arial" w:hAnsi="Arial" w:eastAsia="楷体_GB2312" w:cs="Arial"/>
                <w:sz w:val="18"/>
                <w:szCs w:val="18"/>
                <w:lang w:val="en-US" w:eastAsia="zh-CN"/>
              </w:rPr>
              <w:t>÷</w:t>
            </w:r>
            <w:r>
              <w:rPr>
                <w:rFonts w:hint="eastAsia" w:eastAsia="楷体_GB2312"/>
                <w:sz w:val="18"/>
                <w:szCs w:val="18"/>
                <w:lang w:val="en-US" w:eastAsia="zh-CN"/>
              </w:rPr>
              <w:t>46)</w:t>
            </w:r>
            <w:r>
              <w:rPr>
                <w:rFonts w:hint="default" w:ascii="Arial" w:hAnsi="Arial" w:eastAsia="楷体_GB2312" w:cs="Arial"/>
                <w:sz w:val="18"/>
                <w:szCs w:val="18"/>
                <w:lang w:val="en-US" w:eastAsia="zh-CN"/>
              </w:rPr>
              <w:t>×</w:t>
            </w:r>
            <w:r>
              <w:rPr>
                <w:rFonts w:hint="eastAsia" w:eastAsia="楷体_GB2312"/>
                <w:sz w:val="18"/>
                <w:szCs w:val="18"/>
                <w:lang w:val="en-US" w:eastAsia="zh-CN"/>
              </w:rPr>
              <w:t>100%=89%</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01"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三公经费</w:t>
            </w:r>
          </w:p>
          <w:p>
            <w:pPr>
              <w:spacing w:line="300" w:lineRule="exact"/>
              <w:jc w:val="center"/>
              <w:rPr>
                <w:rFonts w:eastAsia="楷体_GB2312"/>
                <w:sz w:val="18"/>
                <w:szCs w:val="18"/>
              </w:rPr>
            </w:pPr>
            <w:r>
              <w:rPr>
                <w:rFonts w:eastAsia="楷体_GB2312"/>
                <w:sz w:val="18"/>
                <w:szCs w:val="18"/>
              </w:rPr>
              <w:t>变动率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“三公经费”变动率=[本年度“三公经费”预算总额/上年度“三公经费”预算总额] ×100%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结果≤100%，得3分；</w:t>
            </w:r>
          </w:p>
          <w:p>
            <w:pPr>
              <w:spacing w:line="300" w:lineRule="exact"/>
              <w:jc w:val="left"/>
              <w:rPr>
                <w:rFonts w:eastAsia="楷体_GB2312"/>
                <w:sz w:val="18"/>
                <w:szCs w:val="18"/>
              </w:rPr>
            </w:pPr>
            <w:r>
              <w:rPr>
                <w:rFonts w:eastAsia="楷体_GB2312"/>
                <w:sz w:val="18"/>
                <w:szCs w:val="18"/>
              </w:rPr>
              <w:t>结果＞100%，得0分。</w:t>
            </w:r>
          </w:p>
        </w:tc>
        <w:tc>
          <w:tcPr>
            <w:tcW w:w="1614" w:type="dxa"/>
            <w:noWrap w:val="0"/>
            <w:tcMar>
              <w:top w:w="0" w:type="dxa"/>
              <w:left w:w="105" w:type="dxa"/>
              <w:bottom w:w="0" w:type="dxa"/>
              <w:right w:w="105" w:type="dxa"/>
            </w:tcMar>
            <w:vAlign w:val="center"/>
          </w:tcPr>
          <w:p>
            <w:pPr>
              <w:jc w:val="center"/>
              <w:rPr>
                <w:rFonts w:hint="default" w:eastAsia="楷体_GB2312"/>
                <w:sz w:val="18"/>
                <w:szCs w:val="18"/>
                <w:lang w:val="en-US" w:eastAsia="zh-CN"/>
              </w:rPr>
            </w:pPr>
            <w:r>
              <w:rPr>
                <w:rFonts w:hint="eastAsia" w:eastAsia="楷体_GB2312"/>
                <w:sz w:val="18"/>
                <w:szCs w:val="18"/>
                <w:lang w:val="en-US" w:eastAsia="zh-CN"/>
              </w:rPr>
              <w:t>(7</w:t>
            </w:r>
            <w:r>
              <w:rPr>
                <w:rFonts w:hint="default" w:ascii="Arial" w:hAnsi="Arial" w:eastAsia="楷体_GB2312" w:cs="Arial"/>
                <w:sz w:val="18"/>
                <w:szCs w:val="18"/>
                <w:lang w:val="en-US" w:eastAsia="zh-CN"/>
              </w:rPr>
              <w:t>÷</w:t>
            </w:r>
            <w:r>
              <w:rPr>
                <w:rFonts w:hint="eastAsia" w:eastAsia="楷体_GB2312"/>
                <w:sz w:val="18"/>
                <w:szCs w:val="18"/>
                <w:lang w:val="en-US" w:eastAsia="zh-CN"/>
              </w:rPr>
              <w:t>19.5)</w:t>
            </w:r>
            <w:r>
              <w:rPr>
                <w:rFonts w:hint="default" w:ascii="Arial" w:hAnsi="Arial" w:eastAsia="楷体_GB2312" w:cs="Arial"/>
                <w:sz w:val="18"/>
                <w:szCs w:val="18"/>
                <w:lang w:val="en-US" w:eastAsia="zh-CN"/>
              </w:rPr>
              <w:t>×</w:t>
            </w:r>
            <w:r>
              <w:rPr>
                <w:rFonts w:hint="eastAsia" w:eastAsia="楷体_GB2312"/>
                <w:sz w:val="18"/>
                <w:szCs w:val="18"/>
                <w:lang w:val="en-US" w:eastAsia="zh-CN"/>
              </w:rPr>
              <w:t>100%=36%</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728"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重点项目预算保障率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重点项目预算保障率=（重点项目预算/项目总预算）×100%。</w:t>
            </w:r>
          </w:p>
          <w:p>
            <w:pPr>
              <w:spacing w:line="300" w:lineRule="exact"/>
              <w:jc w:val="left"/>
              <w:rPr>
                <w:rFonts w:eastAsia="楷体_GB2312"/>
                <w:sz w:val="18"/>
                <w:szCs w:val="18"/>
              </w:rPr>
            </w:pPr>
            <w:r>
              <w:rPr>
                <w:rFonts w:eastAsia="楷体_GB2312"/>
                <w:sz w:val="18"/>
                <w:szCs w:val="18"/>
              </w:rPr>
              <w:t>重点项目预算：部门年度预算安排的，与本部门履职和发展密切相关、具有明显社会和经济影响、党委政府关心或社会比较关注的，列入政府重点项目的预算总额。</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结果≥80%，得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80%＞结果≥60%，得2分；</w:t>
            </w:r>
          </w:p>
          <w:p>
            <w:pPr>
              <w:spacing w:line="300" w:lineRule="exact"/>
              <w:jc w:val="left"/>
              <w:rPr>
                <w:rFonts w:eastAsia="楷体_GB2312"/>
                <w:sz w:val="18"/>
                <w:szCs w:val="18"/>
              </w:rPr>
            </w:pPr>
            <w:r>
              <w:rPr>
                <w:rFonts w:eastAsia="楷体_GB2312"/>
                <w:sz w:val="18"/>
                <w:szCs w:val="18"/>
              </w:rPr>
              <w:t>结果＜60%，得0分。</w:t>
            </w:r>
          </w:p>
        </w:tc>
        <w:tc>
          <w:tcPr>
            <w:tcW w:w="1614" w:type="dxa"/>
            <w:noWrap w:val="0"/>
            <w:tcMar>
              <w:top w:w="0" w:type="dxa"/>
              <w:left w:w="105" w:type="dxa"/>
              <w:bottom w:w="0" w:type="dxa"/>
              <w:right w:w="105" w:type="dxa"/>
            </w:tcMar>
            <w:vAlign w:val="center"/>
          </w:tcPr>
          <w:p>
            <w:pPr>
              <w:jc w:val="center"/>
              <w:rPr>
                <w:rFonts w:hint="default" w:eastAsia="楷体_GB2312"/>
                <w:sz w:val="18"/>
                <w:szCs w:val="18"/>
                <w:lang w:val="en-US" w:eastAsia="zh-CN"/>
              </w:rPr>
            </w:pPr>
            <w:r>
              <w:rPr>
                <w:rFonts w:hint="eastAsia" w:eastAsia="楷体_GB2312"/>
                <w:sz w:val="18"/>
                <w:szCs w:val="18"/>
                <w:lang w:val="en-US" w:eastAsia="zh-CN"/>
              </w:rPr>
              <w:t>(8638.58</w:t>
            </w:r>
            <w:r>
              <w:rPr>
                <w:rFonts w:hint="default" w:ascii="Arial" w:hAnsi="Arial" w:eastAsia="楷体_GB2312" w:cs="Arial"/>
                <w:sz w:val="18"/>
                <w:szCs w:val="18"/>
                <w:lang w:val="en-US" w:eastAsia="zh-CN"/>
              </w:rPr>
              <w:t>÷</w:t>
            </w:r>
            <w:r>
              <w:rPr>
                <w:rFonts w:hint="eastAsia" w:eastAsia="楷体_GB2312"/>
                <w:sz w:val="18"/>
                <w:szCs w:val="18"/>
                <w:lang w:val="en-US" w:eastAsia="zh-CN"/>
              </w:rPr>
              <w:t>9338.83)</w:t>
            </w:r>
            <w:r>
              <w:rPr>
                <w:rFonts w:hint="default" w:ascii="Arial" w:hAnsi="Arial" w:eastAsia="楷体_GB2312" w:cs="Arial"/>
                <w:sz w:val="18"/>
                <w:szCs w:val="18"/>
                <w:lang w:val="en-US" w:eastAsia="zh-CN"/>
              </w:rPr>
              <w:t>×</w:t>
            </w:r>
            <w:r>
              <w:rPr>
                <w:rFonts w:hint="eastAsia" w:eastAsia="楷体_GB2312"/>
                <w:sz w:val="18"/>
                <w:szCs w:val="18"/>
                <w:lang w:val="en-US" w:eastAsia="zh-CN"/>
              </w:rPr>
              <w:t>100%=93%</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79" w:hRule="atLeast"/>
          <w:tblCellSpacing w:w="0" w:type="dxa"/>
          <w:jc w:val="center"/>
        </w:trPr>
        <w:tc>
          <w:tcPr>
            <w:tcW w:w="10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过程</w:t>
            </w:r>
          </w:p>
          <w:p>
            <w:pPr>
              <w:spacing w:before="100" w:beforeAutospacing="1" w:after="100" w:afterAutospacing="1"/>
              <w:jc w:val="center"/>
              <w:rPr>
                <w:rFonts w:eastAsia="楷体_GB2312"/>
                <w:sz w:val="18"/>
                <w:szCs w:val="18"/>
              </w:rPr>
            </w:pPr>
            <w:r>
              <w:rPr>
                <w:rFonts w:eastAsia="楷体_GB2312"/>
                <w:sz w:val="18"/>
                <w:szCs w:val="18"/>
              </w:rPr>
              <w:t>(共</w:t>
            </w:r>
            <w:r>
              <w:rPr>
                <w:rFonts w:hint="eastAsia" w:eastAsia="楷体_GB2312"/>
                <w:sz w:val="18"/>
                <w:szCs w:val="18"/>
              </w:rPr>
              <w:t>26</w:t>
            </w:r>
            <w:r>
              <w:rPr>
                <w:rFonts w:eastAsia="楷体_GB2312"/>
                <w:sz w:val="18"/>
                <w:szCs w:val="18"/>
              </w:rPr>
              <w:t>分)</w:t>
            </w: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预算执行（1</w:t>
            </w:r>
            <w:r>
              <w:rPr>
                <w:rFonts w:hint="eastAsia" w:eastAsia="楷体_GB2312"/>
                <w:sz w:val="18"/>
                <w:szCs w:val="18"/>
              </w:rPr>
              <w:t>2</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项目预算执行率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项目预算执行率=[项目预算执行数/项目预算]×100%。</w:t>
            </w:r>
          </w:p>
          <w:p>
            <w:pPr>
              <w:spacing w:line="300" w:lineRule="exact"/>
              <w:jc w:val="left"/>
              <w:rPr>
                <w:rFonts w:eastAsia="楷体_GB2312"/>
                <w:sz w:val="18"/>
                <w:szCs w:val="18"/>
              </w:rPr>
            </w:pPr>
            <w:r>
              <w:rPr>
                <w:rFonts w:eastAsia="楷体_GB2312"/>
                <w:sz w:val="18"/>
                <w:szCs w:val="18"/>
              </w:rPr>
              <w:t>项目预算执行数：部门本年度实际执行的项目预算。</w:t>
            </w:r>
          </w:p>
          <w:p>
            <w:pPr>
              <w:spacing w:line="300" w:lineRule="exact"/>
              <w:jc w:val="left"/>
              <w:rPr>
                <w:rFonts w:eastAsia="楷体_GB2312"/>
                <w:sz w:val="18"/>
                <w:szCs w:val="18"/>
              </w:rPr>
            </w:pPr>
            <w:r>
              <w:rPr>
                <w:rFonts w:eastAsia="楷体_GB2312"/>
                <w:sz w:val="18"/>
                <w:szCs w:val="18"/>
              </w:rPr>
              <w:t>项目预算数：财政部门批复的本年度部门项目预算。</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95%≤结果≤100%，得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90%≤结果＜95%，得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80%≤结果＜90%，得1分；</w:t>
            </w:r>
          </w:p>
          <w:p>
            <w:pPr>
              <w:spacing w:line="300" w:lineRule="exact"/>
              <w:jc w:val="left"/>
              <w:rPr>
                <w:rFonts w:eastAsia="楷体_GB2312"/>
                <w:spacing w:val="-20"/>
                <w:sz w:val="18"/>
                <w:szCs w:val="18"/>
              </w:rPr>
            </w:pPr>
            <w:r>
              <w:rPr>
                <w:rFonts w:eastAsia="楷体_GB2312"/>
                <w:sz w:val="18"/>
                <w:szCs w:val="18"/>
              </w:rPr>
              <w:t>结果＜80%，得0分。</w:t>
            </w:r>
          </w:p>
        </w:tc>
        <w:tc>
          <w:tcPr>
            <w:tcW w:w="1614" w:type="dxa"/>
            <w:noWrap w:val="0"/>
            <w:tcMar>
              <w:top w:w="0" w:type="dxa"/>
              <w:left w:w="105" w:type="dxa"/>
              <w:bottom w:w="0" w:type="dxa"/>
              <w:right w:w="105" w:type="dxa"/>
            </w:tcMar>
            <w:vAlign w:val="center"/>
          </w:tcPr>
          <w:p>
            <w:pPr>
              <w:jc w:val="center"/>
              <w:rPr>
                <w:rFonts w:hint="default" w:eastAsia="楷体_GB2312"/>
                <w:sz w:val="18"/>
                <w:szCs w:val="18"/>
                <w:lang w:val="en-US" w:eastAsia="zh-CN"/>
              </w:rPr>
            </w:pPr>
            <w:r>
              <w:rPr>
                <w:rFonts w:hint="eastAsia" w:eastAsia="楷体_GB2312"/>
                <w:sz w:val="18"/>
                <w:szCs w:val="18"/>
                <w:lang w:val="en-US" w:eastAsia="zh-CN"/>
              </w:rPr>
              <w:t>(8617.25</w:t>
            </w:r>
            <w:r>
              <w:rPr>
                <w:rFonts w:hint="default" w:ascii="Arial" w:hAnsi="Arial" w:eastAsia="楷体_GB2312" w:cs="Arial"/>
                <w:sz w:val="18"/>
                <w:szCs w:val="18"/>
                <w:lang w:val="en-US" w:eastAsia="zh-CN"/>
              </w:rPr>
              <w:t>÷</w:t>
            </w:r>
            <w:r>
              <w:rPr>
                <w:rFonts w:hint="eastAsia" w:eastAsia="楷体_GB2312"/>
                <w:sz w:val="18"/>
                <w:szCs w:val="18"/>
                <w:lang w:val="en-US" w:eastAsia="zh-CN"/>
              </w:rPr>
              <w:t>9338.83)</w:t>
            </w:r>
            <w:r>
              <w:rPr>
                <w:rFonts w:hint="default" w:ascii="Arial" w:hAnsi="Arial" w:eastAsia="楷体_GB2312" w:cs="Arial"/>
                <w:sz w:val="18"/>
                <w:szCs w:val="18"/>
                <w:lang w:val="en-US" w:eastAsia="zh-CN"/>
              </w:rPr>
              <w:t>×</w:t>
            </w:r>
            <w:r>
              <w:rPr>
                <w:rFonts w:hint="eastAsia" w:eastAsia="楷体_GB2312"/>
                <w:sz w:val="18"/>
                <w:szCs w:val="18"/>
                <w:lang w:val="en-US" w:eastAsia="zh-CN"/>
              </w:rPr>
              <w:t>100%=92%</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90"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预算</w:t>
            </w:r>
          </w:p>
          <w:p>
            <w:pPr>
              <w:spacing w:line="300" w:lineRule="exact"/>
              <w:jc w:val="center"/>
              <w:rPr>
                <w:rFonts w:eastAsia="楷体_GB2312"/>
                <w:sz w:val="18"/>
                <w:szCs w:val="18"/>
              </w:rPr>
            </w:pPr>
            <w:r>
              <w:rPr>
                <w:rFonts w:eastAsia="楷体_GB2312"/>
                <w:sz w:val="18"/>
                <w:szCs w:val="18"/>
              </w:rPr>
              <w:t>调整率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预算调整率=[预算调整数/预算数]×100%</w:t>
            </w:r>
          </w:p>
          <w:p>
            <w:pPr>
              <w:spacing w:line="300" w:lineRule="exact"/>
              <w:jc w:val="left"/>
              <w:rPr>
                <w:rFonts w:eastAsia="楷体_GB2312"/>
                <w:sz w:val="18"/>
                <w:szCs w:val="18"/>
              </w:rPr>
            </w:pPr>
            <w:r>
              <w:rPr>
                <w:rFonts w:eastAsia="楷体_GB2312"/>
                <w:sz w:val="18"/>
                <w:szCs w:val="18"/>
              </w:rPr>
              <w:t>预算调整数：部门在本年度内涉及预算的追加、追减或结构调整的资金总和（因落实国家政策、发生不可抗力、上级部门或党委政府临时交办而产生的调整除外）。</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结果≤5%，得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5%＜结果≤10%，得1分；</w:t>
            </w:r>
          </w:p>
          <w:p>
            <w:pPr>
              <w:spacing w:line="300" w:lineRule="exact"/>
              <w:jc w:val="left"/>
              <w:rPr>
                <w:rFonts w:eastAsia="楷体_GB2312"/>
                <w:sz w:val="18"/>
                <w:szCs w:val="18"/>
              </w:rPr>
            </w:pPr>
            <w:r>
              <w:rPr>
                <w:rFonts w:eastAsia="楷体_GB2312"/>
                <w:sz w:val="18"/>
                <w:szCs w:val="18"/>
              </w:rPr>
              <w:t>结果＞10%，得0分。</w:t>
            </w:r>
          </w:p>
        </w:tc>
        <w:tc>
          <w:tcPr>
            <w:tcW w:w="1614" w:type="dxa"/>
            <w:noWrap w:val="0"/>
            <w:tcMar>
              <w:top w:w="0" w:type="dxa"/>
              <w:left w:w="105" w:type="dxa"/>
              <w:bottom w:w="0" w:type="dxa"/>
              <w:right w:w="105" w:type="dxa"/>
            </w:tcMar>
            <w:vAlign w:val="center"/>
          </w:tcPr>
          <w:p>
            <w:pPr>
              <w:ind w:right="238" w:rightChars="119"/>
              <w:jc w:val="center"/>
              <w:rPr>
                <w:rFonts w:hint="default" w:eastAsia="楷体_GB2312"/>
                <w:sz w:val="18"/>
                <w:szCs w:val="18"/>
                <w:lang w:val="en-US" w:eastAsia="zh-CN"/>
              </w:rPr>
            </w:pPr>
            <w:r>
              <w:rPr>
                <w:rFonts w:hint="eastAsia" w:eastAsia="楷体_GB2312"/>
                <w:sz w:val="18"/>
                <w:szCs w:val="18"/>
                <w:lang w:val="en-US" w:eastAsia="zh-CN"/>
              </w:rPr>
              <w:t>(718.3</w:t>
            </w:r>
            <w:r>
              <w:rPr>
                <w:rFonts w:hint="default" w:ascii="Arial" w:hAnsi="Arial" w:eastAsia="楷体_GB2312" w:cs="Arial"/>
                <w:sz w:val="18"/>
                <w:szCs w:val="18"/>
                <w:lang w:val="en-US" w:eastAsia="zh-CN"/>
              </w:rPr>
              <w:t>÷</w:t>
            </w:r>
            <w:r>
              <w:rPr>
                <w:rFonts w:hint="eastAsia" w:eastAsia="楷体_GB2312"/>
                <w:sz w:val="18"/>
                <w:szCs w:val="18"/>
                <w:lang w:val="en-US" w:eastAsia="zh-CN"/>
              </w:rPr>
              <w:t>9338.83)</w:t>
            </w:r>
            <w:r>
              <w:rPr>
                <w:rFonts w:hint="default" w:ascii="Arial" w:hAnsi="Arial" w:eastAsia="楷体_GB2312" w:cs="Arial"/>
                <w:sz w:val="18"/>
                <w:szCs w:val="18"/>
                <w:lang w:val="en-US" w:eastAsia="zh-CN"/>
              </w:rPr>
              <w:t>×</w:t>
            </w:r>
            <w:r>
              <w:rPr>
                <w:rFonts w:hint="eastAsia" w:eastAsia="楷体_GB2312"/>
                <w:sz w:val="18"/>
                <w:szCs w:val="18"/>
                <w:lang w:val="en-US" w:eastAsia="zh-CN"/>
              </w:rPr>
              <w:t>100%=7.7%</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4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公用经费控制率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公用经费控制率=[公用经费实际支出总额/公用经费预算安排总额]×100%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结果＞100%，得0分。</w:t>
            </w:r>
          </w:p>
        </w:tc>
        <w:tc>
          <w:tcPr>
            <w:tcW w:w="1614" w:type="dxa"/>
            <w:noWrap w:val="0"/>
            <w:tcMar>
              <w:top w:w="0" w:type="dxa"/>
              <w:left w:w="105" w:type="dxa"/>
              <w:bottom w:w="0" w:type="dxa"/>
              <w:right w:w="105" w:type="dxa"/>
            </w:tcMar>
            <w:vAlign w:val="center"/>
          </w:tcPr>
          <w:p>
            <w:pPr>
              <w:jc w:val="center"/>
              <w:rPr>
                <w:rFonts w:hint="default" w:eastAsia="楷体_GB2312"/>
                <w:sz w:val="18"/>
                <w:szCs w:val="18"/>
                <w:lang w:val="en-US" w:eastAsia="zh-CN"/>
              </w:rPr>
            </w:pPr>
            <w:r>
              <w:rPr>
                <w:rFonts w:hint="eastAsia" w:eastAsia="楷体_GB2312"/>
                <w:sz w:val="18"/>
                <w:szCs w:val="18"/>
                <w:lang w:val="en-US" w:eastAsia="zh-CN"/>
              </w:rPr>
              <w:t>(44</w:t>
            </w:r>
            <w:r>
              <w:rPr>
                <w:rFonts w:hint="default" w:ascii="Arial" w:hAnsi="Arial" w:eastAsia="楷体_GB2312" w:cs="Arial"/>
                <w:sz w:val="18"/>
                <w:szCs w:val="18"/>
                <w:lang w:val="en-US" w:eastAsia="zh-CN"/>
              </w:rPr>
              <w:t>÷</w:t>
            </w:r>
            <w:r>
              <w:rPr>
                <w:rFonts w:hint="eastAsia" w:eastAsia="楷体_GB2312"/>
                <w:sz w:val="18"/>
                <w:szCs w:val="18"/>
                <w:lang w:val="en-US" w:eastAsia="zh-CN"/>
              </w:rPr>
              <w:t>44)</w:t>
            </w:r>
            <w:r>
              <w:rPr>
                <w:rFonts w:hint="default" w:ascii="Arial" w:hAnsi="Arial" w:eastAsia="楷体_GB2312" w:cs="Arial"/>
                <w:sz w:val="18"/>
                <w:szCs w:val="18"/>
                <w:lang w:val="en-US" w:eastAsia="zh-CN"/>
              </w:rPr>
              <w:t>×</w:t>
            </w:r>
            <w:r>
              <w:rPr>
                <w:rFonts w:hint="eastAsia" w:eastAsia="楷体_GB2312"/>
                <w:sz w:val="18"/>
                <w:szCs w:val="18"/>
                <w:lang w:val="en-US" w:eastAsia="zh-CN"/>
              </w:rPr>
              <w:t>100%=100%</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67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pacing w:val="-20"/>
                <w:sz w:val="18"/>
                <w:szCs w:val="18"/>
              </w:rPr>
            </w:pPr>
            <w:r>
              <w:rPr>
                <w:rFonts w:eastAsia="楷体_GB2312"/>
                <w:spacing w:val="-20"/>
                <w:sz w:val="18"/>
                <w:szCs w:val="18"/>
              </w:rPr>
              <w:t>“</w:t>
            </w:r>
            <w:r>
              <w:rPr>
                <w:rFonts w:eastAsia="楷体_GB2312"/>
                <w:sz w:val="18"/>
                <w:szCs w:val="18"/>
              </w:rPr>
              <w:t>三公经费”控制率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“三公经费”控制率=[“三公经费”实际支出总额/“三公经费”预算安排总额]×100%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结果＞100%，得0分。</w:t>
            </w:r>
          </w:p>
        </w:tc>
        <w:tc>
          <w:tcPr>
            <w:tcW w:w="1614" w:type="dxa"/>
            <w:noWrap w:val="0"/>
            <w:tcMar>
              <w:top w:w="0" w:type="dxa"/>
              <w:left w:w="105" w:type="dxa"/>
              <w:bottom w:w="0" w:type="dxa"/>
              <w:right w:w="105" w:type="dxa"/>
            </w:tcMar>
            <w:vAlign w:val="center"/>
          </w:tcPr>
          <w:p>
            <w:pPr>
              <w:jc w:val="center"/>
              <w:rPr>
                <w:rFonts w:hint="default" w:eastAsia="楷体_GB2312"/>
                <w:sz w:val="18"/>
                <w:szCs w:val="18"/>
                <w:lang w:val="en-US" w:eastAsia="zh-CN"/>
              </w:rPr>
            </w:pPr>
            <w:r>
              <w:rPr>
                <w:rFonts w:hint="eastAsia" w:eastAsia="楷体_GB2312"/>
                <w:sz w:val="18"/>
                <w:szCs w:val="18"/>
                <w:lang w:val="en-US" w:eastAsia="zh-CN"/>
              </w:rPr>
              <w:t>(6.19</w:t>
            </w:r>
            <w:r>
              <w:rPr>
                <w:rFonts w:hint="default" w:ascii="Arial" w:hAnsi="Arial" w:eastAsia="楷体_GB2312" w:cs="Arial"/>
                <w:sz w:val="18"/>
                <w:szCs w:val="18"/>
                <w:lang w:val="en-US" w:eastAsia="zh-CN"/>
              </w:rPr>
              <w:t>÷</w:t>
            </w:r>
            <w:r>
              <w:rPr>
                <w:rFonts w:hint="eastAsia" w:eastAsia="楷体_GB2312"/>
                <w:sz w:val="18"/>
                <w:szCs w:val="18"/>
                <w:lang w:val="en-US" w:eastAsia="zh-CN"/>
              </w:rPr>
              <w:t>7)</w:t>
            </w:r>
            <w:r>
              <w:rPr>
                <w:rFonts w:hint="default" w:ascii="Arial" w:hAnsi="Arial" w:eastAsia="楷体_GB2312" w:cs="Arial"/>
                <w:sz w:val="18"/>
                <w:szCs w:val="18"/>
                <w:lang w:val="en-US" w:eastAsia="zh-CN"/>
              </w:rPr>
              <w:t>×</w:t>
            </w:r>
            <w:r>
              <w:rPr>
                <w:rFonts w:hint="eastAsia" w:eastAsia="楷体_GB2312"/>
                <w:sz w:val="18"/>
                <w:szCs w:val="18"/>
                <w:lang w:val="en-US" w:eastAsia="zh-CN"/>
              </w:rPr>
              <w:t>100%=88%</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63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政府采购</w:t>
            </w:r>
          </w:p>
          <w:p>
            <w:pPr>
              <w:spacing w:line="300" w:lineRule="exact"/>
              <w:jc w:val="center"/>
              <w:rPr>
                <w:rFonts w:eastAsia="楷体_GB2312"/>
                <w:sz w:val="18"/>
                <w:szCs w:val="18"/>
              </w:rPr>
            </w:pPr>
            <w:r>
              <w:rPr>
                <w:rFonts w:eastAsia="楷体_GB2312"/>
                <w:sz w:val="18"/>
                <w:szCs w:val="18"/>
              </w:rPr>
              <w:t>完成率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政府采购完成率=（政府采购完成项目数/政府采购预算项目数）×100%；</w:t>
            </w:r>
          </w:p>
          <w:p>
            <w:pPr>
              <w:spacing w:line="300" w:lineRule="exact"/>
              <w:jc w:val="left"/>
              <w:rPr>
                <w:rFonts w:eastAsia="楷体_GB2312"/>
                <w:sz w:val="18"/>
                <w:szCs w:val="18"/>
              </w:rPr>
            </w:pPr>
            <w:r>
              <w:rPr>
                <w:rFonts w:eastAsia="楷体_GB2312"/>
                <w:sz w:val="18"/>
                <w:szCs w:val="18"/>
              </w:rPr>
              <w:t>政府采购预算项目：采购机关根据事业发展计划和行政任务编制的、并经过规定程序批准的年度政府采购计划项目。</w:t>
            </w:r>
          </w:p>
        </w:tc>
        <w:tc>
          <w:tcPr>
            <w:tcW w:w="3123" w:type="dxa"/>
            <w:noWrap w:val="0"/>
            <w:tcMar>
              <w:top w:w="0" w:type="dxa"/>
              <w:left w:w="105" w:type="dxa"/>
              <w:bottom w:w="0" w:type="dxa"/>
              <w:right w:w="105" w:type="dxa"/>
            </w:tcMar>
            <w:vAlign w:val="center"/>
          </w:tcPr>
          <w:p>
            <w:pPr>
              <w:spacing w:line="300" w:lineRule="exact"/>
              <w:jc w:val="left"/>
              <w:rPr>
                <w:rFonts w:hint="eastAsia" w:eastAsia="楷体_GB2312"/>
                <w:sz w:val="18"/>
                <w:szCs w:val="18"/>
              </w:rPr>
            </w:pPr>
            <w:r>
              <w:rPr>
                <w:rFonts w:eastAsia="楷体_GB2312"/>
                <w:sz w:val="18"/>
                <w:szCs w:val="18"/>
              </w:rPr>
              <w:t>完成率</w:t>
            </w:r>
            <w:r>
              <w:rPr>
                <w:rFonts w:hint="eastAsia" w:ascii="宋体" w:hAnsi="宋体" w:cs="宋体"/>
                <w:sz w:val="18"/>
                <w:szCs w:val="18"/>
              </w:rPr>
              <w:t>≧</w:t>
            </w:r>
            <w:r>
              <w:rPr>
                <w:rFonts w:hint="eastAsia" w:eastAsia="楷体_GB2312"/>
                <w:sz w:val="18"/>
                <w:szCs w:val="18"/>
              </w:rPr>
              <w:t>8</w:t>
            </w:r>
            <w:r>
              <w:rPr>
                <w:rFonts w:eastAsia="楷体_GB2312"/>
                <w:sz w:val="18"/>
                <w:szCs w:val="18"/>
              </w:rPr>
              <w:t>0%，得</w:t>
            </w:r>
            <w:r>
              <w:rPr>
                <w:rFonts w:hint="eastAsia" w:eastAsia="楷体_GB2312"/>
                <w:sz w:val="18"/>
                <w:szCs w:val="18"/>
              </w:rPr>
              <w:t>2</w:t>
            </w:r>
            <w:r>
              <w:rPr>
                <w:rFonts w:eastAsia="楷体_GB2312"/>
                <w:sz w:val="18"/>
                <w:szCs w:val="18"/>
              </w:rPr>
              <w:t>分</w:t>
            </w:r>
            <w:r>
              <w:rPr>
                <w:rFonts w:hint="eastAsia" w:eastAsia="楷体_GB2312"/>
                <w:sz w:val="18"/>
                <w:szCs w:val="18"/>
              </w:rPr>
              <w:t>；</w:t>
            </w:r>
          </w:p>
          <w:p>
            <w:pPr>
              <w:spacing w:line="300" w:lineRule="exact"/>
              <w:jc w:val="left"/>
              <w:rPr>
                <w:rFonts w:eastAsia="楷体_GB2312"/>
                <w:sz w:val="18"/>
                <w:szCs w:val="18"/>
              </w:rPr>
            </w:pPr>
            <w:r>
              <w:rPr>
                <w:rFonts w:hint="eastAsia" w:eastAsia="楷体_GB2312"/>
                <w:sz w:val="18"/>
                <w:szCs w:val="18"/>
              </w:rPr>
              <w:t>80%</w:t>
            </w:r>
            <w:r>
              <w:rPr>
                <w:rFonts w:eastAsia="楷体_GB2312"/>
                <w:sz w:val="18"/>
                <w:szCs w:val="18"/>
              </w:rPr>
              <w:t>&gt;完成率</w:t>
            </w:r>
            <w:r>
              <w:rPr>
                <w:rFonts w:hint="eastAsia" w:eastAsia="楷体_GB2312"/>
                <w:sz w:val="18"/>
                <w:szCs w:val="18"/>
              </w:rPr>
              <w:t>≧60%，得1分；</w:t>
            </w:r>
          </w:p>
          <w:p>
            <w:pPr>
              <w:spacing w:line="300" w:lineRule="exact"/>
              <w:jc w:val="left"/>
              <w:rPr>
                <w:rFonts w:eastAsia="楷体_GB2312"/>
                <w:sz w:val="18"/>
                <w:szCs w:val="18"/>
              </w:rPr>
            </w:pPr>
            <w:r>
              <w:rPr>
                <w:rFonts w:eastAsia="楷体_GB2312"/>
                <w:sz w:val="18"/>
                <w:szCs w:val="18"/>
              </w:rPr>
              <w:t>完成率＜</w:t>
            </w:r>
            <w:r>
              <w:rPr>
                <w:rFonts w:hint="eastAsia" w:eastAsia="楷体_GB2312"/>
                <w:sz w:val="18"/>
                <w:szCs w:val="18"/>
              </w:rPr>
              <w:t>6</w:t>
            </w:r>
            <w:r>
              <w:rPr>
                <w:rFonts w:eastAsia="楷体_GB2312"/>
                <w:sz w:val="18"/>
                <w:szCs w:val="18"/>
              </w:rPr>
              <w:t>0%，得0分。</w:t>
            </w:r>
          </w:p>
        </w:tc>
        <w:tc>
          <w:tcPr>
            <w:tcW w:w="1614" w:type="dxa"/>
            <w:noWrap w:val="0"/>
            <w:tcMar>
              <w:top w:w="0" w:type="dxa"/>
              <w:left w:w="105" w:type="dxa"/>
              <w:bottom w:w="0" w:type="dxa"/>
              <w:right w:w="105" w:type="dxa"/>
            </w:tcMar>
            <w:vAlign w:val="center"/>
          </w:tcPr>
          <w:p>
            <w:pPr>
              <w:jc w:val="center"/>
              <w:rPr>
                <w:rFonts w:hint="default" w:eastAsia="楷体_GB2312"/>
                <w:sz w:val="18"/>
                <w:szCs w:val="18"/>
                <w:lang w:val="en-US" w:eastAsia="zh-CN"/>
              </w:rPr>
            </w:pPr>
            <w:r>
              <w:rPr>
                <w:rFonts w:hint="default" w:eastAsia="楷体_GB2312"/>
                <w:sz w:val="18"/>
                <w:szCs w:val="18"/>
                <w:lang w:val="en-US" w:eastAsia="zh-CN"/>
              </w:rPr>
              <w:t>1/1*100%=100%</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74"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w:t>
            </w:r>
          </w:p>
          <w:p>
            <w:pPr>
              <w:spacing w:before="100" w:beforeAutospacing="1" w:after="100" w:afterAutospacing="1"/>
              <w:jc w:val="center"/>
              <w:rPr>
                <w:rFonts w:eastAsia="楷体_GB2312"/>
                <w:sz w:val="18"/>
                <w:szCs w:val="18"/>
              </w:rPr>
            </w:pPr>
            <w:r>
              <w:rPr>
                <w:rFonts w:eastAsia="楷体_GB2312"/>
                <w:sz w:val="18"/>
                <w:szCs w:val="18"/>
              </w:rPr>
              <w:t>管理（</w:t>
            </w:r>
            <w:r>
              <w:rPr>
                <w:rFonts w:hint="eastAsia" w:eastAsia="楷体_GB2312"/>
                <w:sz w:val="18"/>
                <w:szCs w:val="18"/>
              </w:rPr>
              <w:t>9</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280" w:lineRule="exact"/>
              <w:jc w:val="center"/>
              <w:rPr>
                <w:rFonts w:eastAsia="楷体_GB2312"/>
                <w:sz w:val="18"/>
                <w:szCs w:val="18"/>
              </w:rPr>
            </w:pPr>
            <w:r>
              <w:rPr>
                <w:rFonts w:eastAsia="楷体_GB2312"/>
                <w:sz w:val="18"/>
                <w:szCs w:val="18"/>
              </w:rPr>
              <w:t>资金管理</w:t>
            </w:r>
          </w:p>
          <w:p>
            <w:pPr>
              <w:spacing w:line="280" w:lineRule="exact"/>
              <w:jc w:val="center"/>
              <w:rPr>
                <w:rFonts w:eastAsia="楷体_GB2312"/>
                <w:sz w:val="18"/>
                <w:szCs w:val="18"/>
              </w:rPr>
            </w:pPr>
            <w:r>
              <w:rPr>
                <w:rFonts w:eastAsia="楷体_GB2312"/>
                <w:sz w:val="18"/>
                <w:szCs w:val="18"/>
              </w:rPr>
              <w:t>制度健全性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制定预算资金管理办法、内部财务管理制度、内控制度、会计核算制度等是否完整，是否执行到位。</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每发现一项问题，扣1分，扣完为止。</w:t>
            </w:r>
          </w:p>
        </w:tc>
        <w:tc>
          <w:tcPr>
            <w:tcW w:w="1614" w:type="dxa"/>
            <w:noWrap w:val="0"/>
            <w:tcMar>
              <w:top w:w="0" w:type="dxa"/>
              <w:left w:w="105" w:type="dxa"/>
              <w:bottom w:w="0" w:type="dxa"/>
              <w:right w:w="105" w:type="dxa"/>
            </w:tcMar>
            <w:vAlign w:val="center"/>
          </w:tcPr>
          <w:p>
            <w:pPr>
              <w:jc w:val="center"/>
              <w:rPr>
                <w:rFonts w:hint="eastAsia" w:eastAsia="楷体_GB2312"/>
                <w:sz w:val="18"/>
                <w:szCs w:val="18"/>
                <w:lang w:val="en-US" w:eastAsia="zh-CN"/>
              </w:rPr>
            </w:pPr>
            <w:r>
              <w:rPr>
                <w:rFonts w:hint="eastAsia" w:eastAsia="楷体_GB2312"/>
                <w:sz w:val="18"/>
                <w:szCs w:val="18"/>
                <w:lang w:val="en-US" w:eastAsia="zh-CN"/>
              </w:rPr>
              <w:t>制度健全，执行到位</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027"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资金使用</w:t>
            </w:r>
          </w:p>
          <w:p>
            <w:pPr>
              <w:spacing w:line="300" w:lineRule="exact"/>
              <w:ind w:left="1" w:leftChars="0"/>
              <w:jc w:val="center"/>
              <w:rPr>
                <w:rFonts w:eastAsia="楷体_GB2312"/>
                <w:sz w:val="18"/>
                <w:szCs w:val="18"/>
                <w:lang w:val="en-US" w:eastAsia="zh-CN" w:bidi="ar-SA"/>
              </w:rPr>
            </w:pPr>
            <w:r>
              <w:rPr>
                <w:rFonts w:eastAsia="楷体_GB2312"/>
                <w:sz w:val="18"/>
                <w:szCs w:val="18"/>
              </w:rPr>
              <w:t>合规性</w:t>
            </w:r>
          </w:p>
        </w:tc>
        <w:tc>
          <w:tcPr>
            <w:tcW w:w="701" w:type="dxa"/>
            <w:noWrap w:val="0"/>
            <w:tcMar>
              <w:top w:w="0" w:type="dxa"/>
              <w:left w:w="105" w:type="dxa"/>
              <w:bottom w:w="0" w:type="dxa"/>
              <w:right w:w="105" w:type="dxa"/>
            </w:tcMar>
            <w:vAlign w:val="center"/>
          </w:tcPr>
          <w:p>
            <w:pPr>
              <w:spacing w:before="100" w:beforeAutospacing="1" w:after="100" w:afterAutospacing="1"/>
              <w:ind w:left="1" w:leftChars="0"/>
              <w:jc w:val="center"/>
              <w:rPr>
                <w:rFonts w:hint="eastAsia" w:eastAsia="楷体_GB2312"/>
                <w:sz w:val="18"/>
                <w:szCs w:val="18"/>
                <w:lang w:val="en-US" w:eastAsia="zh-CN" w:bidi="ar-SA"/>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spacing w:line="300" w:lineRule="exact"/>
              <w:ind w:left="1" w:leftChars="0"/>
              <w:jc w:val="left"/>
              <w:rPr>
                <w:rFonts w:eastAsia="楷体_GB2312"/>
                <w:spacing w:val="-20"/>
                <w:sz w:val="18"/>
                <w:szCs w:val="18"/>
                <w:lang w:val="en-US" w:eastAsia="zh-CN" w:bidi="ar-SA"/>
              </w:rPr>
            </w:pPr>
            <w:r>
              <w:rPr>
                <w:rFonts w:eastAsia="楷体_GB2312"/>
                <w:sz w:val="18"/>
                <w:szCs w:val="18"/>
              </w:rPr>
              <w:t>部门预算资金使用是否符合相关的预算财务管理制度的规定。如①是否符合国家财经法规和财务管理制度规定，以及有关专项资金管理办法的规定；②资金的拨付是否有完整的审批程序和手续；③项目的重大开支是否经过评估论证；④是否存在截留、挤占、挪用、虚列支出等情况。</w:t>
            </w:r>
          </w:p>
        </w:tc>
        <w:tc>
          <w:tcPr>
            <w:tcW w:w="3123" w:type="dxa"/>
            <w:noWrap w:val="0"/>
            <w:tcMar>
              <w:top w:w="0" w:type="dxa"/>
              <w:left w:w="105" w:type="dxa"/>
              <w:bottom w:w="0" w:type="dxa"/>
              <w:right w:w="105" w:type="dxa"/>
            </w:tcMar>
            <w:vAlign w:val="center"/>
          </w:tcPr>
          <w:p>
            <w:pPr>
              <w:spacing w:line="300" w:lineRule="exact"/>
              <w:ind w:left="1" w:leftChars="0"/>
              <w:jc w:val="left"/>
              <w:rPr>
                <w:rFonts w:eastAsia="楷体_GB2312"/>
                <w:sz w:val="18"/>
                <w:szCs w:val="18"/>
                <w:lang w:val="en-US" w:eastAsia="zh-CN" w:bidi="ar-SA"/>
              </w:rPr>
            </w:pPr>
            <w:r>
              <w:rPr>
                <w:rFonts w:eastAsia="楷体_GB2312"/>
                <w:sz w:val="18"/>
                <w:szCs w:val="18"/>
              </w:rPr>
              <w:t>合规率100%得</w:t>
            </w:r>
            <w:r>
              <w:rPr>
                <w:rFonts w:hint="eastAsia" w:eastAsia="楷体_GB2312"/>
                <w:sz w:val="18"/>
                <w:szCs w:val="18"/>
              </w:rPr>
              <w:t>3</w:t>
            </w:r>
            <w:r>
              <w:rPr>
                <w:rFonts w:eastAsia="楷体_GB2312"/>
                <w:sz w:val="18"/>
                <w:szCs w:val="18"/>
              </w:rPr>
              <w:t>分；合规率每下降1%，扣0.5分，扣完为止。</w:t>
            </w:r>
          </w:p>
        </w:tc>
        <w:tc>
          <w:tcPr>
            <w:tcW w:w="1614" w:type="dxa"/>
            <w:noWrap w:val="0"/>
            <w:tcMar>
              <w:top w:w="0" w:type="dxa"/>
              <w:left w:w="105" w:type="dxa"/>
              <w:bottom w:w="0" w:type="dxa"/>
              <w:right w:w="105" w:type="dxa"/>
            </w:tcMar>
            <w:vAlign w:val="center"/>
          </w:tcPr>
          <w:p>
            <w:pPr>
              <w:ind w:left="1" w:leftChars="0"/>
              <w:jc w:val="center"/>
              <w:rPr>
                <w:rFonts w:hint="eastAsia" w:eastAsia="楷体_GB2312"/>
                <w:sz w:val="18"/>
                <w:szCs w:val="18"/>
                <w:lang w:val="en-US" w:eastAsia="zh-CN" w:bidi="ar-SA"/>
              </w:rPr>
            </w:pPr>
            <w:r>
              <w:rPr>
                <w:rFonts w:hint="eastAsia" w:eastAsia="楷体_GB2312"/>
                <w:sz w:val="18"/>
                <w:szCs w:val="18"/>
                <w:lang w:eastAsia="zh-CN"/>
              </w:rPr>
              <w:t>资金使用合规率</w:t>
            </w:r>
            <w:r>
              <w:rPr>
                <w:rFonts w:hint="eastAsia" w:eastAsia="楷体_GB2312"/>
                <w:sz w:val="18"/>
                <w:szCs w:val="18"/>
                <w:lang w:val="en-US" w:eastAsia="zh-CN"/>
              </w:rPr>
              <w:t>100%</w:t>
            </w:r>
          </w:p>
        </w:tc>
        <w:tc>
          <w:tcPr>
            <w:tcW w:w="745" w:type="dxa"/>
            <w:noWrap w:val="0"/>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35"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资金使用</w:t>
            </w:r>
          </w:p>
          <w:p>
            <w:pPr>
              <w:spacing w:line="300" w:lineRule="exact"/>
              <w:jc w:val="center"/>
              <w:rPr>
                <w:rFonts w:eastAsia="楷体_GB2312"/>
                <w:sz w:val="18"/>
                <w:szCs w:val="18"/>
              </w:rPr>
            </w:pPr>
            <w:r>
              <w:rPr>
                <w:rFonts w:eastAsia="楷体_GB2312"/>
                <w:sz w:val="18"/>
                <w:szCs w:val="18"/>
              </w:rPr>
              <w:t>合理性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部门预算资金使用是否与批准的预算及其预算内容相符合。</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相符率100%得2分；相符率每下降1%，扣0.5分，扣完为止。</w:t>
            </w:r>
          </w:p>
        </w:tc>
        <w:tc>
          <w:tcPr>
            <w:tcW w:w="1614" w:type="dxa"/>
            <w:noWrap w:val="0"/>
            <w:tcMar>
              <w:top w:w="0" w:type="dxa"/>
              <w:left w:w="105" w:type="dxa"/>
              <w:bottom w:w="0" w:type="dxa"/>
              <w:right w:w="105" w:type="dxa"/>
            </w:tcMar>
            <w:vAlign w:val="center"/>
          </w:tcPr>
          <w:p>
            <w:pPr>
              <w:jc w:val="center"/>
              <w:rPr>
                <w:rFonts w:hint="default" w:eastAsia="楷体_GB2312"/>
                <w:sz w:val="18"/>
                <w:szCs w:val="18"/>
                <w:lang w:val="en-US" w:eastAsia="zh-CN"/>
              </w:rPr>
            </w:pPr>
            <w:r>
              <w:rPr>
                <w:rFonts w:hint="eastAsia" w:eastAsia="楷体_GB2312"/>
                <w:sz w:val="18"/>
                <w:szCs w:val="18"/>
                <w:lang w:eastAsia="zh-CN"/>
              </w:rPr>
              <w:t>相符率</w:t>
            </w:r>
            <w:r>
              <w:rPr>
                <w:rFonts w:hint="eastAsia" w:eastAsia="楷体_GB2312"/>
                <w:sz w:val="18"/>
                <w:szCs w:val="18"/>
                <w:lang w:val="en-US" w:eastAsia="zh-CN"/>
              </w:rPr>
              <w:t>100%</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399"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整改</w:t>
            </w:r>
          </w:p>
          <w:p>
            <w:pPr>
              <w:spacing w:line="300" w:lineRule="exact"/>
              <w:jc w:val="center"/>
              <w:rPr>
                <w:rFonts w:eastAsia="楷体_GB2312"/>
                <w:sz w:val="18"/>
                <w:szCs w:val="18"/>
              </w:rPr>
            </w:pPr>
            <w:r>
              <w:rPr>
                <w:rFonts w:eastAsia="楷体_GB2312"/>
                <w:sz w:val="18"/>
                <w:szCs w:val="18"/>
              </w:rPr>
              <w:t>落实</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是否对近三年内审计、财政等部门各项检查中、绩效评价发现违法违规问题已经进行有效整改。</w:t>
            </w:r>
          </w:p>
        </w:tc>
        <w:tc>
          <w:tcPr>
            <w:tcW w:w="3123" w:type="dxa"/>
            <w:noWrap w:val="0"/>
            <w:tcMar>
              <w:top w:w="0" w:type="dxa"/>
              <w:left w:w="105" w:type="dxa"/>
              <w:bottom w:w="0" w:type="dxa"/>
              <w:right w:w="105" w:type="dxa"/>
            </w:tcMar>
            <w:vAlign w:val="center"/>
          </w:tcPr>
          <w:p>
            <w:pPr>
              <w:spacing w:line="300" w:lineRule="exact"/>
              <w:jc w:val="left"/>
              <w:rPr>
                <w:rFonts w:eastAsia="楷体_GB2312"/>
                <w:spacing w:val="-20"/>
                <w:sz w:val="18"/>
                <w:szCs w:val="18"/>
              </w:rPr>
            </w:pPr>
            <w:r>
              <w:rPr>
                <w:rFonts w:eastAsia="楷体_GB2312"/>
                <w:sz w:val="18"/>
                <w:szCs w:val="18"/>
              </w:rPr>
              <w:t>没发现违法违规问题或发现违法违纪行为并积极制定措施全部整改的，得</w:t>
            </w:r>
            <w:r>
              <w:rPr>
                <w:rFonts w:hint="eastAsia" w:eastAsia="楷体_GB2312"/>
                <w:sz w:val="18"/>
                <w:szCs w:val="18"/>
              </w:rPr>
              <w:t>2</w:t>
            </w:r>
            <w:r>
              <w:rPr>
                <w:rFonts w:eastAsia="楷体_GB2312"/>
                <w:sz w:val="18"/>
                <w:szCs w:val="18"/>
              </w:rPr>
              <w:t>分；部分整改的，视整改情况得</w:t>
            </w:r>
            <w:r>
              <w:rPr>
                <w:rFonts w:hint="eastAsia" w:eastAsia="楷体_GB2312"/>
                <w:sz w:val="18"/>
                <w:szCs w:val="18"/>
              </w:rPr>
              <w:t>0.5至1</w:t>
            </w:r>
            <w:r>
              <w:rPr>
                <w:rFonts w:eastAsia="楷体_GB2312"/>
                <w:sz w:val="18"/>
                <w:szCs w:val="18"/>
              </w:rPr>
              <w:t>分；未整改的，得0分。</w:t>
            </w:r>
          </w:p>
        </w:tc>
        <w:tc>
          <w:tcPr>
            <w:tcW w:w="1614" w:type="dxa"/>
            <w:noWrap w:val="0"/>
            <w:tcMar>
              <w:top w:w="0" w:type="dxa"/>
              <w:left w:w="105" w:type="dxa"/>
              <w:bottom w:w="0" w:type="dxa"/>
              <w:right w:w="105" w:type="dxa"/>
            </w:tcMar>
            <w:vAlign w:val="center"/>
          </w:tcPr>
          <w:p>
            <w:pPr>
              <w:jc w:val="center"/>
              <w:rPr>
                <w:rFonts w:hint="eastAsia" w:eastAsia="楷体_GB2312"/>
                <w:sz w:val="18"/>
                <w:szCs w:val="18"/>
                <w:lang w:eastAsia="zh-CN"/>
              </w:rPr>
            </w:pPr>
            <w:r>
              <w:rPr>
                <w:rFonts w:hint="eastAsia" w:eastAsia="楷体_GB2312"/>
                <w:sz w:val="18"/>
                <w:szCs w:val="18"/>
                <w:lang w:eastAsia="zh-CN"/>
              </w:rPr>
              <w:t>全部整改到位</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3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资产管理（5分）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资产管理制度健全性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1</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部门为加强资产管理、规范资产管理行为而制定的管理制度是否健全完整，是否合法合规，是否执行到位。</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每发现一项问题，扣0.5分，扣完为止。</w:t>
            </w:r>
          </w:p>
        </w:tc>
        <w:tc>
          <w:tcPr>
            <w:tcW w:w="1614" w:type="dxa"/>
            <w:noWrap w:val="0"/>
            <w:tcMar>
              <w:top w:w="0" w:type="dxa"/>
              <w:left w:w="105" w:type="dxa"/>
              <w:bottom w:w="0" w:type="dxa"/>
              <w:right w:w="105" w:type="dxa"/>
            </w:tcMar>
            <w:vAlign w:val="center"/>
          </w:tcPr>
          <w:p>
            <w:pPr>
              <w:jc w:val="center"/>
              <w:rPr>
                <w:rFonts w:hint="eastAsia" w:eastAsia="楷体_GB2312"/>
                <w:sz w:val="18"/>
                <w:szCs w:val="18"/>
                <w:lang w:eastAsia="zh-CN"/>
              </w:rPr>
            </w:pPr>
            <w:r>
              <w:rPr>
                <w:rFonts w:hint="eastAsia" w:eastAsia="楷体_GB2312"/>
                <w:sz w:val="18"/>
                <w:szCs w:val="18"/>
                <w:lang w:eastAsia="zh-CN"/>
              </w:rPr>
              <w:t>资产管理制度健全</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6"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资产管理</w:t>
            </w:r>
          </w:p>
          <w:p>
            <w:pPr>
              <w:spacing w:line="300" w:lineRule="exact"/>
              <w:jc w:val="center"/>
              <w:rPr>
                <w:rFonts w:eastAsia="楷体_GB2312"/>
                <w:sz w:val="18"/>
                <w:szCs w:val="18"/>
              </w:rPr>
            </w:pPr>
            <w:r>
              <w:rPr>
                <w:rFonts w:eastAsia="楷体_GB2312"/>
                <w:sz w:val="18"/>
                <w:szCs w:val="18"/>
              </w:rPr>
              <w:t>安全性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部门的资产是否保存完整、使用合规、配置合理、处置规范、收入及时足额上缴。</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每发现一项问题，扣0.5分，扣完为止。</w:t>
            </w:r>
          </w:p>
        </w:tc>
        <w:tc>
          <w:tcPr>
            <w:tcW w:w="1614" w:type="dxa"/>
            <w:noWrap w:val="0"/>
            <w:tcMar>
              <w:top w:w="0" w:type="dxa"/>
              <w:left w:w="105" w:type="dxa"/>
              <w:bottom w:w="0" w:type="dxa"/>
              <w:right w:w="105" w:type="dxa"/>
            </w:tcMar>
            <w:vAlign w:val="center"/>
          </w:tcPr>
          <w:p>
            <w:pPr>
              <w:jc w:val="center"/>
              <w:rPr>
                <w:rFonts w:hint="eastAsia" w:eastAsia="楷体_GB2312"/>
                <w:sz w:val="18"/>
                <w:szCs w:val="18"/>
                <w:lang w:eastAsia="zh-CN"/>
              </w:rPr>
            </w:pPr>
            <w:r>
              <w:rPr>
                <w:rFonts w:hint="eastAsia" w:eastAsia="楷体_GB2312"/>
                <w:sz w:val="18"/>
                <w:szCs w:val="18"/>
                <w:lang w:eastAsia="zh-CN"/>
              </w:rPr>
              <w:t>资产管理安全</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73"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固定资产</w:t>
            </w:r>
          </w:p>
          <w:p>
            <w:pPr>
              <w:spacing w:line="300" w:lineRule="exact"/>
              <w:jc w:val="center"/>
              <w:rPr>
                <w:rFonts w:eastAsia="楷体_GB2312"/>
                <w:sz w:val="18"/>
                <w:szCs w:val="18"/>
              </w:rPr>
            </w:pPr>
            <w:r>
              <w:rPr>
                <w:rFonts w:eastAsia="楷体_GB2312"/>
                <w:sz w:val="18"/>
                <w:szCs w:val="18"/>
              </w:rPr>
              <w:t>利用率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固定资产利用率=（实际在用固定资产总额/所有固定资产总额）×100%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99%≤结果≤100%，得2分；</w:t>
            </w:r>
          </w:p>
          <w:p>
            <w:pPr>
              <w:spacing w:line="300" w:lineRule="exact"/>
              <w:jc w:val="left"/>
              <w:rPr>
                <w:rFonts w:eastAsia="楷体_GB2312"/>
                <w:sz w:val="18"/>
                <w:szCs w:val="18"/>
              </w:rPr>
            </w:pPr>
            <w:r>
              <w:rPr>
                <w:rFonts w:eastAsia="楷体_GB2312"/>
                <w:sz w:val="18"/>
                <w:szCs w:val="18"/>
              </w:rPr>
              <w:t>90%≤结果＜99%，得1分；</w:t>
            </w:r>
          </w:p>
          <w:p>
            <w:pPr>
              <w:spacing w:line="300" w:lineRule="exact"/>
              <w:jc w:val="left"/>
              <w:rPr>
                <w:rFonts w:eastAsia="楷体_GB2312"/>
                <w:spacing w:val="-20"/>
                <w:sz w:val="18"/>
                <w:szCs w:val="18"/>
              </w:rPr>
            </w:pPr>
            <w:r>
              <w:rPr>
                <w:rFonts w:eastAsia="楷体_GB2312"/>
                <w:sz w:val="18"/>
                <w:szCs w:val="18"/>
              </w:rPr>
              <w:t>结果＜90%，得0分。</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99%</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094" w:hRule="atLeast"/>
          <w:tblCellSpacing w:w="0" w:type="dxa"/>
          <w:jc w:val="center"/>
        </w:trPr>
        <w:tc>
          <w:tcPr>
            <w:tcW w:w="10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产出与效果(共</w:t>
            </w:r>
            <w:r>
              <w:rPr>
                <w:rFonts w:hint="eastAsia" w:eastAsia="楷体_GB2312"/>
                <w:sz w:val="18"/>
                <w:szCs w:val="18"/>
              </w:rPr>
              <w:t>6</w:t>
            </w:r>
            <w:r>
              <w:rPr>
                <w:rFonts w:eastAsia="楷体_GB2312"/>
                <w:sz w:val="18"/>
                <w:szCs w:val="18"/>
              </w:rPr>
              <w:t>0分)</w:t>
            </w: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p>
          <w:p>
            <w:pPr>
              <w:spacing w:before="100" w:beforeAutospacing="1" w:after="100" w:afterAutospacing="1"/>
              <w:jc w:val="center"/>
              <w:rPr>
                <w:rFonts w:eastAsia="楷体_GB2312"/>
                <w:sz w:val="18"/>
                <w:szCs w:val="18"/>
              </w:rPr>
            </w:pPr>
            <w:r>
              <w:rPr>
                <w:rFonts w:eastAsia="楷体_GB2312"/>
                <w:sz w:val="18"/>
                <w:szCs w:val="18"/>
              </w:rPr>
              <w:t>产出指标（30分）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数量</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对照整体绩效目标评价。未设置整体绩效目标，或整体绩效目标设置不完善的，根据部门年度履行职责主要工作和重点工作计划任务数与实际完成任务数的比率评价得分。</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对照绩效目标，按实际产出数量率计算得分</w:t>
            </w:r>
          </w:p>
        </w:tc>
        <w:tc>
          <w:tcPr>
            <w:tcW w:w="1614" w:type="dxa"/>
            <w:noWrap w:val="0"/>
            <w:tcMar>
              <w:top w:w="0" w:type="dxa"/>
              <w:left w:w="105" w:type="dxa"/>
              <w:bottom w:w="0" w:type="dxa"/>
              <w:right w:w="105" w:type="dxa"/>
            </w:tcMar>
            <w:vAlign w:val="center"/>
          </w:tcPr>
          <w:p>
            <w:pPr>
              <w:jc w:val="center"/>
              <w:rPr>
                <w:rFonts w:hint="eastAsia" w:eastAsia="楷体_GB2312"/>
                <w:sz w:val="18"/>
                <w:szCs w:val="18"/>
                <w:lang w:eastAsia="zh-CN"/>
              </w:rPr>
            </w:pPr>
            <w:r>
              <w:rPr>
                <w:rFonts w:hint="eastAsia" w:eastAsia="楷体_GB2312"/>
                <w:sz w:val="18"/>
                <w:szCs w:val="18"/>
                <w:lang w:eastAsia="zh-CN"/>
              </w:rPr>
              <w:t>困难群众救助应救尽救、老区及福彩项目建设大部分完工</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59"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质量</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对照整体绩效目标评价。未设置整体绩效目标，或整体绩效目标设置不完善的，根据部门年度履行职责主要工作和重点工作，标识具体明确的产出质量。</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对照绩效目标，按实际产出质量计算得分</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城乡低保、特困供养补助水平、残疾人两补达到省市要求</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54"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时效</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对照整体绩效目标评价。未设置整体绩效目标，或整体绩效目标设置不完善的，根据部门年度履行职责主要工作和重点工作，标识具体明确的产出时效。</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对照绩效目标，按实际产出时效计算得分</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困难群众救助资金及时发放</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73"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效益指标（</w:t>
            </w:r>
            <w:r>
              <w:rPr>
                <w:rFonts w:hint="eastAsia" w:eastAsia="楷体_GB2312"/>
                <w:sz w:val="18"/>
                <w:szCs w:val="18"/>
              </w:rPr>
              <w:t>3</w:t>
            </w:r>
            <w:r>
              <w:rPr>
                <w:rFonts w:eastAsia="楷体_GB2312"/>
                <w:sz w:val="18"/>
                <w:szCs w:val="18"/>
              </w:rPr>
              <w:t>0分）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经济</w:t>
            </w:r>
          </w:p>
          <w:p>
            <w:pPr>
              <w:spacing w:line="300" w:lineRule="exact"/>
              <w:jc w:val="center"/>
              <w:rPr>
                <w:rFonts w:hint="eastAsia" w:eastAsia="楷体_GB2312"/>
                <w:sz w:val="18"/>
                <w:szCs w:val="18"/>
              </w:rPr>
            </w:pPr>
            <w:r>
              <w:rPr>
                <w:rFonts w:eastAsia="楷体_GB2312"/>
                <w:sz w:val="18"/>
                <w:szCs w:val="18"/>
              </w:rPr>
              <w:t>效益</w:t>
            </w:r>
          </w:p>
        </w:tc>
        <w:tc>
          <w:tcPr>
            <w:tcW w:w="701" w:type="dxa"/>
            <w:vMerge w:val="restart"/>
            <w:tcBorders>
              <w:top w:val="single" w:color="auto" w:sz="4" w:space="0"/>
            </w:tcBorders>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20</w:t>
            </w:r>
          </w:p>
        </w:tc>
        <w:tc>
          <w:tcPr>
            <w:tcW w:w="4750" w:type="dxa"/>
            <w:tcBorders>
              <w:top w:val="single" w:color="auto" w:sz="4" w:space="0"/>
            </w:tcBorders>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对照整体绩效目标评价。未设置整体绩效目标，或整体绩效目标设置不完善的，根据部门年度履行职责主要工作和重点工作，标识所产生的直接或间接的经济效益</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对照绩效目标，按经济效益实现程度计算得分</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老区项目的实施为乡村振兴工作提供基础</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tcBorders>
              <w:right w:val="single" w:color="auto" w:sz="4" w:space="0"/>
            </w:tcBorders>
            <w:noWrap w:val="0"/>
            <w:vAlign w:val="center"/>
          </w:tcPr>
          <w:p>
            <w:pPr>
              <w:spacing w:line="300" w:lineRule="exact"/>
              <w:jc w:val="center"/>
              <w:rPr>
                <w:rFonts w:eastAsia="楷体_GB2312"/>
                <w:sz w:val="18"/>
                <w:szCs w:val="18"/>
              </w:rPr>
            </w:pPr>
            <w:r>
              <w:rPr>
                <w:rFonts w:eastAsia="楷体_GB2312"/>
                <w:sz w:val="18"/>
                <w:szCs w:val="18"/>
              </w:rPr>
              <w:t>社会</w:t>
            </w:r>
          </w:p>
          <w:p>
            <w:pPr>
              <w:spacing w:line="300" w:lineRule="exact"/>
              <w:jc w:val="center"/>
              <w:rPr>
                <w:rFonts w:eastAsia="楷体_GB2312"/>
                <w:sz w:val="18"/>
                <w:szCs w:val="18"/>
              </w:rPr>
            </w:pPr>
            <w:r>
              <w:rPr>
                <w:rFonts w:eastAsia="楷体_GB2312"/>
                <w:sz w:val="18"/>
                <w:szCs w:val="18"/>
              </w:rPr>
              <w:t>效益</w:t>
            </w:r>
          </w:p>
        </w:tc>
        <w:tc>
          <w:tcPr>
            <w:tcW w:w="701" w:type="dxa"/>
            <w:vMerge w:val="continue"/>
            <w:noWrap w:val="0"/>
            <w:vAlign w:val="center"/>
          </w:tcPr>
          <w:p>
            <w:pPr>
              <w:jc w:val="center"/>
              <w:rPr>
                <w:rFonts w:hint="eastAsia" w:eastAsia="楷体_GB2312"/>
                <w:sz w:val="18"/>
                <w:szCs w:val="18"/>
              </w:rPr>
            </w:pPr>
          </w:p>
        </w:tc>
        <w:tc>
          <w:tcPr>
            <w:tcW w:w="4750" w:type="dxa"/>
            <w:tcBorders>
              <w:top w:val="single" w:color="auto" w:sz="4" w:space="0"/>
            </w:tcBorders>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对照整体绩效目标评价。未设置整体绩效目标，或整体绩效目标设置不完善的，根据部门年度履行职责主要工作和重点工作，标识所产生的社会效益</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对照绩效目标，按社会效益实现程度计算得分</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困难群众生活水平稳步提升，社会福利事业稳步推进</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230"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vAlign w:val="center"/>
          </w:tcPr>
          <w:p>
            <w:pPr>
              <w:spacing w:line="300" w:lineRule="exact"/>
              <w:jc w:val="center"/>
              <w:rPr>
                <w:rFonts w:eastAsia="楷体_GB2312"/>
                <w:sz w:val="18"/>
                <w:szCs w:val="18"/>
              </w:rPr>
            </w:pPr>
            <w:r>
              <w:rPr>
                <w:rFonts w:eastAsia="楷体_GB2312"/>
                <w:sz w:val="18"/>
                <w:szCs w:val="18"/>
              </w:rPr>
              <w:t>环境</w:t>
            </w:r>
          </w:p>
          <w:p>
            <w:pPr>
              <w:spacing w:line="300" w:lineRule="exact"/>
              <w:jc w:val="center"/>
              <w:rPr>
                <w:rFonts w:eastAsia="楷体_GB2312"/>
                <w:sz w:val="18"/>
                <w:szCs w:val="18"/>
              </w:rPr>
            </w:pPr>
            <w:r>
              <w:rPr>
                <w:rFonts w:eastAsia="楷体_GB2312"/>
                <w:sz w:val="18"/>
                <w:szCs w:val="18"/>
              </w:rPr>
              <w:t>效益</w:t>
            </w:r>
          </w:p>
        </w:tc>
        <w:tc>
          <w:tcPr>
            <w:tcW w:w="701" w:type="dxa"/>
            <w:vMerge w:val="continue"/>
            <w:noWrap w:val="0"/>
            <w:vAlign w:val="center"/>
          </w:tcPr>
          <w:p>
            <w:pPr>
              <w:jc w:val="center"/>
              <w:rPr>
                <w:rFonts w:hint="eastAsia" w:eastAsia="楷体_GB2312"/>
                <w:sz w:val="18"/>
                <w:szCs w:val="18"/>
              </w:rPr>
            </w:pPr>
          </w:p>
        </w:tc>
        <w:tc>
          <w:tcPr>
            <w:tcW w:w="4750" w:type="dxa"/>
            <w:tcBorders>
              <w:right w:val="nil"/>
            </w:tcBorders>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w:t>
            </w:r>
          </w:p>
          <w:p>
            <w:pPr>
              <w:spacing w:line="300" w:lineRule="exact"/>
              <w:jc w:val="left"/>
              <w:rPr>
                <w:rFonts w:eastAsia="楷体_GB2312"/>
                <w:sz w:val="18"/>
                <w:szCs w:val="18"/>
              </w:rPr>
            </w:pPr>
            <w:r>
              <w:rPr>
                <w:rFonts w:eastAsia="楷体_GB2312"/>
                <w:sz w:val="18"/>
                <w:szCs w:val="18"/>
              </w:rPr>
              <w:t>置整体绩效目标，或整体绩效目标设置不完善的，根据部门年度履行职责主要工作和重点工作，标识对环境所产生的积极或消极影响</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对照绩效目标，按对环境所产生的实际影响程度计算得分</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逐步实现绿色生态安葬</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63"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vAlign w:val="center"/>
          </w:tcPr>
          <w:p>
            <w:pPr>
              <w:spacing w:line="300" w:lineRule="exact"/>
              <w:jc w:val="center"/>
              <w:rPr>
                <w:rFonts w:eastAsia="楷体_GB2312"/>
                <w:sz w:val="18"/>
                <w:szCs w:val="18"/>
              </w:rPr>
            </w:pPr>
            <w:r>
              <w:rPr>
                <w:rFonts w:eastAsia="楷体_GB2312"/>
                <w:sz w:val="18"/>
                <w:szCs w:val="18"/>
              </w:rPr>
              <w:t>可持续性</w:t>
            </w:r>
          </w:p>
        </w:tc>
        <w:tc>
          <w:tcPr>
            <w:tcW w:w="701" w:type="dxa"/>
            <w:vMerge w:val="continue"/>
            <w:noWrap w:val="0"/>
            <w:vAlign w:val="center"/>
          </w:tcPr>
          <w:p>
            <w:pPr>
              <w:jc w:val="center"/>
              <w:rPr>
                <w:rFonts w:hint="eastAsia" w:eastAsia="楷体_GB2312"/>
                <w:sz w:val="18"/>
                <w:szCs w:val="18"/>
              </w:rPr>
            </w:pP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对照整体绩效目标评价。未设置整体绩效目标，或整体绩效目标设置不完善的，根据部门年度履行职责主要工作和重点工作，标识可持续性</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对照绩效目标，按实际情况计算得分</w:t>
            </w:r>
          </w:p>
        </w:tc>
        <w:tc>
          <w:tcPr>
            <w:tcW w:w="1614" w:type="dxa"/>
            <w:noWrap w:val="0"/>
            <w:tcMar>
              <w:top w:w="0" w:type="dxa"/>
              <w:left w:w="105" w:type="dxa"/>
              <w:bottom w:w="0" w:type="dxa"/>
              <w:right w:w="105" w:type="dxa"/>
            </w:tcMar>
            <w:vAlign w:val="center"/>
          </w:tcPr>
          <w:p>
            <w:pPr>
              <w:jc w:val="both"/>
              <w:rPr>
                <w:rFonts w:eastAsia="楷体_GB2312"/>
                <w:sz w:val="18"/>
                <w:szCs w:val="18"/>
              </w:rPr>
            </w:pPr>
            <w:r>
              <w:rPr>
                <w:rFonts w:hint="eastAsia" w:eastAsia="楷体_GB2312"/>
                <w:sz w:val="18"/>
                <w:szCs w:val="18"/>
              </w:rPr>
              <w:t>社会救助制度健全，为政策的执行提供有力保障</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51"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260" w:lineRule="exact"/>
              <w:jc w:val="center"/>
              <w:rPr>
                <w:rFonts w:eastAsia="楷体_GB2312"/>
                <w:sz w:val="18"/>
                <w:szCs w:val="18"/>
              </w:rPr>
            </w:pPr>
            <w:r>
              <w:rPr>
                <w:rFonts w:eastAsia="楷体_GB2312"/>
                <w:sz w:val="18"/>
                <w:szCs w:val="18"/>
              </w:rPr>
              <w:t>社会公众与服务对象满意度</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社会公众、服务对象对部门主要工作实施的满意程度</w:t>
            </w:r>
          </w:p>
        </w:tc>
        <w:tc>
          <w:tcPr>
            <w:tcW w:w="3123" w:type="dxa"/>
            <w:noWrap w:val="0"/>
            <w:tcMar>
              <w:top w:w="0" w:type="dxa"/>
              <w:left w:w="105" w:type="dxa"/>
              <w:bottom w:w="0" w:type="dxa"/>
              <w:right w:w="105" w:type="dxa"/>
            </w:tcMar>
            <w:vAlign w:val="center"/>
          </w:tcPr>
          <w:p>
            <w:pPr>
              <w:spacing w:line="300" w:lineRule="exact"/>
              <w:jc w:val="left"/>
              <w:rPr>
                <w:rFonts w:hint="eastAsia" w:eastAsia="楷体_GB2312"/>
                <w:sz w:val="18"/>
                <w:szCs w:val="18"/>
              </w:rPr>
            </w:pPr>
            <w:r>
              <w:rPr>
                <w:rFonts w:hint="eastAsia" w:eastAsia="楷体_GB2312"/>
                <w:sz w:val="18"/>
                <w:szCs w:val="18"/>
              </w:rPr>
              <w:t>90%≤满意度≤100%记10分，</w:t>
            </w:r>
          </w:p>
          <w:p>
            <w:pPr>
              <w:spacing w:line="300" w:lineRule="exact"/>
              <w:jc w:val="left"/>
              <w:rPr>
                <w:rFonts w:hint="eastAsia" w:eastAsia="楷体_GB2312"/>
                <w:sz w:val="18"/>
                <w:szCs w:val="18"/>
              </w:rPr>
            </w:pPr>
            <w:r>
              <w:rPr>
                <w:rFonts w:hint="eastAsia" w:eastAsia="楷体_GB2312"/>
                <w:sz w:val="18"/>
                <w:szCs w:val="18"/>
              </w:rPr>
              <w:t>80%≤满意度&lt;90%记8分，</w:t>
            </w:r>
          </w:p>
          <w:p>
            <w:pPr>
              <w:spacing w:line="300" w:lineRule="exact"/>
              <w:jc w:val="left"/>
              <w:rPr>
                <w:rFonts w:hint="eastAsia" w:eastAsia="楷体_GB2312"/>
                <w:sz w:val="18"/>
                <w:szCs w:val="18"/>
              </w:rPr>
            </w:pPr>
            <w:r>
              <w:rPr>
                <w:rFonts w:hint="eastAsia" w:eastAsia="楷体_GB2312"/>
                <w:sz w:val="18"/>
                <w:szCs w:val="18"/>
              </w:rPr>
              <w:t>70%≤满意度&lt;80%  记6分，</w:t>
            </w:r>
          </w:p>
          <w:p>
            <w:pPr>
              <w:spacing w:line="300" w:lineRule="exact"/>
              <w:jc w:val="left"/>
              <w:rPr>
                <w:rFonts w:hint="eastAsia" w:eastAsia="楷体_GB2312"/>
                <w:sz w:val="18"/>
                <w:szCs w:val="18"/>
              </w:rPr>
            </w:pPr>
            <w:r>
              <w:rPr>
                <w:rFonts w:hint="eastAsia" w:eastAsia="楷体_GB2312"/>
                <w:sz w:val="18"/>
                <w:szCs w:val="18"/>
              </w:rPr>
              <w:t>60%≤满意度&lt;70%记4分，</w:t>
            </w:r>
          </w:p>
          <w:p>
            <w:pPr>
              <w:spacing w:line="300" w:lineRule="exact"/>
              <w:jc w:val="left"/>
              <w:rPr>
                <w:rFonts w:eastAsia="楷体_GB2312"/>
                <w:sz w:val="18"/>
                <w:szCs w:val="18"/>
              </w:rPr>
            </w:pPr>
            <w:r>
              <w:rPr>
                <w:rFonts w:hint="eastAsia" w:eastAsia="楷体_GB2312"/>
                <w:sz w:val="18"/>
                <w:szCs w:val="18"/>
              </w:rPr>
              <w:t>满意度&lt;60%记0分。</w:t>
            </w:r>
          </w:p>
        </w:tc>
        <w:tc>
          <w:tcPr>
            <w:tcW w:w="1614" w:type="dxa"/>
            <w:noWrap w:val="0"/>
            <w:tcMar>
              <w:top w:w="0" w:type="dxa"/>
              <w:left w:w="105" w:type="dxa"/>
              <w:bottom w:w="0" w:type="dxa"/>
              <w:right w:w="105" w:type="dxa"/>
            </w:tcMar>
            <w:vAlign w:val="center"/>
          </w:tcPr>
          <w:p>
            <w:pPr>
              <w:jc w:val="center"/>
              <w:rPr>
                <w:rFonts w:hint="default" w:eastAsia="楷体_GB2312"/>
                <w:sz w:val="18"/>
                <w:szCs w:val="18"/>
                <w:lang w:val="en-US" w:eastAsia="zh-CN"/>
              </w:rPr>
            </w:pPr>
            <w:r>
              <w:rPr>
                <w:rFonts w:hint="eastAsia" w:eastAsia="楷体_GB2312"/>
                <w:sz w:val="18"/>
                <w:szCs w:val="18"/>
                <w:lang w:eastAsia="zh-CN"/>
              </w:rPr>
              <w:t>满意率</w:t>
            </w:r>
            <w:r>
              <w:rPr>
                <w:rFonts w:hint="eastAsia" w:eastAsia="楷体_GB2312"/>
                <w:sz w:val="18"/>
                <w:szCs w:val="18"/>
                <w:lang w:val="en-US" w:eastAsia="zh-CN"/>
              </w:rPr>
              <w:t>90%</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86" w:hRule="atLeast"/>
          <w:tblCellSpacing w:w="0" w:type="dxa"/>
          <w:jc w:val="center"/>
        </w:trPr>
        <w:tc>
          <w:tcPr>
            <w:tcW w:w="1079"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22"/>
                <w:szCs w:val="22"/>
              </w:rPr>
            </w:pPr>
            <w:r>
              <w:rPr>
                <w:rFonts w:eastAsia="楷体_GB2312"/>
                <w:sz w:val="22"/>
                <w:szCs w:val="22"/>
              </w:rPr>
              <w:t>合计</w:t>
            </w:r>
          </w:p>
        </w:tc>
        <w:tc>
          <w:tcPr>
            <w:tcW w:w="1179" w:type="dxa"/>
            <w:noWrap w:val="0"/>
            <w:tcMar>
              <w:top w:w="0" w:type="dxa"/>
              <w:left w:w="105" w:type="dxa"/>
              <w:bottom w:w="0" w:type="dxa"/>
              <w:right w:w="105" w:type="dxa"/>
            </w:tcMar>
            <w:vAlign w:val="center"/>
          </w:tcPr>
          <w:p>
            <w:pPr>
              <w:spacing w:before="100" w:beforeAutospacing="1" w:after="100" w:afterAutospacing="1"/>
              <w:rPr>
                <w:rFonts w:eastAsia="楷体_GB2312"/>
                <w:sz w:val="22"/>
                <w:szCs w:val="22"/>
              </w:rPr>
            </w:pPr>
            <w:r>
              <w:rPr>
                <w:rFonts w:eastAsia="楷体_GB2312"/>
                <w:sz w:val="22"/>
                <w:szCs w:val="22"/>
              </w:rPr>
              <w:t>—</w:t>
            </w:r>
          </w:p>
        </w:tc>
        <w:tc>
          <w:tcPr>
            <w:tcW w:w="1226" w:type="dxa"/>
            <w:noWrap w:val="0"/>
            <w:tcMar>
              <w:top w:w="0" w:type="dxa"/>
              <w:left w:w="105" w:type="dxa"/>
              <w:bottom w:w="0" w:type="dxa"/>
              <w:right w:w="105" w:type="dxa"/>
            </w:tcMar>
            <w:vAlign w:val="center"/>
          </w:tcPr>
          <w:p>
            <w:pPr>
              <w:spacing w:before="100" w:beforeAutospacing="1" w:after="100" w:afterAutospacing="1"/>
              <w:rPr>
                <w:rFonts w:eastAsia="楷体_GB2312"/>
                <w:sz w:val="22"/>
                <w:szCs w:val="22"/>
              </w:rPr>
            </w:pPr>
            <w:r>
              <w:rPr>
                <w:rFonts w:eastAsia="楷体_GB2312"/>
                <w:sz w:val="22"/>
                <w:szCs w:val="22"/>
              </w:rPr>
              <w:t>——</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pacing w:val="-20"/>
                <w:sz w:val="22"/>
                <w:szCs w:val="22"/>
              </w:rPr>
            </w:pPr>
            <w:r>
              <w:rPr>
                <w:rFonts w:eastAsia="楷体_GB2312"/>
                <w:spacing w:val="-20"/>
                <w:sz w:val="22"/>
                <w:szCs w:val="22"/>
              </w:rPr>
              <w:t>100</w:t>
            </w:r>
          </w:p>
        </w:tc>
        <w:tc>
          <w:tcPr>
            <w:tcW w:w="4750" w:type="dxa"/>
            <w:noWrap w:val="0"/>
            <w:tcMar>
              <w:top w:w="0" w:type="dxa"/>
              <w:left w:w="105" w:type="dxa"/>
              <w:bottom w:w="0" w:type="dxa"/>
              <w:right w:w="105" w:type="dxa"/>
            </w:tcMar>
            <w:vAlign w:val="center"/>
          </w:tcPr>
          <w:p>
            <w:pPr>
              <w:spacing w:line="300" w:lineRule="exact"/>
              <w:jc w:val="center"/>
              <w:rPr>
                <w:rFonts w:eastAsia="楷体_GB2312"/>
              </w:rPr>
            </w:pPr>
            <w:r>
              <w:rPr>
                <w:rFonts w:eastAsia="楷体_GB2312"/>
              </w:rPr>
              <w:t>——</w:t>
            </w:r>
          </w:p>
        </w:tc>
        <w:tc>
          <w:tcPr>
            <w:tcW w:w="3123" w:type="dxa"/>
            <w:noWrap w:val="0"/>
            <w:tcMar>
              <w:top w:w="0" w:type="dxa"/>
              <w:left w:w="105" w:type="dxa"/>
              <w:bottom w:w="0" w:type="dxa"/>
              <w:right w:w="105" w:type="dxa"/>
            </w:tcMar>
            <w:vAlign w:val="center"/>
          </w:tcPr>
          <w:p>
            <w:pPr>
              <w:spacing w:line="300" w:lineRule="exact"/>
              <w:jc w:val="center"/>
              <w:rPr>
                <w:rFonts w:eastAsia="楷体_GB2312"/>
              </w:rPr>
            </w:pPr>
            <w:r>
              <w:rPr>
                <w:rFonts w:eastAsia="楷体_GB2312"/>
              </w:rPr>
              <w:t>——</w:t>
            </w:r>
          </w:p>
        </w:tc>
        <w:tc>
          <w:tcPr>
            <w:tcW w:w="1614"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93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30" w:hRule="atLeast"/>
          <w:tblCellSpacing w:w="0" w:type="dxa"/>
          <w:jc w:val="center"/>
        </w:trPr>
        <w:tc>
          <w:tcPr>
            <w:tcW w:w="1079" w:type="dxa"/>
            <w:noWrap w:val="0"/>
            <w:tcMar>
              <w:top w:w="0" w:type="dxa"/>
              <w:left w:w="105" w:type="dxa"/>
              <w:bottom w:w="0" w:type="dxa"/>
              <w:right w:w="105" w:type="dxa"/>
            </w:tcMar>
            <w:vAlign w:val="center"/>
          </w:tcPr>
          <w:p>
            <w:pPr>
              <w:spacing w:before="100" w:beforeAutospacing="1" w:after="100" w:afterAutospacing="1"/>
              <w:jc w:val="center"/>
              <w:rPr>
                <w:rFonts w:hint="eastAsia" w:ascii="楷体_GB2312" w:hAnsi="楷体_GB2312" w:eastAsia="楷体_GB2312" w:cs="楷体_GB2312"/>
                <w:sz w:val="21"/>
                <w:szCs w:val="16"/>
              </w:rPr>
            </w:pPr>
            <w:r>
              <w:rPr>
                <w:rFonts w:hint="eastAsia" w:ascii="楷体_GB2312" w:hAnsi="楷体_GB2312" w:eastAsia="楷体_GB2312" w:cs="楷体_GB2312"/>
                <w:sz w:val="21"/>
                <w:szCs w:val="16"/>
              </w:rPr>
              <w:t>评价</w:t>
            </w:r>
          </w:p>
          <w:p>
            <w:pPr>
              <w:spacing w:before="100" w:beforeAutospacing="1" w:after="100" w:afterAutospacing="1"/>
              <w:jc w:val="center"/>
              <w:rPr>
                <w:rFonts w:hint="eastAsia" w:ascii="楷体_GB2312" w:hAnsi="楷体_GB2312" w:eastAsia="楷体_GB2312" w:cs="楷体_GB2312"/>
                <w:sz w:val="21"/>
                <w:szCs w:val="16"/>
              </w:rPr>
            </w:pPr>
            <w:r>
              <w:rPr>
                <w:rFonts w:hint="eastAsia" w:ascii="楷体_GB2312" w:hAnsi="楷体_GB2312" w:eastAsia="楷体_GB2312" w:cs="楷体_GB2312"/>
                <w:sz w:val="21"/>
                <w:szCs w:val="16"/>
              </w:rPr>
              <w:t>等级</w:t>
            </w:r>
          </w:p>
        </w:tc>
        <w:tc>
          <w:tcPr>
            <w:tcW w:w="13338" w:type="dxa"/>
            <w:gridSpan w:val="7"/>
            <w:noWrap w:val="0"/>
            <w:tcMar>
              <w:top w:w="0" w:type="dxa"/>
              <w:left w:w="105" w:type="dxa"/>
              <w:bottom w:w="0" w:type="dxa"/>
              <w:right w:w="105" w:type="dxa"/>
            </w:tcMar>
            <w:vAlign w:val="center"/>
          </w:tcPr>
          <w:p>
            <w:pPr>
              <w:spacing w:line="400" w:lineRule="exact"/>
              <w:ind w:firstLine="210" w:firstLineChars="100"/>
              <w:rPr>
                <w:rFonts w:hint="eastAsia" w:ascii="楷体_GB2312" w:hAnsi="楷体_GB2312" w:eastAsia="楷体_GB2312" w:cs="楷体_GB2312"/>
                <w:sz w:val="21"/>
                <w:szCs w:val="16"/>
              </w:rPr>
            </w:pPr>
            <w:r>
              <w:rPr>
                <w:rFonts w:hint="eastAsia" w:ascii="楷体_GB2312" w:hAnsi="楷体_GB2312" w:eastAsia="楷体_GB2312" w:cs="楷体_GB2312"/>
                <w:sz w:val="21"/>
                <w:szCs w:val="16"/>
                <w:lang w:eastAsia="zh-CN"/>
              </w:rPr>
              <w:t>☑</w:t>
            </w:r>
            <w:r>
              <w:rPr>
                <w:rFonts w:hint="eastAsia" w:ascii="楷体_GB2312" w:hAnsi="楷体_GB2312" w:eastAsia="楷体_GB2312" w:cs="楷体_GB2312"/>
                <w:sz w:val="21"/>
                <w:szCs w:val="16"/>
              </w:rPr>
              <w:t xml:space="preserve">优秀  90分≤得分≤100分；   □良好  </w:t>
            </w:r>
            <w:r>
              <w:rPr>
                <w:rFonts w:ascii="楷体_GB2312" w:hAnsi="楷体_GB2312" w:eastAsia="楷体_GB2312" w:cs="楷体_GB2312"/>
                <w:sz w:val="21"/>
                <w:szCs w:val="16"/>
              </w:rPr>
              <w:t>80</w:t>
            </w:r>
            <w:r>
              <w:rPr>
                <w:rFonts w:hint="eastAsia" w:ascii="楷体_GB2312" w:hAnsi="楷体_GB2312" w:eastAsia="楷体_GB2312" w:cs="楷体_GB2312"/>
                <w:sz w:val="21"/>
                <w:szCs w:val="16"/>
              </w:rPr>
              <w:t>分≤得分＜90分；   □较差  60分≤得分＜</w:t>
            </w:r>
            <w:r>
              <w:rPr>
                <w:rFonts w:ascii="楷体_GB2312" w:hAnsi="楷体_GB2312" w:eastAsia="楷体_GB2312" w:cs="楷体_GB2312"/>
                <w:sz w:val="21"/>
                <w:szCs w:val="16"/>
              </w:rPr>
              <w:t>80</w:t>
            </w:r>
            <w:r>
              <w:rPr>
                <w:rFonts w:hint="eastAsia" w:ascii="楷体_GB2312" w:hAnsi="楷体_GB2312" w:eastAsia="楷体_GB2312" w:cs="楷体_GB2312"/>
                <w:sz w:val="21"/>
                <w:szCs w:val="16"/>
              </w:rPr>
              <w:t>分；   □差  得分＜60分</w:t>
            </w:r>
          </w:p>
        </w:tc>
      </w:tr>
    </w:tbl>
    <w:p>
      <w:pPr>
        <w:spacing w:line="320" w:lineRule="exact"/>
        <w:ind w:firstLine="6490" w:firstLineChars="2950"/>
        <w:jc w:val="center"/>
        <w:rPr>
          <w:rFonts w:ascii="华文中宋" w:hAnsi="华文中宋" w:eastAsia="华文中宋"/>
          <w:sz w:val="22"/>
          <w:szCs w:val="24"/>
        </w:rPr>
      </w:pPr>
    </w:p>
    <w:p>
      <w:pPr>
        <w:spacing w:line="320" w:lineRule="exact"/>
        <w:ind w:firstLine="6490" w:firstLineChars="2950"/>
        <w:jc w:val="center"/>
        <w:rPr>
          <w:rFonts w:hint="eastAsia" w:ascii="楷体" w:hAnsi="楷体" w:eastAsia="楷体" w:cs="楷体"/>
          <w:sz w:val="22"/>
          <w:szCs w:val="24"/>
        </w:rPr>
      </w:pPr>
      <w:r>
        <w:rPr>
          <w:rFonts w:hint="eastAsia" w:ascii="楷体" w:hAnsi="楷体" w:eastAsia="楷体" w:cs="楷体"/>
          <w:sz w:val="22"/>
          <w:szCs w:val="24"/>
        </w:rPr>
        <w:t xml:space="preserve">    单位负责人（签字）：</w:t>
      </w:r>
    </w:p>
    <w:p>
      <w:pPr>
        <w:spacing w:line="320" w:lineRule="exact"/>
        <w:ind w:firstLine="6270" w:firstLineChars="2850"/>
        <w:jc w:val="center"/>
        <w:rPr>
          <w:rFonts w:hint="default" w:ascii="楷体" w:hAnsi="楷体" w:eastAsia="楷体" w:cs="楷体"/>
          <w:sz w:val="22"/>
          <w:szCs w:val="24"/>
          <w:lang w:val="en-US" w:eastAsia="zh-CN"/>
        </w:rPr>
        <w:sectPr>
          <w:pgSz w:w="16838" w:h="11906" w:orient="landscape"/>
          <w:pgMar w:top="1800" w:right="1440" w:bottom="1800" w:left="1440" w:header="851" w:footer="992" w:gutter="0"/>
          <w:pgNumType w:fmt="numberInDash"/>
          <w:cols w:space="720" w:num="1"/>
          <w:docGrid w:type="lines" w:linePitch="312" w:charSpace="0"/>
        </w:sectPr>
      </w:pPr>
      <w:r>
        <w:rPr>
          <w:rFonts w:hint="eastAsia" w:ascii="楷体" w:hAnsi="楷体" w:eastAsia="楷体" w:cs="楷体"/>
          <w:sz w:val="22"/>
          <w:szCs w:val="24"/>
        </w:rPr>
        <w:t xml:space="preserve">    填表日期：</w:t>
      </w:r>
      <w:r>
        <w:rPr>
          <w:rFonts w:hint="eastAsia" w:ascii="楷体" w:hAnsi="楷体" w:eastAsia="楷体" w:cs="楷体"/>
          <w:sz w:val="22"/>
          <w:szCs w:val="24"/>
          <w:lang w:val="en-US" w:eastAsia="zh-CN"/>
        </w:rPr>
        <w:t>2024</w:t>
      </w:r>
      <w:r>
        <w:rPr>
          <w:rFonts w:hint="eastAsia" w:ascii="楷体" w:hAnsi="楷体" w:eastAsia="楷体" w:cs="楷体"/>
          <w:sz w:val="22"/>
          <w:szCs w:val="24"/>
        </w:rPr>
        <w:t> 年</w:t>
      </w:r>
      <w:r>
        <w:rPr>
          <w:rFonts w:hint="eastAsia" w:ascii="楷体" w:hAnsi="楷体" w:eastAsia="楷体" w:cs="楷体"/>
          <w:sz w:val="22"/>
          <w:szCs w:val="24"/>
          <w:lang w:val="en-US" w:eastAsia="zh-CN"/>
        </w:rPr>
        <w:t>4</w:t>
      </w:r>
      <w:r>
        <w:rPr>
          <w:rFonts w:hint="eastAsia" w:ascii="楷体" w:hAnsi="楷体" w:eastAsia="楷体" w:cs="楷体"/>
          <w:sz w:val="22"/>
          <w:szCs w:val="24"/>
        </w:rPr>
        <w:t> </w:t>
      </w:r>
      <w:r>
        <w:rPr>
          <w:rFonts w:hint="eastAsia" w:ascii="楷体" w:hAnsi="楷体" w:eastAsia="楷体" w:cs="楷体"/>
          <w:sz w:val="22"/>
          <w:szCs w:val="24"/>
          <w:lang w:eastAsia="zh-CN"/>
        </w:rPr>
        <w:t>月</w:t>
      </w:r>
      <w:r>
        <w:rPr>
          <w:rFonts w:hint="eastAsia" w:ascii="楷体" w:hAnsi="楷体" w:eastAsia="楷体" w:cs="楷体"/>
          <w:sz w:val="22"/>
          <w:szCs w:val="24"/>
          <w:lang w:val="en-US" w:eastAsia="zh-CN"/>
        </w:rPr>
        <w:t>8日</w:t>
      </w:r>
    </w:p>
    <w:p>
      <w:pPr>
        <w:ind w:left="0" w:leftChars="0" w:firstLine="0" w:firstLineChars="0"/>
      </w:pPr>
    </w:p>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yNDk1OTE5Y2JlMzFjYzNkMzc3Njg2Y2I3ZmU5ODEifQ=="/>
  </w:docVars>
  <w:rsids>
    <w:rsidRoot w:val="022F1672"/>
    <w:rsid w:val="022F1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spacing w:line="240" w:lineRule="atLeast"/>
      <w:jc w:val="left"/>
    </w:pPr>
    <w:rPr>
      <w:sz w:val="18"/>
      <w:szCs w:val="18"/>
    </w:rPr>
  </w:style>
  <w:style w:type="character" w:styleId="5">
    <w:name w:val="page number"/>
    <w:basedOn w:val="4"/>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2024-04-22T03:22:00Z</dcterms:created>
  <dc:creator>艾朵朵</dc:creator>
  <cp:lastModifiedBy>艾朵朵</cp:lastModifiedBy>
  <dcterms:modified xsi:type="dcterms:W3CDTF">2024-04-22T03:24:09Z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7E17DD563B2E4E7CAE74BAC356EEA972_11</vt:lpwstr>
  </property>
</Properties>
</file>