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shd w:val="clear" w:color="auto" w:fill="FFFFFF"/>
        <w:kinsoku/>
        <w:wordWrap/>
        <w:overflowPunct/>
        <w:topLinePunct w:val="0"/>
        <w:bidi w:val="0"/>
        <w:spacing w:line="560" w:lineRule="exact"/>
        <w:jc w:val="center"/>
        <w:textAlignment w:val="auto"/>
        <w:rPr>
          <w:rFonts w:cs="宋体" w:asciiTheme="majorEastAsia" w:hAnsiTheme="majorEastAsia" w:eastAsiaTheme="majorEastAsia"/>
          <w:b/>
          <w:kern w:val="0"/>
          <w:sz w:val="44"/>
          <w:szCs w:val="44"/>
          <w:highlight w:val="none"/>
        </w:rPr>
      </w:pPr>
      <w:r>
        <w:rPr>
          <w:rFonts w:hint="eastAsia" w:cs="Times New Roman" w:asciiTheme="majorEastAsia" w:hAnsiTheme="majorEastAsia" w:eastAsiaTheme="majorEastAsia"/>
          <w:b/>
          <w:kern w:val="0"/>
          <w:sz w:val="44"/>
          <w:szCs w:val="44"/>
          <w:highlight w:val="none"/>
        </w:rPr>
        <w:t>新晃县202</w:t>
      </w:r>
      <w:r>
        <w:rPr>
          <w:rFonts w:hint="eastAsia" w:cs="Times New Roman" w:asciiTheme="majorEastAsia" w:hAnsiTheme="majorEastAsia" w:eastAsiaTheme="majorEastAsia"/>
          <w:b/>
          <w:kern w:val="0"/>
          <w:sz w:val="44"/>
          <w:szCs w:val="44"/>
          <w:highlight w:val="none"/>
          <w:lang w:val="en-US" w:eastAsia="zh-CN"/>
        </w:rPr>
        <w:t>3</w:t>
      </w:r>
      <w:r>
        <w:rPr>
          <w:rFonts w:hint="eastAsia" w:cs="Times New Roman" w:asciiTheme="majorEastAsia" w:hAnsiTheme="majorEastAsia" w:eastAsiaTheme="majorEastAsia"/>
          <w:b/>
          <w:kern w:val="0"/>
          <w:sz w:val="44"/>
          <w:szCs w:val="44"/>
          <w:highlight w:val="none"/>
        </w:rPr>
        <w:t>年度乡镇社会工作服务站</w:t>
      </w:r>
    </w:p>
    <w:p>
      <w:pPr>
        <w:keepNext w:val="0"/>
        <w:keepLines w:val="0"/>
        <w:pageBreakBefore w:val="0"/>
        <w:shd w:val="clear" w:color="auto" w:fill="FFFFFF"/>
        <w:kinsoku/>
        <w:wordWrap/>
        <w:overflowPunct/>
        <w:topLinePunct w:val="0"/>
        <w:bidi w:val="0"/>
        <w:spacing w:line="560" w:lineRule="exact"/>
        <w:jc w:val="center"/>
        <w:textAlignment w:val="auto"/>
        <w:rPr>
          <w:rFonts w:cs="宋体" w:asciiTheme="majorEastAsia" w:hAnsiTheme="majorEastAsia" w:eastAsiaTheme="majorEastAsia"/>
          <w:b/>
          <w:kern w:val="0"/>
          <w:sz w:val="44"/>
          <w:szCs w:val="44"/>
          <w:highlight w:val="none"/>
        </w:rPr>
      </w:pPr>
      <w:r>
        <w:rPr>
          <w:rFonts w:hint="eastAsia" w:cs="Times New Roman" w:asciiTheme="majorEastAsia" w:hAnsiTheme="majorEastAsia" w:eastAsiaTheme="majorEastAsia"/>
          <w:b/>
          <w:kern w:val="0"/>
          <w:sz w:val="44"/>
          <w:szCs w:val="44"/>
          <w:highlight w:val="none"/>
        </w:rPr>
        <w:t>项目绩效评价报告</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宋体"/>
          <w:kern w:val="0"/>
          <w:sz w:val="32"/>
          <w:szCs w:val="32"/>
          <w:highlight w:val="none"/>
        </w:rPr>
      </w:pPr>
      <w:r>
        <w:rPr>
          <w:rFonts w:ascii="Times New Roman" w:hAnsi="Times New Roman" w:eastAsia="仿宋" w:cs="Times New Roman"/>
          <w:kern w:val="0"/>
          <w:sz w:val="32"/>
          <w:szCs w:val="32"/>
          <w:highlight w:val="none"/>
        </w:rPr>
        <w:t> </w:t>
      </w:r>
    </w:p>
    <w:p>
      <w:pPr>
        <w:keepNext w:val="0"/>
        <w:keepLines w:val="0"/>
        <w:pageBreakBefore w:val="0"/>
        <w:shd w:val="clear" w:color="auto" w:fill="FFFFFF"/>
        <w:kinsoku/>
        <w:wordWrap/>
        <w:overflowPunct/>
        <w:topLinePunct w:val="0"/>
        <w:bidi w:val="0"/>
        <w:spacing w:line="560" w:lineRule="exact"/>
        <w:ind w:firstLine="640" w:firstLineChars="200"/>
        <w:jc w:val="left"/>
        <w:textAlignment w:val="auto"/>
        <w:rPr>
          <w:rFonts w:ascii="黑体" w:hAnsi="黑体" w:eastAsia="黑体" w:cs="宋体"/>
          <w:kern w:val="0"/>
          <w:sz w:val="32"/>
          <w:szCs w:val="32"/>
          <w:highlight w:val="none"/>
        </w:rPr>
      </w:pPr>
      <w:r>
        <w:rPr>
          <w:rFonts w:hint="eastAsia" w:ascii="黑体" w:hAnsi="黑体" w:eastAsia="黑体" w:cs="Times New Roman"/>
          <w:kern w:val="0"/>
          <w:sz w:val="32"/>
          <w:szCs w:val="32"/>
          <w:highlight w:val="none"/>
        </w:rPr>
        <w:t>一、项目基本情况</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宋体"/>
          <w:kern w:val="0"/>
          <w:sz w:val="32"/>
          <w:szCs w:val="32"/>
          <w:highlight w:val="none"/>
        </w:rPr>
      </w:pPr>
      <w:r>
        <w:rPr>
          <w:rFonts w:hint="eastAsia" w:ascii="仿宋" w:hAnsi="仿宋" w:eastAsia="仿宋" w:cs="Times New Roman"/>
          <w:b/>
          <w:bCs/>
          <w:kern w:val="0"/>
          <w:sz w:val="32"/>
          <w:szCs w:val="32"/>
          <w:highlight w:val="none"/>
        </w:rPr>
        <w:t>（一）项目概况</w:t>
      </w:r>
    </w:p>
    <w:p>
      <w:pPr>
        <w:keepNext w:val="0"/>
        <w:keepLines w:val="0"/>
        <w:pageBreakBefore w:val="0"/>
        <w:kinsoku/>
        <w:wordWrap/>
        <w:overflowPunct/>
        <w:topLinePunct w:val="0"/>
        <w:bidi w:val="0"/>
        <w:adjustRightInd w:val="0"/>
        <w:snapToGrid w:val="0"/>
        <w:spacing w:line="560" w:lineRule="exact"/>
        <w:ind w:firstLine="640" w:firstLineChars="200"/>
        <w:jc w:val="both"/>
        <w:textAlignment w:val="auto"/>
        <w:rPr>
          <w:rFonts w:ascii="仿宋" w:hAnsi="仿宋" w:eastAsia="仿宋" w:cs="Times New Roman"/>
          <w:kern w:val="0"/>
          <w:sz w:val="32"/>
          <w:szCs w:val="32"/>
          <w:highlight w:val="none"/>
        </w:rPr>
      </w:pPr>
      <w:r>
        <w:rPr>
          <w:rFonts w:hint="eastAsia" w:ascii="仿宋" w:hAnsi="仿宋" w:eastAsia="仿宋" w:cs="Times New Roman"/>
          <w:kern w:val="0"/>
          <w:sz w:val="32"/>
          <w:szCs w:val="32"/>
          <w:highlight w:val="none"/>
        </w:rPr>
        <w:t>根据湖南省民政厅、省委组织部、省财政厅、省人社厅等部门《关于政府购买服务加强基层民政经办服务能力的实施意见》</w:t>
      </w:r>
      <w:r>
        <w:rPr>
          <w:rFonts w:ascii="仿宋" w:hAnsi="仿宋" w:eastAsia="仿宋" w:cs="Times New Roman"/>
          <w:kern w:val="0"/>
          <w:sz w:val="32"/>
          <w:szCs w:val="32"/>
          <w:highlight w:val="none"/>
        </w:rPr>
        <w:t xml:space="preserve"> (</w:t>
      </w:r>
      <w:r>
        <w:rPr>
          <w:rFonts w:hint="eastAsia" w:ascii="仿宋" w:hAnsi="仿宋" w:eastAsia="仿宋" w:cs="Times New Roman"/>
          <w:kern w:val="0"/>
          <w:sz w:val="32"/>
          <w:szCs w:val="32"/>
          <w:highlight w:val="none"/>
        </w:rPr>
        <w:t>湘民发</w:t>
      </w:r>
      <w:r>
        <w:rPr>
          <w:rFonts w:hint="eastAsia" w:ascii="仿宋" w:hAnsi="仿宋" w:eastAsia="仿宋" w:cs="宋体"/>
          <w:kern w:val="0"/>
          <w:sz w:val="32"/>
          <w:szCs w:val="32"/>
          <w:highlight w:val="none"/>
        </w:rPr>
        <w:t>〔</w:t>
      </w:r>
      <w:r>
        <w:rPr>
          <w:rFonts w:ascii="仿宋" w:hAnsi="仿宋" w:eastAsia="仿宋" w:cs="Times New Roman"/>
          <w:kern w:val="0"/>
          <w:sz w:val="32"/>
          <w:szCs w:val="32"/>
          <w:highlight w:val="none"/>
        </w:rPr>
        <w:t>2018</w:t>
      </w:r>
      <w:r>
        <w:rPr>
          <w:rFonts w:hint="eastAsia" w:ascii="仿宋" w:hAnsi="仿宋" w:eastAsia="仿宋" w:cs="宋体"/>
          <w:kern w:val="0"/>
          <w:sz w:val="32"/>
          <w:szCs w:val="32"/>
          <w:highlight w:val="none"/>
        </w:rPr>
        <w:t>〕</w:t>
      </w:r>
      <w:r>
        <w:rPr>
          <w:rFonts w:ascii="仿宋" w:hAnsi="仿宋" w:eastAsia="仿宋" w:cs="Times New Roman"/>
          <w:kern w:val="0"/>
          <w:sz w:val="32"/>
          <w:szCs w:val="32"/>
          <w:highlight w:val="none"/>
        </w:rPr>
        <w:t>10</w:t>
      </w:r>
      <w:r>
        <w:rPr>
          <w:rFonts w:hint="eastAsia" w:ascii="仿宋" w:hAnsi="仿宋" w:eastAsia="仿宋" w:cs="Times New Roman"/>
          <w:kern w:val="0"/>
          <w:sz w:val="32"/>
          <w:szCs w:val="32"/>
          <w:highlight w:val="none"/>
        </w:rPr>
        <w:t>号</w:t>
      </w:r>
      <w:r>
        <w:rPr>
          <w:rFonts w:ascii="仿宋" w:hAnsi="仿宋" w:eastAsia="仿宋" w:cs="Times New Roman"/>
          <w:kern w:val="0"/>
          <w:sz w:val="32"/>
          <w:szCs w:val="32"/>
          <w:highlight w:val="none"/>
        </w:rPr>
        <w:t>)</w:t>
      </w:r>
      <w:r>
        <w:rPr>
          <w:rFonts w:hint="eastAsia" w:ascii="仿宋" w:hAnsi="仿宋" w:eastAsia="仿宋" w:cs="Times New Roman"/>
          <w:kern w:val="0"/>
          <w:sz w:val="32"/>
          <w:szCs w:val="32"/>
          <w:highlight w:val="none"/>
          <w:lang w:eastAsia="zh-CN"/>
        </w:rPr>
        <w:t>、</w:t>
      </w:r>
      <w:r>
        <w:rPr>
          <w:rFonts w:hint="eastAsia" w:ascii="仿宋" w:hAnsi="仿宋" w:eastAsia="仿宋" w:cs="Times New Roman"/>
          <w:kern w:val="0"/>
          <w:sz w:val="32"/>
          <w:szCs w:val="32"/>
          <w:highlight w:val="none"/>
        </w:rPr>
        <w:t>《</w:t>
      </w:r>
      <w:r>
        <w:rPr>
          <w:rFonts w:hint="eastAsia" w:ascii="仿宋" w:hAnsi="仿宋" w:eastAsia="仿宋" w:cs="Times New Roman"/>
          <w:kern w:val="0"/>
          <w:sz w:val="32"/>
          <w:szCs w:val="32"/>
          <w:highlight w:val="none"/>
          <w:lang w:eastAsia="zh-CN"/>
        </w:rPr>
        <w:t>湖南</w:t>
      </w:r>
      <w:r>
        <w:rPr>
          <w:rFonts w:hint="eastAsia" w:ascii="仿宋" w:hAnsi="仿宋" w:eastAsia="仿宋" w:cs="Times New Roman"/>
          <w:kern w:val="0"/>
          <w:sz w:val="32"/>
          <w:szCs w:val="32"/>
          <w:highlight w:val="none"/>
        </w:rPr>
        <w:t>省民政厅关于印发湖南省乡镇</w:t>
      </w:r>
      <w:r>
        <w:rPr>
          <w:rFonts w:ascii="仿宋" w:hAnsi="仿宋" w:eastAsia="仿宋" w:cs="Times New Roman"/>
          <w:kern w:val="0"/>
          <w:sz w:val="32"/>
          <w:szCs w:val="32"/>
          <w:highlight w:val="none"/>
        </w:rPr>
        <w:t>(</w:t>
      </w:r>
      <w:r>
        <w:rPr>
          <w:rFonts w:hint="eastAsia" w:ascii="仿宋" w:hAnsi="仿宋" w:eastAsia="仿宋" w:cs="Times New Roman"/>
          <w:kern w:val="0"/>
          <w:sz w:val="32"/>
          <w:szCs w:val="32"/>
          <w:highlight w:val="none"/>
        </w:rPr>
        <w:t>街道</w:t>
      </w:r>
      <w:r>
        <w:rPr>
          <w:rFonts w:ascii="仿宋" w:hAnsi="仿宋" w:eastAsia="仿宋" w:cs="Times New Roman"/>
          <w:kern w:val="0"/>
          <w:sz w:val="32"/>
          <w:szCs w:val="32"/>
          <w:highlight w:val="none"/>
        </w:rPr>
        <w:t>)</w:t>
      </w:r>
      <w:r>
        <w:rPr>
          <w:rFonts w:hint="eastAsia" w:ascii="仿宋" w:hAnsi="仿宋" w:eastAsia="仿宋" w:cs="Times New Roman"/>
          <w:kern w:val="0"/>
          <w:sz w:val="32"/>
          <w:szCs w:val="32"/>
          <w:highlight w:val="none"/>
        </w:rPr>
        <w:t xml:space="preserve">社会工作服务站项目实施方案的通知》 </w:t>
      </w:r>
      <w:r>
        <w:rPr>
          <w:rFonts w:ascii="仿宋" w:hAnsi="仿宋" w:eastAsia="仿宋" w:cs="Times New Roman"/>
          <w:kern w:val="0"/>
          <w:sz w:val="32"/>
          <w:szCs w:val="32"/>
          <w:highlight w:val="none"/>
        </w:rPr>
        <w:t>(</w:t>
      </w:r>
      <w:r>
        <w:rPr>
          <w:rFonts w:hint="eastAsia" w:ascii="仿宋" w:hAnsi="仿宋" w:eastAsia="仿宋" w:cs="Times New Roman"/>
          <w:kern w:val="0"/>
          <w:sz w:val="32"/>
          <w:szCs w:val="32"/>
          <w:highlight w:val="none"/>
        </w:rPr>
        <w:t>湘民发</w:t>
      </w:r>
      <w:r>
        <w:rPr>
          <w:rFonts w:hint="eastAsia" w:ascii="仿宋" w:hAnsi="仿宋" w:eastAsia="仿宋" w:cs="宋体"/>
          <w:kern w:val="0"/>
          <w:sz w:val="32"/>
          <w:szCs w:val="32"/>
          <w:highlight w:val="none"/>
        </w:rPr>
        <w:t>〔</w:t>
      </w:r>
      <w:r>
        <w:rPr>
          <w:rFonts w:ascii="仿宋" w:hAnsi="仿宋" w:eastAsia="仿宋" w:cs="Times New Roman"/>
          <w:kern w:val="0"/>
          <w:sz w:val="32"/>
          <w:szCs w:val="32"/>
          <w:highlight w:val="none"/>
        </w:rPr>
        <w:t>2018</w:t>
      </w:r>
      <w:r>
        <w:rPr>
          <w:rFonts w:hint="eastAsia" w:ascii="仿宋" w:hAnsi="仿宋" w:eastAsia="仿宋" w:cs="宋体"/>
          <w:kern w:val="0"/>
          <w:sz w:val="32"/>
          <w:szCs w:val="32"/>
          <w:highlight w:val="none"/>
        </w:rPr>
        <w:t>〕</w:t>
      </w:r>
      <w:r>
        <w:rPr>
          <w:rFonts w:ascii="仿宋" w:hAnsi="仿宋" w:eastAsia="仿宋" w:cs="Times New Roman"/>
          <w:kern w:val="0"/>
          <w:sz w:val="32"/>
          <w:szCs w:val="32"/>
          <w:highlight w:val="none"/>
        </w:rPr>
        <w:t>16</w:t>
      </w:r>
      <w:r>
        <w:rPr>
          <w:rFonts w:hint="eastAsia" w:ascii="仿宋" w:hAnsi="仿宋" w:eastAsia="仿宋" w:cs="Times New Roman"/>
          <w:kern w:val="0"/>
          <w:sz w:val="32"/>
          <w:szCs w:val="32"/>
          <w:highlight w:val="none"/>
        </w:rPr>
        <w:t>号</w:t>
      </w:r>
      <w:r>
        <w:rPr>
          <w:rFonts w:ascii="仿宋" w:hAnsi="仿宋" w:eastAsia="仿宋" w:cs="Times New Roman"/>
          <w:kern w:val="0"/>
          <w:sz w:val="32"/>
          <w:szCs w:val="32"/>
          <w:highlight w:val="none"/>
        </w:rPr>
        <w:t>)</w:t>
      </w:r>
      <w:r>
        <w:rPr>
          <w:rFonts w:hint="eastAsia" w:ascii="仿宋" w:hAnsi="仿宋" w:eastAsia="仿宋" w:cs="Times New Roman"/>
          <w:kern w:val="0"/>
          <w:sz w:val="32"/>
          <w:szCs w:val="32"/>
          <w:highlight w:val="none"/>
        </w:rPr>
        <w:t>等文件</w:t>
      </w:r>
      <w:r>
        <w:rPr>
          <w:rFonts w:ascii="仿宋" w:hAnsi="仿宋" w:eastAsia="仿宋" w:cs="Times New Roman"/>
          <w:kern w:val="0"/>
          <w:sz w:val="32"/>
          <w:szCs w:val="32"/>
          <w:highlight w:val="none"/>
        </w:rPr>
        <w:t>,</w:t>
      </w:r>
      <w:r>
        <w:rPr>
          <w:rFonts w:hint="eastAsia" w:ascii="仿宋" w:hAnsi="仿宋" w:eastAsia="仿宋" w:cs="Times New Roman"/>
          <w:kern w:val="0"/>
          <w:sz w:val="32"/>
          <w:szCs w:val="32"/>
          <w:highlight w:val="none"/>
        </w:rPr>
        <w:t>通过政府购买服务</w:t>
      </w:r>
      <w:r>
        <w:rPr>
          <w:rFonts w:hint="eastAsia" w:ascii="仿宋" w:hAnsi="仿宋" w:eastAsia="仿宋" w:cs="Times New Roman"/>
          <w:kern w:val="0"/>
          <w:sz w:val="32"/>
          <w:szCs w:val="32"/>
          <w:highlight w:val="none"/>
          <w:lang w:eastAsia="zh-CN"/>
        </w:rPr>
        <w:t>的方式</w:t>
      </w:r>
      <w:r>
        <w:rPr>
          <w:rFonts w:ascii="仿宋" w:hAnsi="仿宋" w:eastAsia="仿宋" w:cs="Times New Roman"/>
          <w:kern w:val="0"/>
          <w:sz w:val="32"/>
          <w:szCs w:val="32"/>
          <w:highlight w:val="none"/>
        </w:rPr>
        <w:t>,</w:t>
      </w:r>
      <w:r>
        <w:rPr>
          <w:rFonts w:hint="eastAsia" w:ascii="仿宋" w:hAnsi="仿宋" w:eastAsia="仿宋" w:cs="Times New Roman"/>
          <w:kern w:val="0"/>
          <w:sz w:val="32"/>
          <w:szCs w:val="32"/>
          <w:highlight w:val="none"/>
          <w:lang w:eastAsia="zh-CN"/>
        </w:rPr>
        <w:t>由</w:t>
      </w:r>
      <w:r>
        <w:rPr>
          <w:rFonts w:hint="eastAsia" w:ascii="仿宋" w:hAnsi="仿宋" w:eastAsia="仿宋" w:cs="Times New Roman"/>
          <w:kern w:val="0"/>
          <w:sz w:val="32"/>
          <w:szCs w:val="32"/>
          <w:highlight w:val="none"/>
        </w:rPr>
        <w:t>新晃县虹雨社会工作服务中心承接运营</w:t>
      </w:r>
      <w:r>
        <w:rPr>
          <w:rFonts w:ascii="仿宋" w:hAnsi="仿宋" w:eastAsia="仿宋" w:cs="Times New Roman"/>
          <w:kern w:val="0"/>
          <w:sz w:val="32"/>
          <w:szCs w:val="32"/>
          <w:highlight w:val="none"/>
        </w:rPr>
        <w:t>,</w:t>
      </w:r>
      <w:r>
        <w:rPr>
          <w:rFonts w:hint="eastAsia" w:ascii="仿宋" w:hAnsi="仿宋" w:eastAsia="仿宋" w:cs="Times New Roman"/>
          <w:kern w:val="0"/>
          <w:sz w:val="32"/>
          <w:szCs w:val="32"/>
          <w:highlight w:val="none"/>
        </w:rPr>
        <w:t>项目</w:t>
      </w:r>
      <w:r>
        <w:rPr>
          <w:rFonts w:hint="eastAsia" w:ascii="仿宋" w:hAnsi="仿宋" w:eastAsia="仿宋" w:cs="Times New Roman"/>
          <w:kern w:val="0"/>
          <w:sz w:val="32"/>
          <w:szCs w:val="32"/>
          <w:highlight w:val="none"/>
          <w:lang w:eastAsia="zh-CN"/>
        </w:rPr>
        <w:t>周期为</w:t>
      </w:r>
      <w:r>
        <w:rPr>
          <w:rFonts w:hint="eastAsia" w:ascii="仿宋" w:hAnsi="仿宋" w:eastAsia="仿宋" w:cs="Times New Roman"/>
          <w:kern w:val="0"/>
          <w:sz w:val="32"/>
          <w:szCs w:val="32"/>
          <w:highlight w:val="none"/>
        </w:rPr>
        <w:t>202</w:t>
      </w:r>
      <w:r>
        <w:rPr>
          <w:rFonts w:hint="eastAsia" w:ascii="仿宋" w:hAnsi="仿宋" w:eastAsia="仿宋" w:cs="Times New Roman"/>
          <w:kern w:val="0"/>
          <w:sz w:val="32"/>
          <w:szCs w:val="32"/>
          <w:highlight w:val="none"/>
          <w:lang w:val="en-US" w:eastAsia="zh-CN"/>
        </w:rPr>
        <w:t>2</w:t>
      </w:r>
      <w:r>
        <w:rPr>
          <w:rFonts w:hint="eastAsia" w:ascii="仿宋" w:hAnsi="仿宋" w:eastAsia="仿宋" w:cs="Times New Roman"/>
          <w:kern w:val="0"/>
          <w:sz w:val="32"/>
          <w:szCs w:val="32"/>
          <w:highlight w:val="none"/>
        </w:rPr>
        <w:t>年</w:t>
      </w:r>
      <w:r>
        <w:rPr>
          <w:rFonts w:hint="eastAsia" w:ascii="仿宋" w:hAnsi="仿宋" w:eastAsia="仿宋" w:cs="Times New Roman"/>
          <w:kern w:val="0"/>
          <w:sz w:val="32"/>
          <w:szCs w:val="32"/>
          <w:highlight w:val="none"/>
          <w:lang w:val="en-US" w:eastAsia="zh-CN"/>
        </w:rPr>
        <w:t>11</w:t>
      </w:r>
      <w:r>
        <w:rPr>
          <w:rFonts w:hint="eastAsia" w:ascii="仿宋" w:hAnsi="仿宋" w:eastAsia="仿宋" w:cs="Times New Roman"/>
          <w:kern w:val="0"/>
          <w:sz w:val="32"/>
          <w:szCs w:val="32"/>
          <w:highlight w:val="none"/>
        </w:rPr>
        <w:t>月至202</w:t>
      </w:r>
      <w:r>
        <w:rPr>
          <w:rFonts w:hint="eastAsia" w:ascii="仿宋" w:hAnsi="仿宋" w:eastAsia="仿宋" w:cs="Times New Roman"/>
          <w:kern w:val="0"/>
          <w:sz w:val="32"/>
          <w:szCs w:val="32"/>
          <w:highlight w:val="none"/>
          <w:lang w:val="en-US" w:eastAsia="zh-CN"/>
        </w:rPr>
        <w:t>3</w:t>
      </w:r>
      <w:r>
        <w:rPr>
          <w:rFonts w:hint="eastAsia" w:ascii="仿宋" w:hAnsi="仿宋" w:eastAsia="仿宋" w:cs="Times New Roman"/>
          <w:kern w:val="0"/>
          <w:sz w:val="32"/>
          <w:szCs w:val="32"/>
          <w:highlight w:val="none"/>
        </w:rPr>
        <w:t>年</w:t>
      </w:r>
      <w:r>
        <w:rPr>
          <w:rFonts w:hint="eastAsia" w:ascii="仿宋" w:hAnsi="仿宋" w:eastAsia="仿宋" w:cs="Times New Roman"/>
          <w:kern w:val="0"/>
          <w:sz w:val="32"/>
          <w:szCs w:val="32"/>
          <w:highlight w:val="none"/>
          <w:lang w:val="en-US" w:eastAsia="zh-CN"/>
        </w:rPr>
        <w:t>11</w:t>
      </w:r>
      <w:r>
        <w:rPr>
          <w:rFonts w:hint="eastAsia" w:ascii="仿宋" w:hAnsi="仿宋" w:eastAsia="仿宋" w:cs="Times New Roman"/>
          <w:kern w:val="0"/>
          <w:sz w:val="32"/>
          <w:szCs w:val="32"/>
          <w:highlight w:val="none"/>
        </w:rPr>
        <w:t>月。</w:t>
      </w:r>
    </w:p>
    <w:p>
      <w:pPr>
        <w:pStyle w:val="2"/>
        <w:keepNext w:val="0"/>
        <w:keepLines w:val="0"/>
        <w:pageBreakBefore w:val="0"/>
        <w:kinsoku/>
        <w:wordWrap/>
        <w:overflowPunct/>
        <w:topLinePunct w:val="0"/>
        <w:bidi w:val="0"/>
        <w:spacing w:line="560" w:lineRule="exact"/>
        <w:ind w:firstLine="640" w:firstLineChars="200"/>
        <w:jc w:val="both"/>
        <w:textAlignment w:val="auto"/>
        <w:rPr>
          <w:rFonts w:ascii="仿宋" w:hAnsi="仿宋" w:eastAsia="仿宋"/>
          <w:sz w:val="32"/>
          <w:szCs w:val="32"/>
          <w:highlight w:val="none"/>
        </w:rPr>
      </w:pPr>
      <w:r>
        <w:rPr>
          <w:rFonts w:hint="eastAsia" w:ascii="仿宋" w:hAnsi="仿宋" w:eastAsia="仿宋"/>
          <w:sz w:val="32"/>
          <w:szCs w:val="32"/>
          <w:highlight w:val="none"/>
        </w:rPr>
        <w:t>202</w:t>
      </w: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年乡镇社工站项目预算</w:t>
      </w:r>
      <w:r>
        <w:rPr>
          <w:rFonts w:hint="eastAsia" w:ascii="仿宋" w:hAnsi="仿宋" w:eastAsia="仿宋"/>
          <w:sz w:val="32"/>
          <w:szCs w:val="32"/>
          <w:highlight w:val="none"/>
          <w:lang w:val="en-US" w:eastAsia="zh-CN"/>
        </w:rPr>
        <w:t>152.88</w:t>
      </w:r>
      <w:r>
        <w:rPr>
          <w:rFonts w:hint="eastAsia" w:ascii="仿宋" w:hAnsi="仿宋" w:eastAsia="仿宋"/>
          <w:sz w:val="32"/>
          <w:szCs w:val="32"/>
          <w:highlight w:val="none"/>
        </w:rPr>
        <w:t>万元，其中中央、省级困难群众救助资金</w:t>
      </w:r>
      <w:r>
        <w:rPr>
          <w:rFonts w:hint="eastAsia" w:ascii="仿宋" w:hAnsi="仿宋" w:eastAsia="仿宋"/>
          <w:sz w:val="32"/>
          <w:szCs w:val="32"/>
          <w:highlight w:val="none"/>
          <w:lang w:val="en-US" w:eastAsia="zh-CN"/>
        </w:rPr>
        <w:t>94.08</w:t>
      </w:r>
      <w:r>
        <w:rPr>
          <w:rFonts w:hint="eastAsia" w:ascii="仿宋" w:hAnsi="仿宋" w:eastAsia="仿宋"/>
          <w:sz w:val="32"/>
          <w:szCs w:val="32"/>
          <w:highlight w:val="none"/>
        </w:rPr>
        <w:t>万元，县级配套</w:t>
      </w:r>
      <w:r>
        <w:rPr>
          <w:rFonts w:hint="eastAsia" w:ascii="仿宋" w:hAnsi="仿宋" w:eastAsia="仿宋"/>
          <w:sz w:val="32"/>
          <w:szCs w:val="32"/>
          <w:highlight w:val="none"/>
          <w:lang w:val="en-US" w:eastAsia="zh-CN"/>
        </w:rPr>
        <w:t>58.8</w:t>
      </w:r>
      <w:r>
        <w:rPr>
          <w:rFonts w:hint="eastAsia" w:ascii="仿宋" w:hAnsi="仿宋" w:eastAsia="仿宋"/>
          <w:sz w:val="32"/>
          <w:szCs w:val="32"/>
          <w:highlight w:val="none"/>
        </w:rPr>
        <w:t>万元。实际支出</w:t>
      </w:r>
      <w:r>
        <w:rPr>
          <w:rFonts w:hint="eastAsia" w:ascii="仿宋" w:hAnsi="仿宋" w:eastAsia="仿宋"/>
          <w:sz w:val="32"/>
          <w:szCs w:val="32"/>
          <w:highlight w:val="none"/>
          <w:lang w:val="en-US" w:eastAsia="zh-CN"/>
        </w:rPr>
        <w:t>152.88</w:t>
      </w:r>
      <w:r>
        <w:rPr>
          <w:rFonts w:hint="eastAsia" w:ascii="仿宋" w:hAnsi="仿宋" w:eastAsia="仿宋"/>
          <w:sz w:val="32"/>
          <w:szCs w:val="32"/>
          <w:highlight w:val="none"/>
        </w:rPr>
        <w:t>万元。</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Times New Roman"/>
          <w:b/>
          <w:bCs/>
          <w:kern w:val="0"/>
          <w:sz w:val="32"/>
          <w:szCs w:val="32"/>
          <w:highlight w:val="none"/>
        </w:rPr>
      </w:pPr>
      <w:r>
        <w:rPr>
          <w:rFonts w:hint="eastAsia" w:ascii="仿宋" w:hAnsi="仿宋" w:eastAsia="仿宋" w:cs="Times New Roman"/>
          <w:b/>
          <w:bCs/>
          <w:kern w:val="0"/>
          <w:sz w:val="32"/>
          <w:szCs w:val="32"/>
          <w:highlight w:val="none"/>
        </w:rPr>
        <w:t>（二）项目绩效目标</w:t>
      </w:r>
    </w:p>
    <w:p>
      <w:pPr>
        <w:keepNext w:val="0"/>
        <w:keepLines w:val="0"/>
        <w:pageBreakBefore w:val="0"/>
        <w:shd w:val="clear" w:color="auto" w:fill="FFFFFF"/>
        <w:kinsoku/>
        <w:wordWrap/>
        <w:overflowPunct/>
        <w:topLinePunct w:val="0"/>
        <w:bidi w:val="0"/>
        <w:spacing w:line="560" w:lineRule="exact"/>
        <w:ind w:firstLine="643" w:firstLineChars="200"/>
        <w:jc w:val="left"/>
        <w:textAlignment w:val="auto"/>
        <w:rPr>
          <w:rFonts w:ascii="仿宋" w:hAnsi="仿宋" w:eastAsia="仿宋" w:cs="Times New Roman"/>
          <w:b/>
          <w:kern w:val="0"/>
          <w:sz w:val="32"/>
          <w:szCs w:val="32"/>
          <w:highlight w:val="none"/>
        </w:rPr>
      </w:pPr>
      <w:r>
        <w:rPr>
          <w:rFonts w:hint="eastAsia" w:ascii="仿宋" w:hAnsi="仿宋" w:eastAsia="仿宋" w:cs="Times New Roman"/>
          <w:b/>
          <w:kern w:val="0"/>
          <w:sz w:val="32"/>
          <w:szCs w:val="32"/>
          <w:highlight w:val="none"/>
        </w:rPr>
        <w:t>1.总体目标</w:t>
      </w:r>
    </w:p>
    <w:p>
      <w:pPr>
        <w:keepNext w:val="0"/>
        <w:keepLines w:val="0"/>
        <w:pageBreakBefore w:val="0"/>
        <w:shd w:val="clear" w:color="auto" w:fill="FFFFFF"/>
        <w:kinsoku/>
        <w:wordWrap/>
        <w:overflowPunct/>
        <w:topLinePunct w:val="0"/>
        <w:bidi w:val="0"/>
        <w:spacing w:line="560" w:lineRule="exact"/>
        <w:ind w:firstLine="640" w:firstLineChars="200"/>
        <w:jc w:val="left"/>
        <w:textAlignment w:val="auto"/>
        <w:rPr>
          <w:rFonts w:ascii="仿宋" w:hAnsi="仿宋" w:eastAsia="仿宋" w:cs="方正仿宋简体"/>
          <w:kern w:val="0"/>
          <w:sz w:val="32"/>
          <w:szCs w:val="32"/>
          <w:highlight w:val="none"/>
        </w:rPr>
      </w:pPr>
      <w:r>
        <w:rPr>
          <w:rFonts w:hint="eastAsia" w:ascii="仿宋" w:hAnsi="仿宋" w:eastAsia="仿宋" w:cs="Times New Roman"/>
          <w:kern w:val="0"/>
          <w:sz w:val="32"/>
          <w:szCs w:val="32"/>
          <w:highlight w:val="none"/>
        </w:rPr>
        <w:t xml:space="preserve">保障11个乡镇社工站及1个社工总站的正常运行，以“省统筹、市指导、县为主、乡配合”为支撑体系，社工以“民政+社工+社会组织+志愿者”服务模式在社会救助领域、农村留守儿童关爱保护领域、养老服务领域以及社区建设领域开展社会工作专业服务。 </w:t>
      </w:r>
      <w:r>
        <w:rPr>
          <w:rFonts w:hint="eastAsia" w:ascii="仿宋" w:hAnsi="仿宋" w:eastAsia="仿宋" w:cs="方正仿宋简体"/>
          <w:kern w:val="0"/>
          <w:sz w:val="32"/>
          <w:szCs w:val="32"/>
          <w:highlight w:val="none"/>
        </w:rPr>
        <w:t xml:space="preserve">    </w:t>
      </w:r>
    </w:p>
    <w:p>
      <w:pPr>
        <w:keepNext w:val="0"/>
        <w:keepLines w:val="0"/>
        <w:pageBreakBefore w:val="0"/>
        <w:shd w:val="clear" w:color="auto" w:fill="FFFFFF"/>
        <w:kinsoku/>
        <w:wordWrap/>
        <w:overflowPunct/>
        <w:topLinePunct w:val="0"/>
        <w:bidi w:val="0"/>
        <w:spacing w:line="560" w:lineRule="exact"/>
        <w:ind w:firstLine="643" w:firstLineChars="200"/>
        <w:jc w:val="left"/>
        <w:textAlignment w:val="auto"/>
        <w:rPr>
          <w:rFonts w:ascii="仿宋" w:hAnsi="仿宋" w:eastAsia="仿宋" w:cs="Times New Roman"/>
          <w:b/>
          <w:kern w:val="0"/>
          <w:sz w:val="32"/>
          <w:szCs w:val="32"/>
          <w:highlight w:val="none"/>
        </w:rPr>
      </w:pPr>
      <w:r>
        <w:rPr>
          <w:rFonts w:hint="eastAsia" w:ascii="仿宋" w:hAnsi="仿宋" w:eastAsia="仿宋" w:cs="Times New Roman"/>
          <w:b/>
          <w:kern w:val="0"/>
          <w:sz w:val="32"/>
          <w:szCs w:val="32"/>
          <w:highlight w:val="none"/>
        </w:rPr>
        <w:t>2.阶段性目标</w:t>
      </w:r>
    </w:p>
    <w:p>
      <w:pPr>
        <w:keepNext w:val="0"/>
        <w:keepLines w:val="0"/>
        <w:pageBreakBefore w:val="0"/>
        <w:shd w:val="clear" w:color="auto" w:fill="FFFFFF"/>
        <w:kinsoku/>
        <w:wordWrap/>
        <w:overflowPunct/>
        <w:topLinePunct w:val="0"/>
        <w:bidi w:val="0"/>
        <w:spacing w:line="560" w:lineRule="exact"/>
        <w:ind w:firstLine="640" w:firstLineChars="200"/>
        <w:jc w:val="both"/>
        <w:textAlignment w:val="auto"/>
        <w:rPr>
          <w:rFonts w:ascii="仿宋" w:hAnsi="仿宋" w:eastAsia="仿宋" w:cs="Times New Roman"/>
          <w:kern w:val="0"/>
          <w:sz w:val="32"/>
          <w:szCs w:val="32"/>
          <w:highlight w:val="none"/>
        </w:rPr>
      </w:pPr>
      <w:r>
        <w:rPr>
          <w:rFonts w:hint="eastAsia" w:ascii="仿宋" w:hAnsi="仿宋" w:eastAsia="仿宋" w:cs="Times New Roman"/>
          <w:kern w:val="0"/>
          <w:sz w:val="32"/>
          <w:szCs w:val="32"/>
          <w:highlight w:val="none"/>
        </w:rPr>
        <w:t>在乡镇挂牌成立村</w:t>
      </w:r>
      <w:r>
        <w:rPr>
          <w:rFonts w:hint="eastAsia" w:ascii="仿宋" w:hAnsi="仿宋" w:eastAsia="仿宋" w:cs="Times New Roman"/>
          <w:kern w:val="0"/>
          <w:sz w:val="32"/>
          <w:szCs w:val="32"/>
          <w:highlight w:val="none"/>
          <w:lang w:eastAsia="zh-CN"/>
        </w:rPr>
        <w:t>（</w:t>
      </w:r>
      <w:r>
        <w:rPr>
          <w:rFonts w:hint="eastAsia" w:ascii="仿宋" w:hAnsi="仿宋" w:eastAsia="仿宋" w:cs="Times New Roman"/>
          <w:kern w:val="0"/>
          <w:sz w:val="32"/>
          <w:szCs w:val="32"/>
          <w:highlight w:val="none"/>
        </w:rPr>
        <w:t>社区</w:t>
      </w:r>
      <w:r>
        <w:rPr>
          <w:rFonts w:hint="eastAsia" w:ascii="仿宋" w:hAnsi="仿宋" w:eastAsia="仿宋" w:cs="Times New Roman"/>
          <w:kern w:val="0"/>
          <w:sz w:val="32"/>
          <w:szCs w:val="32"/>
          <w:highlight w:val="none"/>
          <w:lang w:eastAsia="zh-CN"/>
        </w:rPr>
        <w:t>）</w:t>
      </w:r>
      <w:r>
        <w:rPr>
          <w:rFonts w:hint="eastAsia" w:ascii="仿宋" w:hAnsi="仿宋" w:eastAsia="仿宋" w:cs="Times New Roman"/>
          <w:kern w:val="0"/>
          <w:sz w:val="32"/>
          <w:szCs w:val="32"/>
          <w:highlight w:val="none"/>
        </w:rPr>
        <w:t>社工室不少于</w:t>
      </w:r>
      <w:r>
        <w:rPr>
          <w:rFonts w:hint="eastAsia" w:ascii="仿宋" w:hAnsi="仿宋" w:eastAsia="仿宋" w:cs="Times New Roman"/>
          <w:kern w:val="0"/>
          <w:sz w:val="32"/>
          <w:szCs w:val="32"/>
          <w:highlight w:val="none"/>
          <w:lang w:val="en-US" w:eastAsia="zh-CN"/>
        </w:rPr>
        <w:t>62</w:t>
      </w:r>
      <w:r>
        <w:rPr>
          <w:rFonts w:hint="eastAsia" w:ascii="仿宋" w:hAnsi="仿宋" w:eastAsia="仿宋" w:cs="Times New Roman"/>
          <w:kern w:val="0"/>
          <w:sz w:val="32"/>
          <w:szCs w:val="32"/>
          <w:highlight w:val="none"/>
        </w:rPr>
        <w:t>个。创建并申报五星级社工站不少于</w:t>
      </w:r>
      <w:r>
        <w:rPr>
          <w:rFonts w:hint="eastAsia" w:ascii="仿宋" w:hAnsi="仿宋" w:eastAsia="仿宋" w:cs="Times New Roman"/>
          <w:kern w:val="0"/>
          <w:sz w:val="32"/>
          <w:szCs w:val="32"/>
          <w:highlight w:val="none"/>
          <w:lang w:val="en-US" w:eastAsia="zh-CN"/>
        </w:rPr>
        <w:t>4</w:t>
      </w:r>
      <w:r>
        <w:rPr>
          <w:rFonts w:hint="eastAsia" w:ascii="仿宋" w:hAnsi="仿宋" w:eastAsia="仿宋" w:cs="Times New Roman"/>
          <w:kern w:val="0"/>
          <w:sz w:val="32"/>
          <w:szCs w:val="32"/>
          <w:highlight w:val="none"/>
        </w:rPr>
        <w:t>个</w:t>
      </w:r>
      <w:r>
        <w:rPr>
          <w:rFonts w:hint="eastAsia" w:ascii="仿宋" w:hAnsi="仿宋" w:eastAsia="仿宋" w:cs="Times New Roman"/>
          <w:kern w:val="0"/>
          <w:sz w:val="32"/>
          <w:szCs w:val="32"/>
          <w:highlight w:val="none"/>
          <w:lang w:eastAsia="zh-CN"/>
        </w:rPr>
        <w:t>；</w:t>
      </w:r>
      <w:r>
        <w:rPr>
          <w:rFonts w:hint="eastAsia" w:ascii="仿宋" w:hAnsi="仿宋" w:eastAsia="仿宋" w:cs="仿宋"/>
          <w:color w:val="auto"/>
          <w:kern w:val="2"/>
          <w:sz w:val="30"/>
          <w:szCs w:val="30"/>
          <w:highlight w:val="none"/>
          <w:vertAlign w:val="baseline"/>
          <w:lang w:val="en-US" w:eastAsia="zh-CN" w:bidi="ar-SA"/>
        </w:rPr>
        <w:t>“四星级”乡镇社工站2个。</w:t>
      </w:r>
      <w:r>
        <w:rPr>
          <w:rFonts w:hint="eastAsia" w:ascii="仿宋" w:hAnsi="仿宋" w:eastAsia="仿宋" w:cs="Times New Roman"/>
          <w:kern w:val="0"/>
          <w:sz w:val="32"/>
          <w:szCs w:val="32"/>
          <w:highlight w:val="none"/>
        </w:rPr>
        <w:t>成立社工行业党支部，加强党支部对基层社工站的引领作用。宣传动员组织社工人员及公益行业工作人员报考社工证，增强新晃社工人才队伍建设。新晃县乡镇社工站人员持证率达到</w:t>
      </w:r>
      <w:r>
        <w:rPr>
          <w:rFonts w:hint="eastAsia" w:ascii="仿宋" w:hAnsi="仿宋" w:eastAsia="仿宋" w:cs="Times New Roman"/>
          <w:kern w:val="0"/>
          <w:sz w:val="32"/>
          <w:szCs w:val="32"/>
          <w:highlight w:val="none"/>
          <w:lang w:val="en-US" w:eastAsia="zh-CN"/>
        </w:rPr>
        <w:t>80</w:t>
      </w:r>
      <w:r>
        <w:rPr>
          <w:rFonts w:hint="eastAsia" w:ascii="仿宋" w:hAnsi="仿宋" w:eastAsia="仿宋" w:cs="Times New Roman"/>
          <w:kern w:val="0"/>
          <w:sz w:val="32"/>
          <w:szCs w:val="32"/>
          <w:highlight w:val="none"/>
        </w:rPr>
        <w:t>%</w:t>
      </w:r>
      <w:r>
        <w:rPr>
          <w:rFonts w:hint="eastAsia" w:ascii="仿宋" w:hAnsi="仿宋" w:eastAsia="仿宋" w:cs="Times New Roman"/>
          <w:kern w:val="0"/>
          <w:sz w:val="32"/>
          <w:szCs w:val="32"/>
          <w:highlight w:val="none"/>
          <w:lang w:eastAsia="zh-CN"/>
        </w:rPr>
        <w:t>以上</w:t>
      </w:r>
      <w:r>
        <w:rPr>
          <w:rFonts w:hint="eastAsia" w:ascii="仿宋" w:hAnsi="仿宋" w:eastAsia="仿宋" w:cs="Times New Roman"/>
          <w:kern w:val="0"/>
          <w:sz w:val="32"/>
          <w:szCs w:val="32"/>
          <w:highlight w:val="none"/>
        </w:rPr>
        <w:t>。</w:t>
      </w:r>
    </w:p>
    <w:p>
      <w:pPr>
        <w:keepNext w:val="0"/>
        <w:keepLines w:val="0"/>
        <w:pageBreakBefore w:val="0"/>
        <w:shd w:val="clear" w:color="auto" w:fill="FFFFFF"/>
        <w:kinsoku/>
        <w:wordWrap/>
        <w:overflowPunct/>
        <w:topLinePunct w:val="0"/>
        <w:bidi w:val="0"/>
        <w:spacing w:line="560" w:lineRule="exact"/>
        <w:ind w:firstLine="640" w:firstLineChars="200"/>
        <w:jc w:val="left"/>
        <w:textAlignment w:val="auto"/>
        <w:rPr>
          <w:rFonts w:ascii="黑体" w:hAnsi="黑体" w:eastAsia="黑体" w:cs="Times New Roman"/>
          <w:kern w:val="0"/>
          <w:sz w:val="32"/>
          <w:szCs w:val="32"/>
          <w:highlight w:val="none"/>
        </w:rPr>
      </w:pPr>
      <w:r>
        <w:rPr>
          <w:rFonts w:hint="eastAsia" w:ascii="黑体" w:hAnsi="黑体" w:eastAsia="黑体" w:cs="Times New Roman"/>
          <w:kern w:val="0"/>
          <w:sz w:val="32"/>
          <w:szCs w:val="32"/>
          <w:highlight w:val="none"/>
        </w:rPr>
        <w:t>二、绩效评价工作开展情况</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Times New Roman"/>
          <w:b/>
          <w:bCs/>
          <w:kern w:val="0"/>
          <w:sz w:val="32"/>
          <w:szCs w:val="32"/>
          <w:highlight w:val="none"/>
        </w:rPr>
      </w:pPr>
      <w:r>
        <w:rPr>
          <w:rFonts w:hint="eastAsia" w:ascii="仿宋" w:hAnsi="仿宋" w:eastAsia="仿宋" w:cs="Times New Roman"/>
          <w:b/>
          <w:bCs/>
          <w:kern w:val="0"/>
          <w:sz w:val="32"/>
          <w:szCs w:val="32"/>
          <w:highlight w:val="none"/>
        </w:rPr>
        <w:t>（一）绩效评价目的、对象和范围</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Times New Roman"/>
          <w:kern w:val="0"/>
          <w:sz w:val="32"/>
          <w:szCs w:val="32"/>
          <w:highlight w:val="none"/>
        </w:rPr>
      </w:pPr>
      <w:r>
        <w:rPr>
          <w:rFonts w:hint="eastAsia" w:ascii="仿宋" w:hAnsi="仿宋" w:eastAsia="仿宋" w:cs="Times New Roman"/>
          <w:kern w:val="0"/>
          <w:sz w:val="32"/>
          <w:szCs w:val="32"/>
          <w:highlight w:val="none"/>
        </w:rPr>
        <w:t>1.加强和规范社会工作服务站建设项目管理，提高乡镇社会工作服务站建设项目资金</w:t>
      </w:r>
      <w:r>
        <w:rPr>
          <w:rFonts w:hint="eastAsia" w:ascii="仿宋" w:hAnsi="仿宋" w:eastAsia="仿宋"/>
          <w:sz w:val="32"/>
          <w:szCs w:val="32"/>
          <w:highlight w:val="none"/>
          <w:lang w:val="en-US" w:eastAsia="zh-CN"/>
        </w:rPr>
        <w:t>152.88</w:t>
      </w:r>
      <w:r>
        <w:rPr>
          <w:rFonts w:hint="eastAsia" w:ascii="仿宋" w:hAnsi="仿宋" w:eastAsia="仿宋"/>
          <w:sz w:val="32"/>
          <w:szCs w:val="32"/>
          <w:highlight w:val="none"/>
        </w:rPr>
        <w:t>万元</w:t>
      </w:r>
      <w:r>
        <w:rPr>
          <w:rFonts w:hint="eastAsia" w:ascii="仿宋" w:hAnsi="仿宋" w:eastAsia="仿宋" w:cs="Times New Roman"/>
          <w:kern w:val="0"/>
          <w:sz w:val="32"/>
          <w:szCs w:val="32"/>
          <w:highlight w:val="none"/>
        </w:rPr>
        <w:t>使用效益。</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Times New Roman"/>
          <w:kern w:val="0"/>
          <w:sz w:val="32"/>
          <w:szCs w:val="32"/>
          <w:highlight w:val="none"/>
        </w:rPr>
      </w:pPr>
      <w:r>
        <w:rPr>
          <w:rFonts w:hint="eastAsia" w:ascii="仿宋" w:hAnsi="仿宋" w:eastAsia="仿宋" w:cs="Times New Roman"/>
          <w:kern w:val="0"/>
          <w:sz w:val="32"/>
          <w:szCs w:val="32"/>
          <w:highlight w:val="none"/>
        </w:rPr>
        <w:t>2.建立健全绩效评价机制，更好实现新晃县乡镇社会工作服务站建设项目绩效目标。</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Times New Roman"/>
          <w:b/>
          <w:bCs/>
          <w:kern w:val="0"/>
          <w:sz w:val="32"/>
          <w:szCs w:val="32"/>
          <w:highlight w:val="none"/>
        </w:rPr>
      </w:pPr>
      <w:r>
        <w:rPr>
          <w:rFonts w:hint="eastAsia" w:ascii="仿宋" w:hAnsi="仿宋" w:eastAsia="仿宋" w:cs="Times New Roman"/>
          <w:b/>
          <w:bCs/>
          <w:kern w:val="0"/>
          <w:sz w:val="32"/>
          <w:szCs w:val="32"/>
          <w:highlight w:val="none"/>
        </w:rPr>
        <w:t>（二）绩效评价原则、评价方法</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宋体"/>
          <w:kern w:val="0"/>
          <w:sz w:val="32"/>
          <w:szCs w:val="32"/>
          <w:highlight w:val="none"/>
        </w:rPr>
      </w:pPr>
      <w:r>
        <w:rPr>
          <w:rFonts w:hint="eastAsia" w:ascii="仿宋" w:hAnsi="仿宋" w:eastAsia="仿宋" w:cs="Times New Roman"/>
          <w:kern w:val="0"/>
          <w:sz w:val="32"/>
          <w:szCs w:val="32"/>
          <w:highlight w:val="none"/>
        </w:rPr>
        <w:t>1.绩效评价原则：目标导向、依法评价；科学规范、分级实施；客观公正、公开透明。</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宋体"/>
          <w:kern w:val="0"/>
          <w:sz w:val="32"/>
          <w:szCs w:val="32"/>
          <w:highlight w:val="none"/>
        </w:rPr>
      </w:pPr>
      <w:r>
        <w:rPr>
          <w:rFonts w:hint="eastAsia" w:ascii="仿宋" w:hAnsi="仿宋" w:eastAsia="仿宋" w:cs="Times New Roman"/>
          <w:kern w:val="0"/>
          <w:sz w:val="32"/>
          <w:szCs w:val="32"/>
          <w:highlight w:val="none"/>
        </w:rPr>
        <w:t>2.评价方法：因素分析法。</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Times New Roman"/>
          <w:b/>
          <w:bCs/>
          <w:kern w:val="0"/>
          <w:sz w:val="32"/>
          <w:szCs w:val="32"/>
          <w:highlight w:val="none"/>
        </w:rPr>
      </w:pPr>
      <w:r>
        <w:rPr>
          <w:rFonts w:hint="eastAsia" w:ascii="仿宋" w:hAnsi="仿宋" w:eastAsia="仿宋" w:cs="Times New Roman"/>
          <w:b/>
          <w:bCs/>
          <w:kern w:val="0"/>
          <w:sz w:val="32"/>
          <w:szCs w:val="32"/>
          <w:highlight w:val="none"/>
        </w:rPr>
        <w:t>（三）绩效评价工作过程</w:t>
      </w:r>
    </w:p>
    <w:p>
      <w:pPr>
        <w:keepNext w:val="0"/>
        <w:keepLines w:val="0"/>
        <w:pageBreakBefore w:val="0"/>
        <w:shd w:val="clear" w:color="auto" w:fill="FFFFFF"/>
        <w:kinsoku/>
        <w:wordWrap/>
        <w:overflowPunct/>
        <w:topLinePunct w:val="0"/>
        <w:bidi w:val="0"/>
        <w:spacing w:line="560" w:lineRule="exact"/>
        <w:ind w:firstLine="795"/>
        <w:jc w:val="both"/>
        <w:textAlignment w:val="auto"/>
        <w:rPr>
          <w:rFonts w:ascii="仿宋" w:hAnsi="仿宋" w:eastAsia="仿宋" w:cs="宋体"/>
          <w:kern w:val="0"/>
          <w:sz w:val="32"/>
          <w:szCs w:val="32"/>
          <w:highlight w:val="none"/>
        </w:rPr>
      </w:pPr>
      <w:r>
        <w:rPr>
          <w:rFonts w:hint="eastAsia" w:ascii="仿宋" w:hAnsi="仿宋" w:eastAsia="仿宋" w:cs="Times New Roman"/>
          <w:kern w:val="0"/>
          <w:sz w:val="32"/>
          <w:szCs w:val="32"/>
          <w:highlight w:val="none"/>
        </w:rPr>
        <w:t>通过过程评估和成果评估的方法每年集中开展2次评估，年中和年末各一次，202</w:t>
      </w:r>
      <w:r>
        <w:rPr>
          <w:rFonts w:hint="eastAsia" w:ascii="仿宋" w:hAnsi="仿宋" w:eastAsia="仿宋" w:cs="Times New Roman"/>
          <w:kern w:val="0"/>
          <w:sz w:val="32"/>
          <w:szCs w:val="32"/>
          <w:highlight w:val="none"/>
          <w:lang w:val="en-US" w:eastAsia="zh-CN"/>
        </w:rPr>
        <w:t>3</w:t>
      </w:r>
      <w:r>
        <w:rPr>
          <w:rFonts w:hint="eastAsia" w:ascii="仿宋" w:hAnsi="仿宋" w:eastAsia="仿宋" w:cs="Times New Roman"/>
          <w:kern w:val="0"/>
          <w:sz w:val="32"/>
          <w:szCs w:val="32"/>
          <w:highlight w:val="none"/>
        </w:rPr>
        <w:t>年</w:t>
      </w:r>
      <w:r>
        <w:rPr>
          <w:rFonts w:hint="eastAsia" w:ascii="仿宋" w:hAnsi="仿宋" w:eastAsia="仿宋" w:cs="Times New Roman"/>
          <w:kern w:val="0"/>
          <w:sz w:val="32"/>
          <w:szCs w:val="32"/>
          <w:highlight w:val="none"/>
          <w:lang w:val="en-US" w:eastAsia="zh-CN"/>
        </w:rPr>
        <w:t>5</w:t>
      </w:r>
      <w:r>
        <w:rPr>
          <w:rFonts w:hint="eastAsia" w:ascii="仿宋" w:hAnsi="仿宋" w:eastAsia="仿宋" w:cs="Times New Roman"/>
          <w:kern w:val="0"/>
          <w:sz w:val="32"/>
          <w:szCs w:val="32"/>
          <w:highlight w:val="none"/>
        </w:rPr>
        <w:t>月、</w:t>
      </w:r>
      <w:r>
        <w:rPr>
          <w:rFonts w:hint="eastAsia" w:ascii="仿宋" w:hAnsi="仿宋" w:eastAsia="仿宋" w:cs="Times New Roman"/>
          <w:kern w:val="0"/>
          <w:sz w:val="32"/>
          <w:szCs w:val="32"/>
          <w:highlight w:val="none"/>
          <w:lang w:val="en-US" w:eastAsia="zh-CN"/>
        </w:rPr>
        <w:t>11</w:t>
      </w:r>
      <w:r>
        <w:rPr>
          <w:rFonts w:hint="eastAsia" w:ascii="仿宋" w:hAnsi="仿宋" w:eastAsia="仿宋" w:cs="Times New Roman"/>
          <w:kern w:val="0"/>
          <w:sz w:val="32"/>
          <w:szCs w:val="32"/>
          <w:highlight w:val="none"/>
        </w:rPr>
        <w:t>月分别组织开展乡镇社工站中期、期末工作评估会，民政局社会救助股、慈善股、养老服务与儿童福利股分管领导及股室负责人在评估会现场实地核查、查询填报数据的真实性、准确性、完整性，再根据设定的评价指标、评价方法，并辅以问卷调查、工作座谈等方式进行定量和定性分析，得出最终结果。</w:t>
      </w:r>
    </w:p>
    <w:p>
      <w:pPr>
        <w:keepNext w:val="0"/>
        <w:keepLines w:val="0"/>
        <w:pageBreakBefore w:val="0"/>
        <w:shd w:val="clear" w:color="auto" w:fill="FFFFFF"/>
        <w:kinsoku/>
        <w:wordWrap/>
        <w:overflowPunct/>
        <w:topLinePunct w:val="0"/>
        <w:bidi w:val="0"/>
        <w:spacing w:line="560" w:lineRule="exact"/>
        <w:ind w:firstLine="640" w:firstLineChars="200"/>
        <w:jc w:val="left"/>
        <w:textAlignment w:val="auto"/>
        <w:rPr>
          <w:rFonts w:ascii="黑体" w:hAnsi="黑体" w:eastAsia="黑体" w:cs="宋体"/>
          <w:kern w:val="0"/>
          <w:sz w:val="32"/>
          <w:szCs w:val="32"/>
          <w:highlight w:val="none"/>
        </w:rPr>
      </w:pPr>
      <w:r>
        <w:rPr>
          <w:rFonts w:hint="eastAsia" w:ascii="黑体" w:hAnsi="黑体" w:eastAsia="黑体" w:cs="Times New Roman"/>
          <w:kern w:val="0"/>
          <w:sz w:val="32"/>
          <w:szCs w:val="32"/>
          <w:highlight w:val="none"/>
        </w:rPr>
        <w:t>三、绩效评价指标分析</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Times New Roman"/>
          <w:b/>
          <w:bCs/>
          <w:kern w:val="0"/>
          <w:sz w:val="32"/>
          <w:szCs w:val="32"/>
          <w:highlight w:val="none"/>
        </w:rPr>
      </w:pPr>
      <w:r>
        <w:rPr>
          <w:rFonts w:hint="eastAsia" w:ascii="仿宋" w:hAnsi="仿宋" w:eastAsia="仿宋" w:cs="Times New Roman"/>
          <w:b/>
          <w:bCs/>
          <w:kern w:val="0"/>
          <w:sz w:val="32"/>
          <w:szCs w:val="32"/>
          <w:highlight w:val="none"/>
        </w:rPr>
        <w:t>（一）项目决策情况</w:t>
      </w:r>
    </w:p>
    <w:p>
      <w:pPr>
        <w:keepNext w:val="0"/>
        <w:keepLines w:val="0"/>
        <w:pageBreakBefore w:val="0"/>
        <w:shd w:val="clear" w:color="auto" w:fill="FFFFFF"/>
        <w:kinsoku/>
        <w:wordWrap/>
        <w:overflowPunct/>
        <w:topLinePunct w:val="0"/>
        <w:bidi w:val="0"/>
        <w:spacing w:line="560" w:lineRule="exact"/>
        <w:ind w:firstLine="645"/>
        <w:textAlignment w:val="auto"/>
        <w:rPr>
          <w:rFonts w:ascii="仿宋" w:hAnsi="仿宋" w:eastAsia="仿宋" w:cs="Times New Roman"/>
          <w:kern w:val="0"/>
          <w:sz w:val="32"/>
          <w:szCs w:val="32"/>
          <w:highlight w:val="none"/>
        </w:rPr>
      </w:pPr>
      <w:r>
        <w:rPr>
          <w:rFonts w:hint="eastAsia" w:ascii="仿宋" w:hAnsi="仿宋" w:eastAsia="仿宋" w:cs="Times New Roman"/>
          <w:kern w:val="0"/>
          <w:sz w:val="32"/>
          <w:szCs w:val="32"/>
          <w:highlight w:val="none"/>
        </w:rPr>
        <w:t>乡镇社工站</w:t>
      </w:r>
      <w:r>
        <w:rPr>
          <w:rFonts w:hint="eastAsia" w:ascii="仿宋" w:hAnsi="仿宋" w:eastAsia="仿宋" w:cs="Times New Roman"/>
          <w:kern w:val="0"/>
          <w:sz w:val="32"/>
          <w:szCs w:val="32"/>
          <w:highlight w:val="none"/>
          <w:lang w:eastAsia="zh-CN"/>
        </w:rPr>
        <w:t>项目是</w:t>
      </w:r>
      <w:r>
        <w:rPr>
          <w:rFonts w:hint="eastAsia" w:ascii="仿宋" w:hAnsi="仿宋" w:eastAsia="仿宋" w:cs="Times New Roman"/>
          <w:kern w:val="0"/>
          <w:sz w:val="32"/>
          <w:szCs w:val="32"/>
          <w:highlight w:val="none"/>
        </w:rPr>
        <w:t>根据湖南省民政厅、省委组织部、省财政厅、省人社厅等部门《关于政府购买服务加强基层民政经办服务能力的实施意见》</w:t>
      </w:r>
      <w:r>
        <w:rPr>
          <w:rFonts w:ascii="仿宋" w:hAnsi="仿宋" w:eastAsia="仿宋" w:cs="Times New Roman"/>
          <w:kern w:val="0"/>
          <w:sz w:val="32"/>
          <w:szCs w:val="32"/>
          <w:highlight w:val="none"/>
        </w:rPr>
        <w:t>(</w:t>
      </w:r>
      <w:r>
        <w:rPr>
          <w:rFonts w:hint="eastAsia" w:ascii="仿宋" w:hAnsi="仿宋" w:eastAsia="仿宋" w:cs="Times New Roman"/>
          <w:kern w:val="0"/>
          <w:sz w:val="32"/>
          <w:szCs w:val="32"/>
          <w:highlight w:val="none"/>
        </w:rPr>
        <w:t>湘民发</w:t>
      </w:r>
      <w:r>
        <w:rPr>
          <w:rFonts w:hint="eastAsia" w:ascii="仿宋" w:hAnsi="仿宋" w:eastAsia="仿宋" w:cs="宋体"/>
          <w:kern w:val="0"/>
          <w:sz w:val="32"/>
          <w:szCs w:val="32"/>
          <w:highlight w:val="none"/>
        </w:rPr>
        <w:t>〔</w:t>
      </w:r>
      <w:r>
        <w:rPr>
          <w:rFonts w:ascii="仿宋" w:hAnsi="仿宋" w:eastAsia="仿宋" w:cs="Times New Roman"/>
          <w:kern w:val="0"/>
          <w:sz w:val="32"/>
          <w:szCs w:val="32"/>
          <w:highlight w:val="none"/>
        </w:rPr>
        <w:t>2018</w:t>
      </w:r>
      <w:r>
        <w:rPr>
          <w:rFonts w:hint="eastAsia" w:ascii="仿宋" w:hAnsi="仿宋" w:eastAsia="仿宋" w:cs="宋体"/>
          <w:kern w:val="0"/>
          <w:sz w:val="32"/>
          <w:szCs w:val="32"/>
          <w:highlight w:val="none"/>
        </w:rPr>
        <w:t>〕</w:t>
      </w:r>
      <w:r>
        <w:rPr>
          <w:rFonts w:ascii="仿宋" w:hAnsi="仿宋" w:eastAsia="仿宋" w:cs="Times New Roman"/>
          <w:kern w:val="0"/>
          <w:sz w:val="32"/>
          <w:szCs w:val="32"/>
          <w:highlight w:val="none"/>
        </w:rPr>
        <w:t>10</w:t>
      </w:r>
      <w:r>
        <w:rPr>
          <w:rFonts w:hint="eastAsia" w:ascii="仿宋" w:hAnsi="仿宋" w:eastAsia="仿宋" w:cs="Times New Roman"/>
          <w:kern w:val="0"/>
          <w:sz w:val="32"/>
          <w:szCs w:val="32"/>
          <w:highlight w:val="none"/>
        </w:rPr>
        <w:t>号</w:t>
      </w:r>
      <w:r>
        <w:rPr>
          <w:rFonts w:ascii="仿宋" w:hAnsi="仿宋" w:eastAsia="仿宋" w:cs="Times New Roman"/>
          <w:kern w:val="0"/>
          <w:sz w:val="32"/>
          <w:szCs w:val="32"/>
          <w:highlight w:val="none"/>
        </w:rPr>
        <w:t>)</w:t>
      </w:r>
      <w:r>
        <w:rPr>
          <w:rFonts w:hint="eastAsia" w:ascii="仿宋" w:hAnsi="仿宋" w:eastAsia="仿宋" w:cs="Times New Roman"/>
          <w:kern w:val="0"/>
          <w:sz w:val="32"/>
          <w:szCs w:val="32"/>
          <w:highlight w:val="none"/>
          <w:lang w:eastAsia="zh-CN"/>
        </w:rPr>
        <w:t>、</w:t>
      </w:r>
      <w:r>
        <w:rPr>
          <w:rFonts w:hint="eastAsia" w:ascii="仿宋" w:hAnsi="仿宋" w:eastAsia="仿宋" w:cs="Times New Roman"/>
          <w:kern w:val="0"/>
          <w:sz w:val="32"/>
          <w:szCs w:val="32"/>
          <w:highlight w:val="none"/>
        </w:rPr>
        <w:t>《</w:t>
      </w:r>
      <w:r>
        <w:rPr>
          <w:rFonts w:hint="eastAsia" w:ascii="仿宋" w:hAnsi="仿宋" w:eastAsia="仿宋" w:cs="Times New Roman"/>
          <w:kern w:val="0"/>
          <w:sz w:val="32"/>
          <w:szCs w:val="32"/>
          <w:highlight w:val="none"/>
          <w:lang w:eastAsia="zh-CN"/>
        </w:rPr>
        <w:t>湖南</w:t>
      </w:r>
      <w:r>
        <w:rPr>
          <w:rFonts w:hint="eastAsia" w:ascii="仿宋" w:hAnsi="仿宋" w:eastAsia="仿宋" w:cs="Times New Roman"/>
          <w:kern w:val="0"/>
          <w:sz w:val="32"/>
          <w:szCs w:val="32"/>
          <w:highlight w:val="none"/>
        </w:rPr>
        <w:t>省民政厅关于印发湖南省乡镇</w:t>
      </w:r>
      <w:r>
        <w:rPr>
          <w:rFonts w:ascii="仿宋" w:hAnsi="仿宋" w:eastAsia="仿宋" w:cs="Times New Roman"/>
          <w:kern w:val="0"/>
          <w:sz w:val="32"/>
          <w:szCs w:val="32"/>
          <w:highlight w:val="none"/>
        </w:rPr>
        <w:t>(</w:t>
      </w:r>
      <w:r>
        <w:rPr>
          <w:rFonts w:hint="eastAsia" w:ascii="仿宋" w:hAnsi="仿宋" w:eastAsia="仿宋" w:cs="Times New Roman"/>
          <w:kern w:val="0"/>
          <w:sz w:val="32"/>
          <w:szCs w:val="32"/>
          <w:highlight w:val="none"/>
        </w:rPr>
        <w:t>街道</w:t>
      </w:r>
      <w:r>
        <w:rPr>
          <w:rFonts w:ascii="仿宋" w:hAnsi="仿宋" w:eastAsia="仿宋" w:cs="Times New Roman"/>
          <w:kern w:val="0"/>
          <w:sz w:val="32"/>
          <w:szCs w:val="32"/>
          <w:highlight w:val="none"/>
        </w:rPr>
        <w:t>)</w:t>
      </w:r>
      <w:r>
        <w:rPr>
          <w:rFonts w:hint="eastAsia" w:ascii="仿宋" w:hAnsi="仿宋" w:eastAsia="仿宋" w:cs="Times New Roman"/>
          <w:kern w:val="0"/>
          <w:sz w:val="32"/>
          <w:szCs w:val="32"/>
          <w:highlight w:val="none"/>
        </w:rPr>
        <w:t xml:space="preserve">社会工作服务站项目实施方案的通知》 </w:t>
      </w:r>
      <w:r>
        <w:rPr>
          <w:rFonts w:ascii="仿宋" w:hAnsi="仿宋" w:eastAsia="仿宋" w:cs="Times New Roman"/>
          <w:kern w:val="0"/>
          <w:sz w:val="32"/>
          <w:szCs w:val="32"/>
          <w:highlight w:val="none"/>
        </w:rPr>
        <w:t>(</w:t>
      </w:r>
      <w:r>
        <w:rPr>
          <w:rFonts w:hint="eastAsia" w:ascii="仿宋" w:hAnsi="仿宋" w:eastAsia="仿宋" w:cs="Times New Roman"/>
          <w:kern w:val="0"/>
          <w:sz w:val="32"/>
          <w:szCs w:val="32"/>
          <w:highlight w:val="none"/>
        </w:rPr>
        <w:t>湘民发</w:t>
      </w:r>
      <w:r>
        <w:rPr>
          <w:rFonts w:hint="eastAsia" w:ascii="仿宋" w:hAnsi="仿宋" w:eastAsia="仿宋" w:cs="宋体"/>
          <w:kern w:val="0"/>
          <w:sz w:val="32"/>
          <w:szCs w:val="32"/>
          <w:highlight w:val="none"/>
        </w:rPr>
        <w:t>〔</w:t>
      </w:r>
      <w:r>
        <w:rPr>
          <w:rFonts w:ascii="仿宋" w:hAnsi="仿宋" w:eastAsia="仿宋" w:cs="Times New Roman"/>
          <w:kern w:val="0"/>
          <w:sz w:val="32"/>
          <w:szCs w:val="32"/>
          <w:highlight w:val="none"/>
        </w:rPr>
        <w:t>2018</w:t>
      </w:r>
      <w:r>
        <w:rPr>
          <w:rFonts w:hint="eastAsia" w:ascii="仿宋" w:hAnsi="仿宋" w:eastAsia="仿宋" w:cs="宋体"/>
          <w:kern w:val="0"/>
          <w:sz w:val="32"/>
          <w:szCs w:val="32"/>
          <w:highlight w:val="none"/>
        </w:rPr>
        <w:t>〕</w:t>
      </w:r>
      <w:r>
        <w:rPr>
          <w:rFonts w:ascii="仿宋" w:hAnsi="仿宋" w:eastAsia="仿宋" w:cs="Times New Roman"/>
          <w:kern w:val="0"/>
          <w:sz w:val="32"/>
          <w:szCs w:val="32"/>
          <w:highlight w:val="none"/>
        </w:rPr>
        <w:t>16</w:t>
      </w:r>
      <w:r>
        <w:rPr>
          <w:rFonts w:hint="eastAsia" w:ascii="仿宋" w:hAnsi="仿宋" w:eastAsia="仿宋" w:cs="Times New Roman"/>
          <w:kern w:val="0"/>
          <w:sz w:val="32"/>
          <w:szCs w:val="32"/>
          <w:highlight w:val="none"/>
        </w:rPr>
        <w:t>号</w:t>
      </w:r>
      <w:r>
        <w:rPr>
          <w:rFonts w:ascii="仿宋" w:hAnsi="仿宋" w:eastAsia="仿宋" w:cs="Times New Roman"/>
          <w:kern w:val="0"/>
          <w:sz w:val="32"/>
          <w:szCs w:val="32"/>
          <w:highlight w:val="none"/>
        </w:rPr>
        <w:t>)</w:t>
      </w:r>
      <w:r>
        <w:rPr>
          <w:rFonts w:hint="eastAsia" w:ascii="仿宋" w:hAnsi="仿宋" w:eastAsia="仿宋" w:cs="Times New Roman"/>
          <w:kern w:val="0"/>
          <w:sz w:val="32"/>
          <w:szCs w:val="32"/>
          <w:highlight w:val="none"/>
        </w:rPr>
        <w:t>、《湖南省民政厅关于印发湖南省基层社会工作服务站项目三年行动方案（2021-2023年）</w:t>
      </w:r>
      <w:r>
        <w:rPr>
          <w:rFonts w:hint="eastAsia" w:ascii="仿宋" w:hAnsi="仿宋" w:eastAsia="仿宋" w:cs="Times New Roman"/>
          <w:kern w:val="0"/>
          <w:sz w:val="32"/>
          <w:szCs w:val="32"/>
          <w:highlight w:val="none"/>
          <w:lang w:eastAsia="zh-CN"/>
        </w:rPr>
        <w:t>的</w:t>
      </w:r>
      <w:r>
        <w:rPr>
          <w:rFonts w:hint="eastAsia" w:ascii="仿宋" w:hAnsi="仿宋" w:eastAsia="仿宋" w:cs="Times New Roman"/>
          <w:kern w:val="0"/>
          <w:sz w:val="32"/>
          <w:szCs w:val="32"/>
          <w:highlight w:val="none"/>
        </w:rPr>
        <w:t>通知》以及《湖南省民政厅办公室关于印发乡镇（街道）“星级”社工站评审指南的通知》（湘民办函〔2022〕2号）</w:t>
      </w:r>
      <w:r>
        <w:rPr>
          <w:rFonts w:hint="eastAsia" w:ascii="仿宋" w:hAnsi="仿宋" w:eastAsia="仿宋" w:cs="Times New Roman"/>
          <w:kern w:val="0"/>
          <w:sz w:val="32"/>
          <w:szCs w:val="32"/>
          <w:highlight w:val="none"/>
          <w:lang w:eastAsia="zh-CN"/>
        </w:rPr>
        <w:t>等</w:t>
      </w:r>
      <w:r>
        <w:rPr>
          <w:rFonts w:hint="eastAsia" w:ascii="仿宋" w:hAnsi="仿宋" w:eastAsia="仿宋" w:cs="Times New Roman"/>
          <w:kern w:val="0"/>
          <w:sz w:val="32"/>
          <w:szCs w:val="32"/>
          <w:highlight w:val="none"/>
        </w:rPr>
        <w:t>文件要求实施的。</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Times New Roman"/>
          <w:b/>
          <w:bCs/>
          <w:kern w:val="0"/>
          <w:sz w:val="32"/>
          <w:szCs w:val="32"/>
          <w:highlight w:val="none"/>
        </w:rPr>
      </w:pPr>
      <w:r>
        <w:rPr>
          <w:rFonts w:hint="eastAsia" w:ascii="仿宋" w:hAnsi="仿宋" w:eastAsia="仿宋" w:cs="Times New Roman"/>
          <w:b/>
          <w:bCs/>
          <w:kern w:val="0"/>
          <w:sz w:val="32"/>
          <w:szCs w:val="32"/>
          <w:highlight w:val="none"/>
        </w:rPr>
        <w:t>（二）项目过程情况</w:t>
      </w:r>
    </w:p>
    <w:p>
      <w:pPr>
        <w:keepNext w:val="0"/>
        <w:keepLines w:val="0"/>
        <w:pageBreakBefore w:val="0"/>
        <w:shd w:val="clear" w:color="auto" w:fill="FFFFFF"/>
        <w:kinsoku/>
        <w:wordWrap/>
        <w:overflowPunct/>
        <w:topLinePunct w:val="0"/>
        <w:bidi w:val="0"/>
        <w:spacing w:line="560" w:lineRule="exact"/>
        <w:ind w:firstLine="645"/>
        <w:textAlignment w:val="auto"/>
        <w:rPr>
          <w:rFonts w:ascii="仿宋" w:hAnsi="仿宋" w:eastAsia="仿宋" w:cs="Times New Roman"/>
          <w:kern w:val="0"/>
          <w:sz w:val="32"/>
          <w:szCs w:val="32"/>
          <w:highlight w:val="none"/>
        </w:rPr>
      </w:pPr>
      <w:r>
        <w:rPr>
          <w:rFonts w:hint="eastAsia" w:ascii="仿宋" w:hAnsi="仿宋" w:eastAsia="仿宋" w:cs="Times New Roman"/>
          <w:b/>
          <w:bCs/>
          <w:kern w:val="0"/>
          <w:sz w:val="32"/>
          <w:szCs w:val="32"/>
          <w:highlight w:val="none"/>
          <w:lang w:val="en-US" w:eastAsia="zh-CN"/>
        </w:rPr>
        <w:t>1.</w:t>
      </w:r>
      <w:r>
        <w:rPr>
          <w:rFonts w:hint="eastAsia" w:ascii="仿宋" w:hAnsi="仿宋" w:eastAsia="仿宋" w:cs="Times New Roman"/>
          <w:b/>
          <w:bCs/>
          <w:kern w:val="0"/>
          <w:sz w:val="32"/>
          <w:szCs w:val="32"/>
          <w:highlight w:val="none"/>
        </w:rPr>
        <w:t>前期筹备阶段</w:t>
      </w:r>
      <w:r>
        <w:rPr>
          <w:rFonts w:hint="eastAsia" w:ascii="仿宋" w:hAnsi="仿宋" w:eastAsia="仿宋" w:cs="Times New Roman"/>
          <w:b/>
          <w:bCs/>
          <w:kern w:val="0"/>
          <w:sz w:val="32"/>
          <w:szCs w:val="32"/>
          <w:highlight w:val="none"/>
          <w:lang w:eastAsia="zh-CN"/>
        </w:rPr>
        <w:t>。</w:t>
      </w:r>
      <w:r>
        <w:rPr>
          <w:rFonts w:hint="eastAsia" w:ascii="仿宋" w:hAnsi="仿宋" w:eastAsia="仿宋" w:cs="Times New Roman"/>
          <w:kern w:val="0"/>
          <w:sz w:val="32"/>
          <w:szCs w:val="32"/>
          <w:highlight w:val="none"/>
        </w:rPr>
        <w:t>一是需求调研，进一步调研重点服务人群的需求。二是根据调研情况与总项目计划书结合社工专业服务，制定详细、可行的各站点项目方案。</w:t>
      </w:r>
    </w:p>
    <w:p>
      <w:pPr>
        <w:keepNext w:val="0"/>
        <w:keepLines w:val="0"/>
        <w:pageBreakBefore w:val="0"/>
        <w:kinsoku/>
        <w:wordWrap/>
        <w:overflowPunct/>
        <w:topLinePunct w:val="0"/>
        <w:bidi w:val="0"/>
        <w:spacing w:line="560" w:lineRule="exact"/>
        <w:ind w:firstLine="643" w:firstLineChars="200"/>
        <w:jc w:val="left"/>
        <w:textAlignment w:val="auto"/>
        <w:rPr>
          <w:rFonts w:ascii="仿宋" w:hAnsi="仿宋" w:eastAsia="仿宋" w:cs="Times New Roman"/>
          <w:kern w:val="0"/>
          <w:sz w:val="32"/>
          <w:szCs w:val="32"/>
          <w:highlight w:val="none"/>
        </w:rPr>
      </w:pPr>
      <w:r>
        <w:rPr>
          <w:rFonts w:hint="eastAsia" w:ascii="仿宋" w:hAnsi="仿宋" w:eastAsia="仿宋" w:cs="Times New Roman"/>
          <w:b/>
          <w:bCs/>
          <w:kern w:val="0"/>
          <w:sz w:val="32"/>
          <w:szCs w:val="32"/>
          <w:highlight w:val="none"/>
          <w:lang w:val="en-US" w:eastAsia="zh-CN"/>
        </w:rPr>
        <w:t>2.</w:t>
      </w:r>
      <w:r>
        <w:rPr>
          <w:rFonts w:hint="eastAsia" w:ascii="仿宋" w:hAnsi="仿宋" w:eastAsia="仿宋" w:cs="Times New Roman"/>
          <w:b/>
          <w:bCs/>
          <w:kern w:val="0"/>
          <w:sz w:val="32"/>
          <w:szCs w:val="32"/>
          <w:highlight w:val="none"/>
        </w:rPr>
        <w:t>中期服务介入阶段</w:t>
      </w:r>
      <w:r>
        <w:rPr>
          <w:rFonts w:hint="eastAsia" w:ascii="仿宋" w:hAnsi="仿宋" w:eastAsia="仿宋" w:cs="Times New Roman"/>
          <w:b/>
          <w:bCs/>
          <w:kern w:val="0"/>
          <w:sz w:val="32"/>
          <w:szCs w:val="32"/>
          <w:highlight w:val="none"/>
          <w:lang w:eastAsia="zh-CN"/>
        </w:rPr>
        <w:t>。</w:t>
      </w:r>
      <w:r>
        <w:rPr>
          <w:rFonts w:hint="eastAsia" w:ascii="仿宋" w:hAnsi="仿宋" w:eastAsia="仿宋" w:cs="Times New Roman"/>
          <w:kern w:val="0"/>
          <w:sz w:val="32"/>
          <w:szCs w:val="32"/>
          <w:highlight w:val="none"/>
        </w:rPr>
        <w:t>主要是以总项目运营方案各乡镇子项目计划介入服务，全面跟进。各社工站根据项目计划书内容开展各项服务。总站上传下达，根据省市各级民政部门的工作要求对社工站社工组织定期督导、培训、学习解决工作中的实际困难，共同完成各项工作指标及工作任务，制作宣传手册，宣传社工服务，提升社会知晓率，升华服务成效。中期评估（过程评估），评估介入手法、项目服务执行情况、财务使用等。</w:t>
      </w:r>
    </w:p>
    <w:p>
      <w:pPr>
        <w:keepNext w:val="0"/>
        <w:keepLines w:val="0"/>
        <w:pageBreakBefore w:val="0"/>
        <w:kinsoku/>
        <w:wordWrap/>
        <w:overflowPunct/>
        <w:topLinePunct w:val="0"/>
        <w:bidi w:val="0"/>
        <w:spacing w:line="560" w:lineRule="exact"/>
        <w:ind w:firstLine="643" w:firstLineChars="200"/>
        <w:jc w:val="left"/>
        <w:textAlignment w:val="auto"/>
        <w:rPr>
          <w:rFonts w:ascii="仿宋" w:hAnsi="仿宋" w:eastAsia="仿宋" w:cs="Times New Roman"/>
          <w:kern w:val="0"/>
          <w:sz w:val="32"/>
          <w:szCs w:val="32"/>
          <w:highlight w:val="none"/>
        </w:rPr>
      </w:pPr>
      <w:r>
        <w:rPr>
          <w:rFonts w:hint="eastAsia" w:ascii="仿宋" w:hAnsi="仿宋" w:eastAsia="仿宋" w:cs="Times New Roman"/>
          <w:b/>
          <w:bCs/>
          <w:kern w:val="0"/>
          <w:sz w:val="32"/>
          <w:szCs w:val="32"/>
          <w:highlight w:val="none"/>
          <w:lang w:val="en-US" w:eastAsia="zh-CN"/>
        </w:rPr>
        <w:t>3.</w:t>
      </w:r>
      <w:r>
        <w:rPr>
          <w:rFonts w:hint="eastAsia" w:ascii="仿宋" w:hAnsi="仿宋" w:eastAsia="仿宋" w:cs="Times New Roman"/>
          <w:b/>
          <w:bCs/>
          <w:kern w:val="0"/>
          <w:sz w:val="32"/>
          <w:szCs w:val="32"/>
          <w:highlight w:val="none"/>
        </w:rPr>
        <w:t>后期总结提升阶段，对项目执行情况进行总结评估。</w:t>
      </w:r>
      <w:r>
        <w:rPr>
          <w:rFonts w:hint="eastAsia" w:ascii="仿宋" w:hAnsi="仿宋" w:eastAsia="仿宋" w:cs="Times New Roman"/>
          <w:kern w:val="0"/>
          <w:sz w:val="32"/>
          <w:szCs w:val="32"/>
          <w:highlight w:val="none"/>
        </w:rPr>
        <w:t>通过评估工作评估项目服务成效、指标完成情况、人员管理情况、全年财务情况，通过评估总结服务经验模式，形成品牌亮点，反思不足。</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Times New Roman"/>
          <w:b/>
          <w:bCs/>
          <w:kern w:val="0"/>
          <w:sz w:val="32"/>
          <w:szCs w:val="32"/>
          <w:highlight w:val="none"/>
        </w:rPr>
      </w:pPr>
      <w:r>
        <w:rPr>
          <w:rFonts w:hint="eastAsia" w:ascii="仿宋" w:hAnsi="仿宋" w:eastAsia="仿宋" w:cs="Times New Roman"/>
          <w:b/>
          <w:bCs/>
          <w:kern w:val="0"/>
          <w:sz w:val="32"/>
          <w:szCs w:val="32"/>
          <w:highlight w:val="none"/>
        </w:rPr>
        <w:t>（三）项目产出情况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43" w:firstLineChars="200"/>
        <w:textAlignment w:val="auto"/>
        <w:rPr>
          <w:rFonts w:ascii="仿宋" w:hAnsi="仿宋" w:eastAsia="仿宋" w:cs="Times New Roman"/>
          <w:kern w:val="0"/>
          <w:sz w:val="32"/>
          <w:szCs w:val="32"/>
          <w:highlight w:val="none"/>
        </w:rPr>
      </w:pPr>
      <w:r>
        <w:rPr>
          <w:rFonts w:hint="eastAsia" w:ascii="仿宋" w:hAnsi="仿宋" w:eastAsia="仿宋" w:cs="Times New Roman"/>
          <w:b/>
          <w:bCs/>
          <w:kern w:val="0"/>
          <w:sz w:val="32"/>
          <w:szCs w:val="32"/>
          <w:highlight w:val="none"/>
        </w:rPr>
        <w:t>基层民政工作产出</w:t>
      </w:r>
      <w:r>
        <w:rPr>
          <w:rFonts w:hint="eastAsia" w:ascii="仿宋" w:hAnsi="仿宋" w:eastAsia="仿宋" w:cs="Times New Roman"/>
          <w:kern w:val="0"/>
          <w:sz w:val="32"/>
          <w:szCs w:val="32"/>
          <w:highlight w:val="none"/>
        </w:rPr>
        <w:t>：2023年全年</w:t>
      </w:r>
      <w:r>
        <w:rPr>
          <w:rFonts w:hint="eastAsia" w:ascii="仿宋" w:hAnsi="仿宋" w:eastAsia="仿宋" w:cs="Times New Roman"/>
          <w:kern w:val="0"/>
          <w:sz w:val="32"/>
          <w:szCs w:val="32"/>
          <w:highlight w:val="none"/>
          <w:lang w:val="en-US" w:eastAsia="zh-CN"/>
        </w:rPr>
        <w:t>,</w:t>
      </w:r>
      <w:r>
        <w:rPr>
          <w:rFonts w:hint="eastAsia" w:ascii="仿宋" w:hAnsi="仿宋" w:eastAsia="仿宋" w:cs="Times New Roman"/>
          <w:kern w:val="0"/>
          <w:sz w:val="32"/>
          <w:szCs w:val="32"/>
          <w:highlight w:val="none"/>
        </w:rPr>
        <w:t>各乡镇社工协助临时救助工作累计救助2634户2644余人次</w:t>
      </w:r>
      <w:r>
        <w:rPr>
          <w:rFonts w:hint="eastAsia" w:ascii="仿宋" w:hAnsi="仿宋" w:eastAsia="仿宋" w:cs="Times New Roman"/>
          <w:kern w:val="0"/>
          <w:sz w:val="32"/>
          <w:szCs w:val="32"/>
          <w:highlight w:val="none"/>
          <w:lang w:val="en-US" w:eastAsia="zh-CN"/>
        </w:rPr>
        <w:t>;</w:t>
      </w:r>
      <w:r>
        <w:rPr>
          <w:rFonts w:hint="eastAsia" w:ascii="仿宋" w:hAnsi="仿宋" w:eastAsia="仿宋" w:cs="Times New Roman"/>
          <w:kern w:val="0"/>
          <w:sz w:val="32"/>
          <w:szCs w:val="32"/>
          <w:highlight w:val="none"/>
        </w:rPr>
        <w:t>协助高龄补贴工作异动新增760人</w:t>
      </w:r>
      <w:r>
        <w:rPr>
          <w:rFonts w:hint="eastAsia" w:ascii="仿宋" w:hAnsi="仿宋" w:eastAsia="仿宋" w:cs="Times New Roman"/>
          <w:kern w:val="0"/>
          <w:sz w:val="32"/>
          <w:szCs w:val="32"/>
          <w:highlight w:val="none"/>
          <w:lang w:val="en-US" w:eastAsia="zh-CN"/>
        </w:rPr>
        <w:t>,</w:t>
      </w:r>
      <w:r>
        <w:rPr>
          <w:rFonts w:hint="eastAsia" w:ascii="仿宋" w:hAnsi="仿宋" w:eastAsia="仿宋" w:cs="Times New Roman"/>
          <w:kern w:val="0"/>
          <w:sz w:val="32"/>
          <w:szCs w:val="32"/>
          <w:highlight w:val="none"/>
        </w:rPr>
        <w:t>停发866人</w:t>
      </w:r>
      <w:r>
        <w:rPr>
          <w:rFonts w:hint="eastAsia" w:ascii="仿宋" w:hAnsi="仿宋" w:eastAsia="仿宋" w:cs="Times New Roman"/>
          <w:kern w:val="0"/>
          <w:sz w:val="32"/>
          <w:szCs w:val="32"/>
          <w:highlight w:val="none"/>
          <w:lang w:val="en-US" w:eastAsia="zh-CN"/>
        </w:rPr>
        <w:t>;</w:t>
      </w:r>
      <w:r>
        <w:rPr>
          <w:rFonts w:hint="eastAsia" w:ascii="仿宋" w:hAnsi="仿宋" w:eastAsia="仿宋" w:cs="Times New Roman"/>
          <w:kern w:val="0"/>
          <w:sz w:val="32"/>
          <w:szCs w:val="32"/>
          <w:highlight w:val="none"/>
        </w:rPr>
        <w:t>协助重度残疾人护理补贴新增245人</w:t>
      </w:r>
      <w:r>
        <w:rPr>
          <w:rFonts w:hint="eastAsia" w:ascii="仿宋" w:hAnsi="仿宋" w:eastAsia="仿宋" w:cs="Times New Roman"/>
          <w:kern w:val="0"/>
          <w:sz w:val="32"/>
          <w:szCs w:val="32"/>
          <w:highlight w:val="none"/>
          <w:lang w:val="en-US" w:eastAsia="zh-CN"/>
        </w:rPr>
        <w:t>,</w:t>
      </w:r>
      <w:r>
        <w:rPr>
          <w:rFonts w:hint="eastAsia" w:ascii="仿宋" w:hAnsi="仿宋" w:eastAsia="仿宋" w:cs="Times New Roman"/>
          <w:kern w:val="0"/>
          <w:sz w:val="32"/>
          <w:szCs w:val="32"/>
          <w:highlight w:val="none"/>
        </w:rPr>
        <w:t>减少360人</w:t>
      </w:r>
      <w:r>
        <w:rPr>
          <w:rFonts w:hint="eastAsia" w:ascii="仿宋" w:hAnsi="仿宋" w:eastAsia="仿宋" w:cs="Times New Roman"/>
          <w:kern w:val="0"/>
          <w:sz w:val="32"/>
          <w:szCs w:val="32"/>
          <w:highlight w:val="none"/>
          <w:lang w:val="en-US" w:eastAsia="zh-CN"/>
        </w:rPr>
        <w:t>;</w:t>
      </w:r>
      <w:r>
        <w:rPr>
          <w:rFonts w:hint="eastAsia" w:ascii="仿宋" w:hAnsi="仿宋" w:eastAsia="仿宋" w:cs="Times New Roman"/>
          <w:kern w:val="0"/>
          <w:sz w:val="32"/>
          <w:szCs w:val="32"/>
          <w:highlight w:val="none"/>
        </w:rPr>
        <w:t>协助困难残疾人生活补贴新增271人</w:t>
      </w:r>
      <w:r>
        <w:rPr>
          <w:rFonts w:hint="eastAsia" w:ascii="仿宋" w:hAnsi="仿宋" w:eastAsia="仿宋" w:cs="Times New Roman"/>
          <w:kern w:val="0"/>
          <w:sz w:val="32"/>
          <w:szCs w:val="32"/>
          <w:highlight w:val="none"/>
          <w:lang w:val="en-US" w:eastAsia="zh-CN"/>
        </w:rPr>
        <w:t>,</w:t>
      </w:r>
      <w:r>
        <w:rPr>
          <w:rFonts w:hint="eastAsia" w:ascii="仿宋" w:hAnsi="仿宋" w:eastAsia="仿宋" w:cs="Times New Roman"/>
          <w:kern w:val="0"/>
          <w:sz w:val="32"/>
          <w:szCs w:val="32"/>
          <w:highlight w:val="none"/>
        </w:rPr>
        <w:t>减少399人</w:t>
      </w:r>
      <w:r>
        <w:rPr>
          <w:rFonts w:hint="eastAsia" w:ascii="仿宋" w:hAnsi="仿宋" w:eastAsia="仿宋" w:cs="Times New Roman"/>
          <w:kern w:val="0"/>
          <w:sz w:val="32"/>
          <w:szCs w:val="32"/>
          <w:highlight w:val="none"/>
          <w:lang w:val="en-US" w:eastAsia="zh-CN"/>
        </w:rPr>
        <w:t>;</w:t>
      </w:r>
      <w:r>
        <w:rPr>
          <w:rFonts w:hint="eastAsia" w:ascii="仿宋" w:hAnsi="仿宋" w:eastAsia="仿宋" w:cs="Times New Roman"/>
          <w:kern w:val="0"/>
          <w:sz w:val="32"/>
          <w:szCs w:val="32"/>
          <w:highlight w:val="none"/>
        </w:rPr>
        <w:t>协助特困供养新增164人</w:t>
      </w:r>
      <w:r>
        <w:rPr>
          <w:rFonts w:hint="eastAsia" w:ascii="仿宋" w:hAnsi="仿宋" w:eastAsia="仿宋" w:cs="Times New Roman"/>
          <w:kern w:val="0"/>
          <w:sz w:val="32"/>
          <w:szCs w:val="32"/>
          <w:highlight w:val="none"/>
          <w:lang w:val="en-US" w:eastAsia="zh-CN"/>
        </w:rPr>
        <w:t>,</w:t>
      </w:r>
      <w:r>
        <w:rPr>
          <w:rFonts w:hint="eastAsia" w:ascii="仿宋" w:hAnsi="仿宋" w:eastAsia="仿宋" w:cs="Times New Roman"/>
          <w:kern w:val="0"/>
          <w:sz w:val="32"/>
          <w:szCs w:val="32"/>
          <w:highlight w:val="none"/>
        </w:rPr>
        <w:t>死亡人员清退109人</w:t>
      </w:r>
      <w:r>
        <w:rPr>
          <w:rFonts w:hint="eastAsia" w:ascii="仿宋" w:hAnsi="仿宋" w:eastAsia="仿宋" w:cs="Times New Roman"/>
          <w:kern w:val="0"/>
          <w:sz w:val="32"/>
          <w:szCs w:val="32"/>
          <w:highlight w:val="none"/>
          <w:lang w:val="en-US" w:eastAsia="zh-CN"/>
        </w:rPr>
        <w:t>,</w:t>
      </w:r>
      <w:r>
        <w:rPr>
          <w:rFonts w:hint="eastAsia" w:ascii="仿宋" w:hAnsi="仿宋" w:eastAsia="仿宋" w:cs="Times New Roman"/>
          <w:kern w:val="0"/>
          <w:sz w:val="32"/>
          <w:szCs w:val="32"/>
          <w:highlight w:val="none"/>
        </w:rPr>
        <w:t>异动124人</w:t>
      </w:r>
      <w:r>
        <w:rPr>
          <w:rFonts w:hint="eastAsia" w:ascii="仿宋" w:hAnsi="仿宋" w:eastAsia="仿宋" w:cs="Times New Roman"/>
          <w:kern w:val="0"/>
          <w:sz w:val="32"/>
          <w:szCs w:val="32"/>
          <w:highlight w:val="none"/>
          <w:lang w:val="en-US" w:eastAsia="zh-CN"/>
        </w:rPr>
        <w:t>;</w:t>
      </w:r>
      <w:r>
        <w:rPr>
          <w:rFonts w:hint="eastAsia" w:ascii="仿宋" w:hAnsi="仿宋" w:eastAsia="仿宋" w:cs="Times New Roman"/>
          <w:kern w:val="0"/>
          <w:sz w:val="32"/>
          <w:szCs w:val="32"/>
          <w:highlight w:val="none"/>
        </w:rPr>
        <w:t>协助农村低保新增365户641人</w:t>
      </w:r>
      <w:r>
        <w:rPr>
          <w:rFonts w:hint="eastAsia" w:ascii="仿宋" w:hAnsi="仿宋" w:eastAsia="仿宋" w:cs="Times New Roman"/>
          <w:kern w:val="0"/>
          <w:sz w:val="32"/>
          <w:szCs w:val="32"/>
          <w:highlight w:val="none"/>
          <w:lang w:val="en-US" w:eastAsia="zh-CN"/>
        </w:rPr>
        <w:t>,</w:t>
      </w:r>
      <w:r>
        <w:rPr>
          <w:rFonts w:hint="eastAsia" w:ascii="仿宋" w:hAnsi="仿宋" w:eastAsia="仿宋" w:cs="Times New Roman"/>
          <w:kern w:val="0"/>
          <w:sz w:val="32"/>
          <w:szCs w:val="32"/>
          <w:highlight w:val="none"/>
        </w:rPr>
        <w:t>停发371户594人</w:t>
      </w:r>
      <w:r>
        <w:rPr>
          <w:rFonts w:hint="eastAsia" w:ascii="仿宋" w:hAnsi="仿宋" w:eastAsia="仿宋" w:cs="Times New Roman"/>
          <w:kern w:val="0"/>
          <w:sz w:val="32"/>
          <w:szCs w:val="32"/>
          <w:highlight w:val="none"/>
          <w:lang w:val="en-US" w:eastAsia="zh-CN"/>
        </w:rPr>
        <w:t>,</w:t>
      </w:r>
      <w:r>
        <w:rPr>
          <w:rFonts w:hint="eastAsia" w:ascii="仿宋" w:hAnsi="仿宋" w:eastAsia="仿宋" w:cs="Times New Roman"/>
          <w:kern w:val="0"/>
          <w:sz w:val="32"/>
          <w:szCs w:val="32"/>
          <w:highlight w:val="none"/>
        </w:rPr>
        <w:t>升类47户144人，降类37户72人，调减276户331人，调增41户68人，新增重病个人保 31人，以上所有信息均录入相关系统。</w:t>
      </w:r>
    </w:p>
    <w:p>
      <w:pPr>
        <w:keepNext w:val="0"/>
        <w:keepLines w:val="0"/>
        <w:pageBreakBefore w:val="0"/>
        <w:kinsoku/>
        <w:wordWrap/>
        <w:overflowPunct/>
        <w:topLinePunct w:val="0"/>
        <w:bidi w:val="0"/>
        <w:spacing w:line="560" w:lineRule="exact"/>
        <w:ind w:firstLine="643" w:firstLineChars="200"/>
        <w:jc w:val="both"/>
        <w:textAlignment w:val="auto"/>
        <w:rPr>
          <w:rFonts w:hint="default" w:ascii="仿宋" w:hAnsi="仿宋" w:eastAsia="仿宋"/>
          <w:sz w:val="32"/>
          <w:szCs w:val="32"/>
          <w:highlight w:val="none"/>
          <w:lang w:val="en-US" w:eastAsia="zh-CN"/>
        </w:rPr>
      </w:pPr>
      <w:r>
        <w:rPr>
          <w:rFonts w:hint="eastAsia" w:ascii="仿宋" w:hAnsi="仿宋" w:eastAsia="仿宋" w:cs="Times New Roman"/>
          <w:b/>
          <w:bCs/>
          <w:kern w:val="0"/>
          <w:sz w:val="32"/>
          <w:szCs w:val="32"/>
          <w:highlight w:val="none"/>
        </w:rPr>
        <w:t>社会工作专业服务产出：</w:t>
      </w:r>
      <w:r>
        <w:rPr>
          <w:rFonts w:hint="eastAsia" w:ascii="仿宋" w:hAnsi="仿宋" w:eastAsia="仿宋" w:cs="Times New Roman"/>
          <w:kern w:val="0"/>
          <w:sz w:val="32"/>
          <w:szCs w:val="32"/>
          <w:highlight w:val="none"/>
        </w:rPr>
        <w:t>因地制宜开展社工常态化专业服务，组织策划小项目1</w:t>
      </w:r>
      <w:r>
        <w:rPr>
          <w:rFonts w:hint="eastAsia" w:ascii="仿宋" w:hAnsi="仿宋" w:eastAsia="仿宋" w:cs="Times New Roman"/>
          <w:kern w:val="0"/>
          <w:sz w:val="32"/>
          <w:szCs w:val="32"/>
          <w:highlight w:val="none"/>
          <w:lang w:val="en-US" w:eastAsia="zh-CN"/>
        </w:rPr>
        <w:t>0余</w:t>
      </w:r>
      <w:r>
        <w:rPr>
          <w:rFonts w:hint="eastAsia" w:ascii="仿宋" w:hAnsi="仿宋" w:eastAsia="仿宋" w:cs="Times New Roman"/>
          <w:kern w:val="0"/>
          <w:sz w:val="32"/>
          <w:szCs w:val="32"/>
          <w:highlight w:val="none"/>
        </w:rPr>
        <w:t>个，开展促进社工融合，营造社区互帮互助氛围，促进服务对象非正式支持网络的建立</w:t>
      </w:r>
      <w:r>
        <w:rPr>
          <w:rFonts w:hint="eastAsia" w:ascii="仿宋" w:hAnsi="仿宋" w:eastAsia="仿宋" w:cs="Times New Roman"/>
          <w:kern w:val="0"/>
          <w:sz w:val="32"/>
          <w:szCs w:val="32"/>
          <w:highlight w:val="none"/>
          <w:lang w:val="en-US" w:eastAsia="zh-CN"/>
        </w:rPr>
        <w:t>176</w:t>
      </w:r>
      <w:r>
        <w:rPr>
          <w:rFonts w:hint="eastAsia" w:ascii="仿宋" w:hAnsi="仿宋" w:eastAsia="仿宋" w:cs="Times New Roman"/>
          <w:kern w:val="0"/>
          <w:sz w:val="32"/>
          <w:szCs w:val="32"/>
          <w:highlight w:val="none"/>
        </w:rPr>
        <w:t>场；促进有共同需求的居民集合起来一同解决问题的小组活动</w:t>
      </w:r>
      <w:r>
        <w:rPr>
          <w:rFonts w:hint="eastAsia" w:ascii="仿宋" w:hAnsi="仿宋" w:eastAsia="仿宋" w:cs="Times New Roman"/>
          <w:kern w:val="0"/>
          <w:sz w:val="32"/>
          <w:szCs w:val="32"/>
          <w:highlight w:val="none"/>
          <w:lang w:val="en-US" w:eastAsia="zh-CN"/>
        </w:rPr>
        <w:t>15</w:t>
      </w:r>
      <w:r>
        <w:rPr>
          <w:rFonts w:hint="eastAsia" w:ascii="仿宋" w:hAnsi="仿宋" w:eastAsia="仿宋" w:cs="Times New Roman"/>
          <w:kern w:val="0"/>
          <w:sz w:val="32"/>
          <w:szCs w:val="32"/>
          <w:highlight w:val="none"/>
        </w:rPr>
        <w:t>个；开展一对一的个案服务</w:t>
      </w:r>
      <w:r>
        <w:rPr>
          <w:rFonts w:hint="eastAsia" w:ascii="仿宋" w:hAnsi="仿宋" w:eastAsia="仿宋" w:cs="Times New Roman"/>
          <w:kern w:val="0"/>
          <w:sz w:val="32"/>
          <w:szCs w:val="32"/>
          <w:highlight w:val="none"/>
          <w:lang w:val="en-US" w:eastAsia="zh-CN"/>
        </w:rPr>
        <w:t>26</w:t>
      </w:r>
      <w:r>
        <w:rPr>
          <w:rFonts w:hint="eastAsia" w:ascii="仿宋" w:hAnsi="仿宋" w:eastAsia="仿宋" w:cs="Times New Roman"/>
          <w:kern w:val="0"/>
          <w:sz w:val="32"/>
          <w:szCs w:val="32"/>
          <w:highlight w:val="none"/>
        </w:rPr>
        <w:t>例；开展入户探访和接待来访</w:t>
      </w:r>
      <w:r>
        <w:rPr>
          <w:rFonts w:hint="eastAsia" w:ascii="仿宋" w:hAnsi="仿宋" w:eastAsia="仿宋" w:cs="Times New Roman"/>
          <w:kern w:val="0"/>
          <w:sz w:val="32"/>
          <w:szCs w:val="32"/>
          <w:highlight w:val="none"/>
          <w:lang w:val="en-US" w:eastAsia="zh-CN"/>
        </w:rPr>
        <w:t>11950</w:t>
      </w:r>
      <w:r>
        <w:rPr>
          <w:rFonts w:hint="eastAsia" w:ascii="仿宋" w:hAnsi="仿宋" w:eastAsia="仿宋" w:cs="Times New Roman"/>
          <w:kern w:val="0"/>
          <w:sz w:val="32"/>
          <w:szCs w:val="32"/>
          <w:highlight w:val="none"/>
        </w:rPr>
        <w:t>人次；为有需求的服务对象链接社会资源</w:t>
      </w:r>
      <w:r>
        <w:rPr>
          <w:rFonts w:hint="eastAsia" w:ascii="仿宋" w:hAnsi="仿宋" w:eastAsia="仿宋" w:cs="Times New Roman"/>
          <w:kern w:val="0"/>
          <w:sz w:val="32"/>
          <w:szCs w:val="32"/>
          <w:highlight w:val="none"/>
          <w:lang w:val="en-US" w:eastAsia="zh-CN"/>
        </w:rPr>
        <w:t>59</w:t>
      </w:r>
      <w:r>
        <w:rPr>
          <w:rFonts w:hint="eastAsia" w:ascii="仿宋" w:hAnsi="仿宋" w:eastAsia="仿宋" w:cs="Times New Roman"/>
          <w:kern w:val="0"/>
          <w:sz w:val="32"/>
          <w:szCs w:val="32"/>
          <w:highlight w:val="none"/>
        </w:rPr>
        <w:t>次，折合人民币</w:t>
      </w:r>
      <w:r>
        <w:rPr>
          <w:rFonts w:hint="eastAsia" w:ascii="仿宋" w:hAnsi="仿宋" w:eastAsia="仿宋" w:cs="仿宋"/>
          <w:kern w:val="2"/>
          <w:sz w:val="30"/>
          <w:szCs w:val="30"/>
          <w:highlight w:val="none"/>
          <w:lang w:val="en-US" w:eastAsia="zh-CN" w:bidi="ar-SA"/>
        </w:rPr>
        <w:t>46</w:t>
      </w:r>
      <w:r>
        <w:rPr>
          <w:rFonts w:hint="eastAsia" w:ascii="仿宋" w:hAnsi="仿宋" w:eastAsia="仿宋" w:cs="Times New Roman"/>
          <w:kern w:val="0"/>
          <w:sz w:val="32"/>
          <w:szCs w:val="32"/>
          <w:highlight w:val="none"/>
        </w:rPr>
        <w:t>万余元；县级媒体报道</w:t>
      </w:r>
      <w:r>
        <w:rPr>
          <w:rFonts w:hint="eastAsia" w:ascii="仿宋" w:hAnsi="仿宋" w:eastAsia="仿宋" w:cs="Times New Roman"/>
          <w:kern w:val="0"/>
          <w:sz w:val="32"/>
          <w:szCs w:val="32"/>
          <w:highlight w:val="none"/>
          <w:lang w:val="en-US" w:eastAsia="zh-CN"/>
        </w:rPr>
        <w:t>90</w:t>
      </w:r>
      <w:r>
        <w:rPr>
          <w:rFonts w:hint="eastAsia" w:ascii="仿宋" w:hAnsi="仿宋" w:eastAsia="仿宋" w:cs="Times New Roman"/>
          <w:kern w:val="0"/>
          <w:sz w:val="32"/>
          <w:szCs w:val="32"/>
          <w:highlight w:val="none"/>
        </w:rPr>
        <w:t>次、</w:t>
      </w:r>
      <w:r>
        <w:rPr>
          <w:rFonts w:hint="eastAsia" w:ascii="仿宋" w:hAnsi="仿宋" w:eastAsia="仿宋" w:cs="Times New Roman"/>
          <w:kern w:val="0"/>
          <w:sz w:val="32"/>
          <w:szCs w:val="32"/>
          <w:highlight w:val="none"/>
          <w:lang w:eastAsia="zh-CN"/>
        </w:rPr>
        <w:t>市级媒体报道</w:t>
      </w:r>
      <w:r>
        <w:rPr>
          <w:rFonts w:hint="eastAsia" w:ascii="仿宋" w:hAnsi="仿宋" w:eastAsia="仿宋" w:cs="Times New Roman"/>
          <w:kern w:val="0"/>
          <w:sz w:val="32"/>
          <w:szCs w:val="32"/>
          <w:highlight w:val="none"/>
          <w:lang w:val="en-US" w:eastAsia="zh-CN"/>
        </w:rPr>
        <w:t>12次、</w:t>
      </w:r>
      <w:r>
        <w:rPr>
          <w:rFonts w:hint="eastAsia" w:ascii="仿宋" w:hAnsi="仿宋" w:eastAsia="仿宋" w:cs="Times New Roman"/>
          <w:kern w:val="0"/>
          <w:sz w:val="32"/>
          <w:szCs w:val="32"/>
          <w:highlight w:val="none"/>
        </w:rPr>
        <w:t>省级媒体报道</w:t>
      </w:r>
      <w:r>
        <w:rPr>
          <w:rFonts w:hint="eastAsia" w:ascii="仿宋" w:hAnsi="仿宋" w:eastAsia="仿宋" w:cs="Times New Roman"/>
          <w:kern w:val="0"/>
          <w:sz w:val="32"/>
          <w:szCs w:val="32"/>
          <w:highlight w:val="none"/>
          <w:lang w:val="en-US" w:eastAsia="zh-CN"/>
        </w:rPr>
        <w:t>75</w:t>
      </w:r>
      <w:r>
        <w:rPr>
          <w:rFonts w:hint="eastAsia" w:ascii="仿宋" w:hAnsi="仿宋" w:eastAsia="仿宋" w:cs="Times New Roman"/>
          <w:kern w:val="0"/>
          <w:sz w:val="32"/>
          <w:szCs w:val="32"/>
          <w:highlight w:val="none"/>
        </w:rPr>
        <w:t>次,并在机构微信公众号发布推文17</w:t>
      </w:r>
      <w:r>
        <w:rPr>
          <w:rFonts w:hint="eastAsia" w:ascii="仿宋" w:hAnsi="仿宋" w:eastAsia="仿宋" w:cs="Times New Roman"/>
          <w:kern w:val="0"/>
          <w:sz w:val="32"/>
          <w:szCs w:val="32"/>
          <w:highlight w:val="none"/>
          <w:lang w:val="en-US" w:eastAsia="zh-CN"/>
        </w:rPr>
        <w:t>7</w:t>
      </w:r>
      <w:r>
        <w:rPr>
          <w:rFonts w:hint="eastAsia" w:ascii="仿宋" w:hAnsi="仿宋" w:eastAsia="仿宋" w:cs="Times New Roman"/>
          <w:kern w:val="0"/>
          <w:sz w:val="32"/>
          <w:szCs w:val="32"/>
          <w:highlight w:val="none"/>
        </w:rPr>
        <w:t>篇；开展社工专业能力提升培训（内部开展及外出培训学习）</w:t>
      </w:r>
      <w:r>
        <w:rPr>
          <w:rFonts w:hint="eastAsia" w:ascii="仿宋" w:hAnsi="仿宋" w:eastAsia="仿宋" w:cs="Times New Roman"/>
          <w:kern w:val="0"/>
          <w:sz w:val="32"/>
          <w:szCs w:val="32"/>
          <w:highlight w:val="none"/>
          <w:lang w:val="en-US" w:eastAsia="zh-CN"/>
        </w:rPr>
        <w:t>19</w:t>
      </w:r>
      <w:r>
        <w:rPr>
          <w:rFonts w:hint="eastAsia" w:ascii="仿宋" w:hAnsi="仿宋" w:eastAsia="仿宋" w:cs="Times New Roman"/>
          <w:kern w:val="0"/>
          <w:sz w:val="32"/>
          <w:szCs w:val="32"/>
          <w:highlight w:val="none"/>
        </w:rPr>
        <w:t>场；开展专业督导及内部日常督导</w:t>
      </w:r>
      <w:r>
        <w:rPr>
          <w:rFonts w:hint="eastAsia" w:ascii="仿宋" w:hAnsi="仿宋" w:eastAsia="仿宋" w:cs="Times New Roman"/>
          <w:kern w:val="0"/>
          <w:sz w:val="32"/>
          <w:szCs w:val="32"/>
          <w:highlight w:val="none"/>
          <w:lang w:val="en-US" w:eastAsia="zh-CN"/>
        </w:rPr>
        <w:t>1000</w:t>
      </w:r>
      <w:r>
        <w:rPr>
          <w:rFonts w:hint="eastAsia" w:ascii="仿宋" w:hAnsi="仿宋" w:eastAsia="仿宋" w:cs="Times New Roman"/>
          <w:kern w:val="0"/>
          <w:sz w:val="32"/>
          <w:szCs w:val="32"/>
          <w:highlight w:val="none"/>
        </w:rPr>
        <w:t>余次，督导服务时长</w:t>
      </w:r>
      <w:r>
        <w:rPr>
          <w:rFonts w:hint="eastAsia" w:ascii="仿宋" w:hAnsi="仿宋" w:eastAsia="仿宋" w:cs="Times New Roman"/>
          <w:kern w:val="0"/>
          <w:sz w:val="32"/>
          <w:szCs w:val="32"/>
          <w:highlight w:val="none"/>
          <w:lang w:val="en-US" w:eastAsia="zh-CN"/>
        </w:rPr>
        <w:t>1146</w:t>
      </w:r>
      <w:r>
        <w:rPr>
          <w:rFonts w:hint="eastAsia" w:ascii="仿宋" w:hAnsi="仿宋" w:eastAsia="仿宋" w:cs="Times New Roman"/>
          <w:kern w:val="0"/>
          <w:sz w:val="32"/>
          <w:szCs w:val="32"/>
          <w:highlight w:val="none"/>
        </w:rPr>
        <w:t>小时；培育本土社工人才35人,基层社工站社工持证率达</w:t>
      </w:r>
      <w:r>
        <w:rPr>
          <w:rFonts w:hint="eastAsia" w:ascii="仿宋" w:hAnsi="仿宋" w:eastAsia="仿宋" w:cs="Times New Roman"/>
          <w:kern w:val="0"/>
          <w:sz w:val="32"/>
          <w:szCs w:val="32"/>
          <w:highlight w:val="none"/>
          <w:lang w:val="en-US" w:eastAsia="zh-CN"/>
        </w:rPr>
        <w:t>80</w:t>
      </w:r>
      <w:r>
        <w:rPr>
          <w:rFonts w:hint="eastAsia" w:ascii="仿宋" w:hAnsi="仿宋" w:eastAsia="仿宋" w:cs="Times New Roman"/>
          <w:kern w:val="0"/>
          <w:sz w:val="32"/>
          <w:szCs w:val="32"/>
          <w:highlight w:val="none"/>
        </w:rPr>
        <w:t>%，202</w:t>
      </w:r>
      <w:r>
        <w:rPr>
          <w:rFonts w:hint="eastAsia" w:ascii="仿宋" w:hAnsi="仿宋" w:eastAsia="仿宋" w:cs="Times New Roman"/>
          <w:kern w:val="0"/>
          <w:sz w:val="32"/>
          <w:szCs w:val="32"/>
          <w:highlight w:val="none"/>
          <w:lang w:val="en-US" w:eastAsia="zh-CN"/>
        </w:rPr>
        <w:t>3</w:t>
      </w:r>
      <w:r>
        <w:rPr>
          <w:rFonts w:hint="eastAsia" w:ascii="仿宋" w:hAnsi="仿宋" w:eastAsia="仿宋" w:cs="Times New Roman"/>
          <w:kern w:val="0"/>
          <w:sz w:val="32"/>
          <w:szCs w:val="32"/>
          <w:highlight w:val="none"/>
        </w:rPr>
        <w:t>年社工考试通过率怀化地区排名第一；发展志愿者</w:t>
      </w:r>
      <w:r>
        <w:rPr>
          <w:rFonts w:hint="eastAsia" w:ascii="仿宋" w:hAnsi="仿宋" w:eastAsia="仿宋" w:cs="Times New Roman"/>
          <w:kern w:val="0"/>
          <w:sz w:val="32"/>
          <w:szCs w:val="32"/>
          <w:highlight w:val="none"/>
          <w:lang w:eastAsia="zh-CN"/>
        </w:rPr>
        <w:t>共</w:t>
      </w:r>
      <w:r>
        <w:rPr>
          <w:rFonts w:hint="eastAsia" w:ascii="仿宋" w:hAnsi="仿宋" w:eastAsia="仿宋" w:cs="Times New Roman"/>
          <w:kern w:val="0"/>
          <w:sz w:val="32"/>
          <w:szCs w:val="32"/>
          <w:highlight w:val="none"/>
          <w:lang w:val="en-US" w:eastAsia="zh-CN"/>
        </w:rPr>
        <w:t>1296</w:t>
      </w:r>
      <w:r>
        <w:rPr>
          <w:rFonts w:hint="eastAsia" w:ascii="仿宋" w:hAnsi="仿宋" w:eastAsia="仿宋" w:cs="Times New Roman"/>
          <w:kern w:val="0"/>
          <w:sz w:val="32"/>
          <w:szCs w:val="32"/>
          <w:highlight w:val="none"/>
        </w:rPr>
        <w:t>人，录入志愿服务时长</w:t>
      </w:r>
      <w:r>
        <w:rPr>
          <w:rFonts w:hint="eastAsia" w:ascii="仿宋" w:hAnsi="仿宋" w:eastAsia="仿宋" w:cs="Times New Roman"/>
          <w:kern w:val="0"/>
          <w:sz w:val="32"/>
          <w:szCs w:val="32"/>
          <w:highlight w:val="none"/>
          <w:lang w:eastAsia="zh-CN"/>
        </w:rPr>
        <w:t>共</w:t>
      </w:r>
      <w:r>
        <w:rPr>
          <w:rFonts w:hint="eastAsia" w:ascii="仿宋" w:hAnsi="仿宋" w:eastAsia="仿宋" w:cs="Times New Roman"/>
          <w:kern w:val="0"/>
          <w:sz w:val="32"/>
          <w:szCs w:val="32"/>
          <w:highlight w:val="none"/>
          <w:lang w:val="en-US" w:eastAsia="zh-CN"/>
        </w:rPr>
        <w:t>11577.79</w:t>
      </w:r>
      <w:r>
        <w:rPr>
          <w:rFonts w:hint="eastAsia" w:ascii="仿宋" w:hAnsi="仿宋" w:eastAsia="仿宋" w:cs="Times New Roman"/>
          <w:kern w:val="0"/>
          <w:sz w:val="32"/>
          <w:szCs w:val="32"/>
          <w:highlight w:val="none"/>
        </w:rPr>
        <w:t>小时；打造村</w:t>
      </w:r>
      <w:r>
        <w:rPr>
          <w:rFonts w:hint="eastAsia" w:ascii="仿宋" w:hAnsi="仿宋" w:eastAsia="仿宋" w:cs="Times New Roman"/>
          <w:kern w:val="0"/>
          <w:sz w:val="32"/>
          <w:szCs w:val="32"/>
          <w:highlight w:val="none"/>
          <w:lang w:eastAsia="zh-CN"/>
        </w:rPr>
        <w:t>（</w:t>
      </w:r>
      <w:r>
        <w:rPr>
          <w:rFonts w:hint="eastAsia" w:ascii="仿宋" w:hAnsi="仿宋" w:eastAsia="仿宋" w:cs="Times New Roman"/>
          <w:kern w:val="0"/>
          <w:sz w:val="32"/>
          <w:szCs w:val="32"/>
          <w:highlight w:val="none"/>
        </w:rPr>
        <w:t>社区</w:t>
      </w:r>
      <w:r>
        <w:rPr>
          <w:rFonts w:hint="eastAsia" w:ascii="仿宋" w:hAnsi="仿宋" w:eastAsia="仿宋" w:cs="Times New Roman"/>
          <w:kern w:val="0"/>
          <w:sz w:val="32"/>
          <w:szCs w:val="32"/>
          <w:highlight w:val="none"/>
          <w:lang w:eastAsia="zh-CN"/>
        </w:rPr>
        <w:t>）</w:t>
      </w:r>
      <w:r>
        <w:rPr>
          <w:rFonts w:hint="eastAsia" w:ascii="仿宋" w:hAnsi="仿宋" w:eastAsia="仿宋" w:cs="Times New Roman"/>
          <w:kern w:val="0"/>
          <w:sz w:val="32"/>
          <w:szCs w:val="32"/>
          <w:highlight w:val="none"/>
        </w:rPr>
        <w:t>社工室</w:t>
      </w:r>
      <w:r>
        <w:rPr>
          <w:rFonts w:hint="eastAsia" w:ascii="仿宋" w:hAnsi="仿宋" w:eastAsia="仿宋" w:cs="Times New Roman"/>
          <w:kern w:val="0"/>
          <w:sz w:val="32"/>
          <w:szCs w:val="32"/>
          <w:highlight w:val="none"/>
          <w:lang w:val="en-US" w:eastAsia="zh-CN"/>
        </w:rPr>
        <w:t>62</w:t>
      </w:r>
      <w:r>
        <w:rPr>
          <w:rFonts w:hint="eastAsia" w:ascii="仿宋" w:hAnsi="仿宋" w:eastAsia="仿宋" w:cs="Times New Roman"/>
          <w:kern w:val="0"/>
          <w:sz w:val="32"/>
          <w:szCs w:val="32"/>
          <w:highlight w:val="none"/>
        </w:rPr>
        <w:t>个；打造并申报</w:t>
      </w:r>
      <w:r>
        <w:rPr>
          <w:rFonts w:hint="eastAsia" w:ascii="仿宋" w:hAnsi="仿宋" w:eastAsia="仿宋" w:cs="Times New Roman"/>
          <w:kern w:val="0"/>
          <w:sz w:val="32"/>
          <w:szCs w:val="32"/>
          <w:highlight w:val="none"/>
          <w:lang w:eastAsia="zh-CN"/>
        </w:rPr>
        <w:t>五</w:t>
      </w:r>
      <w:r>
        <w:rPr>
          <w:rFonts w:hint="eastAsia" w:ascii="仿宋" w:hAnsi="仿宋" w:eastAsia="仿宋" w:cs="Times New Roman"/>
          <w:kern w:val="0"/>
          <w:sz w:val="32"/>
          <w:szCs w:val="32"/>
          <w:highlight w:val="none"/>
        </w:rPr>
        <w:t>星级社工站4个</w:t>
      </w:r>
      <w:r>
        <w:rPr>
          <w:rFonts w:hint="eastAsia" w:ascii="仿宋" w:hAnsi="仿宋" w:eastAsia="仿宋" w:cs="Times New Roman"/>
          <w:kern w:val="0"/>
          <w:sz w:val="32"/>
          <w:szCs w:val="32"/>
          <w:highlight w:val="none"/>
          <w:lang w:eastAsia="zh-CN"/>
        </w:rPr>
        <w:t>，四星级社工站</w:t>
      </w:r>
      <w:r>
        <w:rPr>
          <w:rFonts w:hint="eastAsia" w:ascii="仿宋" w:hAnsi="仿宋" w:eastAsia="仿宋" w:cs="Times New Roman"/>
          <w:kern w:val="0"/>
          <w:sz w:val="32"/>
          <w:szCs w:val="32"/>
          <w:highlight w:val="none"/>
          <w:lang w:val="en-US" w:eastAsia="zh-CN"/>
        </w:rPr>
        <w:t>2个。</w:t>
      </w:r>
    </w:p>
    <w:p>
      <w:pPr>
        <w:pStyle w:val="14"/>
        <w:keepNext w:val="0"/>
        <w:keepLines w:val="0"/>
        <w:pageBreakBefore w:val="0"/>
        <w:kinsoku/>
        <w:wordWrap/>
        <w:overflowPunct/>
        <w:topLinePunct w:val="0"/>
        <w:bidi w:val="0"/>
        <w:spacing w:line="560" w:lineRule="exact"/>
        <w:ind w:firstLine="643" w:firstLineChars="200"/>
        <w:jc w:val="both"/>
        <w:textAlignment w:val="auto"/>
        <w:rPr>
          <w:rFonts w:hint="eastAsia" w:ascii="仿宋" w:hAnsi="仿宋" w:eastAsia="仿宋"/>
          <w:b/>
          <w:bCs/>
          <w:sz w:val="32"/>
          <w:szCs w:val="32"/>
          <w:highlight w:val="none"/>
        </w:rPr>
      </w:pPr>
      <w:r>
        <w:rPr>
          <w:rFonts w:hint="eastAsia" w:ascii="仿宋" w:hAnsi="仿宋" w:eastAsia="仿宋"/>
          <w:b/>
          <w:bCs/>
          <w:sz w:val="32"/>
          <w:szCs w:val="32"/>
          <w:highlight w:val="none"/>
        </w:rPr>
        <w:t>其他服务产出情况：</w:t>
      </w:r>
      <w:r>
        <w:rPr>
          <w:rFonts w:hint="eastAsia" w:ascii="仿宋" w:hAnsi="仿宋" w:eastAsia="仿宋"/>
          <w:sz w:val="32"/>
          <w:szCs w:val="32"/>
          <w:highlight w:val="none"/>
        </w:rPr>
        <w:t>社会工作者作为基层治理专业力量的一大补充，在协助各乡镇开展退伍军人春</w:t>
      </w:r>
      <w:r>
        <w:rPr>
          <w:rFonts w:hint="eastAsia" w:ascii="仿宋" w:hAnsi="仿宋" w:eastAsia="仿宋"/>
          <w:sz w:val="32"/>
          <w:szCs w:val="32"/>
          <w:highlight w:val="none"/>
          <w:lang w:eastAsia="zh-CN"/>
        </w:rPr>
        <w:t>节走访</w:t>
      </w:r>
      <w:r>
        <w:rPr>
          <w:rFonts w:hint="eastAsia" w:ascii="仿宋" w:hAnsi="仿宋" w:eastAsia="仿宋"/>
          <w:sz w:val="32"/>
          <w:szCs w:val="32"/>
          <w:highlight w:val="none"/>
        </w:rPr>
        <w:t>;禁毒、森林防火、消防等知识宣传;农合收缴等政策宣传;人居环境整治工作</w:t>
      </w:r>
      <w:r>
        <w:rPr>
          <w:rFonts w:hint="eastAsia" w:ascii="仿宋" w:hAnsi="仿宋" w:eastAsia="仿宋"/>
          <w:sz w:val="32"/>
          <w:szCs w:val="32"/>
          <w:highlight w:val="none"/>
          <w:lang w:eastAsia="zh-CN"/>
        </w:rPr>
        <w:t>等工作中</w:t>
      </w:r>
      <w:r>
        <w:rPr>
          <w:rFonts w:hint="eastAsia" w:ascii="仿宋" w:hAnsi="仿宋" w:eastAsia="仿宋"/>
          <w:sz w:val="32"/>
          <w:szCs w:val="32"/>
          <w:highlight w:val="none"/>
        </w:rPr>
        <w:t>发挥了不小的作用。据不完全统计，2023年，11个乡镇社工直接服务1万余人，间接服务3万余人。</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Times New Roman"/>
          <w:b/>
          <w:bCs/>
          <w:kern w:val="0"/>
          <w:sz w:val="32"/>
          <w:szCs w:val="32"/>
          <w:highlight w:val="none"/>
        </w:rPr>
      </w:pPr>
      <w:r>
        <w:rPr>
          <w:rFonts w:hint="eastAsia" w:ascii="仿宋" w:hAnsi="仿宋" w:eastAsia="仿宋" w:cs="Times New Roman"/>
          <w:b/>
          <w:bCs/>
          <w:kern w:val="0"/>
          <w:sz w:val="32"/>
          <w:szCs w:val="32"/>
          <w:highlight w:val="none"/>
        </w:rPr>
        <w:t>（四）项目效益情况</w:t>
      </w:r>
    </w:p>
    <w:p>
      <w:pPr>
        <w:keepNext w:val="0"/>
        <w:keepLines w:val="0"/>
        <w:pageBreakBefore w:val="0"/>
        <w:widowControl/>
        <w:shd w:val="clear" w:color="auto" w:fill="FFFFFF"/>
        <w:kinsoku/>
        <w:wordWrap/>
        <w:overflowPunct/>
        <w:topLinePunct w:val="0"/>
        <w:bidi w:val="0"/>
        <w:spacing w:line="560" w:lineRule="exact"/>
        <w:ind w:firstLine="643" w:firstLineChars="200"/>
        <w:textAlignment w:val="auto"/>
        <w:rPr>
          <w:rFonts w:ascii="仿宋" w:hAnsi="仿宋" w:eastAsia="仿宋" w:cs="Times New Roman"/>
          <w:kern w:val="0"/>
          <w:sz w:val="32"/>
          <w:szCs w:val="32"/>
          <w:highlight w:val="none"/>
        </w:rPr>
      </w:pPr>
      <w:r>
        <w:rPr>
          <w:rFonts w:hint="eastAsia" w:ascii="仿宋" w:hAnsi="仿宋" w:eastAsia="仿宋" w:cs="Times New Roman"/>
          <w:b/>
          <w:kern w:val="0"/>
          <w:sz w:val="32"/>
          <w:szCs w:val="32"/>
          <w:highlight w:val="none"/>
        </w:rPr>
        <w:t>1.助力基层民政工作，打通为群众服务的最后一米。</w:t>
      </w:r>
      <w:r>
        <w:rPr>
          <w:rFonts w:hint="eastAsia" w:ascii="仿宋" w:hAnsi="仿宋" w:eastAsia="仿宋" w:cs="Times New Roman"/>
          <w:kern w:val="0"/>
          <w:sz w:val="32"/>
          <w:szCs w:val="32"/>
          <w:highlight w:val="none"/>
        </w:rPr>
        <w:t>社工站对辖区内低保对象及低保边缘户、事实无人抚养儿童、特困供养对象、残疾对象、老年群体进行了走访排查工作，协助民政办完成低保对象、特困供养对象、残疾对象、临时救助对象等的资料整理录入，助力基层民政办开展民政服务对象就业需求摸底、事实无人抚养儿童走访、三留守群体的复核排查等工作，并协助各村（居）社区儿童主任积极贯彻落实关于开展儿童福利相关数据</w:t>
      </w:r>
      <w:r>
        <w:rPr>
          <w:rFonts w:hint="eastAsia" w:ascii="仿宋" w:hAnsi="仿宋" w:eastAsia="仿宋" w:cs="仿宋"/>
          <w:kern w:val="0"/>
          <w:sz w:val="32"/>
          <w:szCs w:val="32"/>
          <w:highlight w:val="none"/>
        </w:rPr>
        <w:t>大摸排的工作任务，指导与协助完善三留守信息系统录入等</w:t>
      </w:r>
      <w:r>
        <w:rPr>
          <w:rFonts w:hint="eastAsia" w:ascii="仿宋" w:hAnsi="仿宋" w:eastAsia="仿宋" w:cs="仿宋"/>
          <w:kern w:val="0"/>
          <w:sz w:val="32"/>
          <w:szCs w:val="32"/>
          <w:highlight w:val="none"/>
          <w:lang w:eastAsia="zh-CN"/>
        </w:rPr>
        <w:t>。</w:t>
      </w:r>
      <w:r>
        <w:rPr>
          <w:rFonts w:hint="eastAsia" w:ascii="仿宋" w:hAnsi="仿宋" w:eastAsia="仿宋" w:cs="仿宋"/>
          <w:i w:val="0"/>
          <w:iCs w:val="0"/>
          <w:caps w:val="0"/>
          <w:color w:val="191919"/>
          <w:spacing w:val="0"/>
          <w:sz w:val="32"/>
          <w:szCs w:val="32"/>
          <w:highlight w:val="none"/>
          <w:shd w:val="clear" w:fill="FFFFFF"/>
        </w:rPr>
        <w:t>成为增强基层民政工作力量、提高基层民政服务能力、完善基层民政服务体系、提升基层民政服务专业化水平的重要抓手。</w:t>
      </w:r>
    </w:p>
    <w:p>
      <w:pPr>
        <w:keepNext w:val="0"/>
        <w:keepLines w:val="0"/>
        <w:pageBreakBefore w:val="0"/>
        <w:widowControl/>
        <w:shd w:val="clear" w:color="auto" w:fill="FFFFFF"/>
        <w:kinsoku/>
        <w:wordWrap/>
        <w:overflowPunct/>
        <w:topLinePunct w:val="0"/>
        <w:bidi w:val="0"/>
        <w:spacing w:line="560" w:lineRule="exact"/>
        <w:ind w:firstLine="643" w:firstLineChars="200"/>
        <w:textAlignment w:val="auto"/>
        <w:rPr>
          <w:rFonts w:ascii="仿宋" w:hAnsi="仿宋" w:eastAsia="仿宋" w:cs="Times New Roman"/>
          <w:kern w:val="0"/>
          <w:sz w:val="32"/>
          <w:szCs w:val="32"/>
          <w:highlight w:val="none"/>
        </w:rPr>
      </w:pPr>
      <w:r>
        <w:rPr>
          <w:rFonts w:hint="eastAsia" w:ascii="仿宋" w:hAnsi="仿宋" w:eastAsia="仿宋" w:cs="Times New Roman"/>
          <w:b/>
          <w:kern w:val="0"/>
          <w:sz w:val="32"/>
          <w:szCs w:val="32"/>
          <w:highlight w:val="none"/>
        </w:rPr>
        <w:t>2.初步构建起横向到边、纵向到底的社会工作专业服务体系。</w:t>
      </w:r>
      <w:r>
        <w:rPr>
          <w:rFonts w:hint="eastAsia" w:ascii="仿宋" w:hAnsi="仿宋" w:eastAsia="仿宋" w:cs="Times New Roman"/>
          <w:kern w:val="0"/>
          <w:sz w:val="32"/>
          <w:szCs w:val="32"/>
          <w:highlight w:val="none"/>
        </w:rPr>
        <w:t>为把项目落到实处，切实加强基层民政服务力量，回应困难群体需求，结合项目重点服务领域、指标要求，量化各站点的年度指标任务。通过个案、小组、社区、资源链接等专业服务方法，及时解决服务对象的困难和需求</w:t>
      </w:r>
      <w:r>
        <w:rPr>
          <w:rFonts w:hint="eastAsia" w:ascii="仿宋" w:hAnsi="仿宋" w:eastAsia="仿宋" w:cs="Times New Roman"/>
          <w:kern w:val="0"/>
          <w:sz w:val="32"/>
          <w:szCs w:val="32"/>
          <w:highlight w:val="none"/>
          <w:lang w:eastAsia="zh-CN"/>
        </w:rPr>
        <w:t>，为服务对象送去温暖和关怀</w:t>
      </w:r>
      <w:r>
        <w:rPr>
          <w:rFonts w:hint="eastAsia" w:ascii="仿宋" w:hAnsi="仿宋" w:eastAsia="仿宋" w:cs="Times New Roman"/>
          <w:kern w:val="0"/>
          <w:sz w:val="32"/>
          <w:szCs w:val="32"/>
          <w:highlight w:val="none"/>
        </w:rPr>
        <w:t>。</w:t>
      </w:r>
    </w:p>
    <w:p>
      <w:pPr>
        <w:keepNext w:val="0"/>
        <w:keepLines w:val="0"/>
        <w:pageBreakBefore w:val="0"/>
        <w:widowControl/>
        <w:shd w:val="clear" w:color="auto" w:fill="FFFFFF"/>
        <w:kinsoku/>
        <w:wordWrap/>
        <w:overflowPunct/>
        <w:topLinePunct w:val="0"/>
        <w:bidi w:val="0"/>
        <w:spacing w:line="560" w:lineRule="exact"/>
        <w:ind w:firstLine="643" w:firstLineChars="200"/>
        <w:textAlignment w:val="auto"/>
        <w:rPr>
          <w:rFonts w:hint="eastAsia" w:ascii="仿宋" w:hAnsi="仿宋" w:eastAsia="仿宋" w:cs="Times New Roman"/>
          <w:kern w:val="0"/>
          <w:sz w:val="32"/>
          <w:szCs w:val="32"/>
          <w:highlight w:val="none"/>
        </w:rPr>
      </w:pPr>
      <w:r>
        <w:rPr>
          <w:rFonts w:hint="eastAsia" w:ascii="仿宋" w:hAnsi="仿宋" w:eastAsia="仿宋" w:cs="Times New Roman"/>
          <w:b/>
          <w:kern w:val="0"/>
          <w:sz w:val="32"/>
          <w:szCs w:val="32"/>
          <w:highlight w:val="none"/>
        </w:rPr>
        <w:t>3.探索建立“社工+民政”的双向联动工作模式。</w:t>
      </w:r>
      <w:r>
        <w:rPr>
          <w:rFonts w:hint="eastAsia" w:ascii="仿宋" w:hAnsi="仿宋" w:eastAsia="仿宋" w:cs="Times New Roman"/>
          <w:kern w:val="0"/>
          <w:sz w:val="32"/>
          <w:szCs w:val="32"/>
          <w:highlight w:val="none"/>
        </w:rPr>
        <w:t>自项目运营实施开始，县民政局领导高度重视社会工作与民政工作相结合，在实际工作中，社工立足社会工作专业服务，贯彻落实民政政策，与乡镇民政工作人员、村（居）儿童主任形成工作团队，结合我县敬老院工作、儿童关爱工作、村（居）工作基础较好的特点，社工站将敬老院服务升级、留守儿童关爱、村（居）治理作为工作重点，在工作中寻找汇合点，实现了工作内容共建，资源和信息共享、服务对象受益的良好局面。</w:t>
      </w:r>
    </w:p>
    <w:p>
      <w:pPr>
        <w:keepNext w:val="0"/>
        <w:keepLines w:val="0"/>
        <w:pageBreakBefore w:val="0"/>
        <w:widowControl/>
        <w:shd w:val="clear" w:color="auto" w:fill="FFFFFF"/>
        <w:kinsoku/>
        <w:wordWrap/>
        <w:overflowPunct/>
        <w:topLinePunct w:val="0"/>
        <w:bidi w:val="0"/>
        <w:spacing w:line="560" w:lineRule="exact"/>
        <w:ind w:firstLine="643" w:firstLineChars="200"/>
        <w:textAlignment w:val="auto"/>
        <w:rPr>
          <w:rFonts w:hint="eastAsia" w:ascii="仿宋" w:hAnsi="仿宋" w:eastAsia="仿宋" w:cs="Times New Roman"/>
          <w:b/>
          <w:kern w:val="0"/>
          <w:sz w:val="32"/>
          <w:szCs w:val="32"/>
          <w:highlight w:val="none"/>
        </w:rPr>
      </w:pPr>
      <w:r>
        <w:rPr>
          <w:rFonts w:hint="eastAsia" w:ascii="仿宋" w:hAnsi="仿宋" w:eastAsia="仿宋" w:cs="Times New Roman"/>
          <w:b/>
          <w:kern w:val="0"/>
          <w:sz w:val="32"/>
          <w:szCs w:val="32"/>
          <w:highlight w:val="none"/>
          <w:lang w:val="en-US" w:eastAsia="zh-CN"/>
        </w:rPr>
        <w:t>4、</w:t>
      </w:r>
      <w:r>
        <w:rPr>
          <w:rFonts w:hint="eastAsia" w:ascii="仿宋" w:hAnsi="仿宋" w:eastAsia="仿宋" w:cs="Times New Roman"/>
          <w:b/>
          <w:kern w:val="0"/>
          <w:sz w:val="32"/>
          <w:szCs w:val="32"/>
          <w:highlight w:val="none"/>
        </w:rPr>
        <w:t>收获多项荣誉</w:t>
      </w:r>
    </w:p>
    <w:p>
      <w:pPr>
        <w:keepNext w:val="0"/>
        <w:keepLines w:val="0"/>
        <w:pageBreakBefore w:val="0"/>
        <w:widowControl/>
        <w:shd w:val="clear" w:color="auto" w:fill="FFFFFF"/>
        <w:kinsoku/>
        <w:wordWrap/>
        <w:overflowPunct/>
        <w:topLinePunct w:val="0"/>
        <w:bidi w:val="0"/>
        <w:spacing w:line="560" w:lineRule="exact"/>
        <w:ind w:firstLine="640" w:firstLineChars="200"/>
        <w:textAlignment w:val="auto"/>
        <w:rPr>
          <w:rFonts w:hint="default" w:ascii="仿宋" w:hAnsi="仿宋" w:eastAsia="仿宋" w:cs="Times New Roman"/>
          <w:kern w:val="0"/>
          <w:sz w:val="32"/>
          <w:szCs w:val="32"/>
          <w:highlight w:val="none"/>
          <w:lang w:val="en-US" w:eastAsia="zh-CN"/>
        </w:rPr>
      </w:pPr>
      <w:r>
        <w:rPr>
          <w:rFonts w:hint="eastAsia" w:ascii="仿宋" w:hAnsi="仿宋" w:eastAsia="仿宋" w:cs="Times New Roman"/>
          <w:kern w:val="0"/>
          <w:sz w:val="32"/>
          <w:szCs w:val="32"/>
          <w:highlight w:val="none"/>
        </w:rPr>
        <w:t>2023年是新晃县基层社工站收获荣誉的一年。《组织起来：“侗家嫂子”志愿服务组织品牌打造案例》获评湖南省基层社工站项目优秀案例</w:t>
      </w:r>
      <w:r>
        <w:rPr>
          <w:rFonts w:hint="eastAsia" w:ascii="仿宋" w:hAnsi="仿宋" w:eastAsia="仿宋" w:cs="Times New Roman"/>
          <w:kern w:val="0"/>
          <w:sz w:val="32"/>
          <w:szCs w:val="32"/>
          <w:highlight w:val="none"/>
          <w:lang w:eastAsia="zh-CN"/>
        </w:rPr>
        <w:t>；</w:t>
      </w:r>
      <w:r>
        <w:rPr>
          <w:rFonts w:hint="eastAsia" w:ascii="仿宋" w:hAnsi="仿宋" w:eastAsia="仿宋" w:cs="Times New Roman"/>
          <w:kern w:val="0"/>
          <w:sz w:val="32"/>
          <w:szCs w:val="32"/>
          <w:highlight w:val="none"/>
        </w:rPr>
        <w:t>新晃“五社联动·家园助力站”项目联合中南大学社会工作专业在读两名研究生做的项目研究（组织起来：治理共同体视域下社会工作介入农村妇女社会组织培育的过程与效应研究）案例获第三届“全国MSW研究生案例大赛”百强案例</w:t>
      </w:r>
      <w:r>
        <w:rPr>
          <w:rFonts w:hint="eastAsia" w:ascii="仿宋" w:hAnsi="仿宋" w:eastAsia="仿宋" w:cs="Times New Roman"/>
          <w:kern w:val="0"/>
          <w:sz w:val="32"/>
          <w:szCs w:val="32"/>
          <w:highlight w:val="none"/>
          <w:lang w:eastAsia="zh-CN"/>
        </w:rPr>
        <w:t>；</w:t>
      </w:r>
      <w:r>
        <w:rPr>
          <w:rFonts w:hint="eastAsia" w:ascii="仿宋" w:hAnsi="仿宋" w:eastAsia="仿宋" w:cs="Times New Roman"/>
          <w:kern w:val="0"/>
          <w:sz w:val="32"/>
          <w:szCs w:val="32"/>
          <w:highlight w:val="none"/>
        </w:rPr>
        <w:t>4个社工站荣获湖南省“五星级”社工站称号</w:t>
      </w:r>
      <w:r>
        <w:rPr>
          <w:rFonts w:hint="eastAsia" w:ascii="仿宋" w:hAnsi="仿宋" w:eastAsia="仿宋" w:cs="Times New Roman"/>
          <w:kern w:val="0"/>
          <w:sz w:val="32"/>
          <w:szCs w:val="32"/>
          <w:highlight w:val="none"/>
          <w:lang w:eastAsia="zh-CN"/>
        </w:rPr>
        <w:t>；</w:t>
      </w:r>
      <w:r>
        <w:rPr>
          <w:rFonts w:hint="eastAsia" w:ascii="仿宋" w:hAnsi="仿宋" w:eastAsia="仿宋" w:cs="Times New Roman"/>
          <w:kern w:val="0"/>
          <w:sz w:val="32"/>
          <w:szCs w:val="32"/>
          <w:highlight w:val="none"/>
        </w:rPr>
        <w:t>2个社工站荣获怀化市“四星级”社工站荣誉称号</w:t>
      </w:r>
      <w:r>
        <w:rPr>
          <w:rFonts w:hint="eastAsia" w:ascii="仿宋" w:hAnsi="仿宋" w:eastAsia="仿宋" w:cs="Times New Roman"/>
          <w:kern w:val="0"/>
          <w:sz w:val="32"/>
          <w:szCs w:val="32"/>
          <w:highlight w:val="none"/>
          <w:lang w:eastAsia="zh-CN"/>
        </w:rPr>
        <w:t>；</w:t>
      </w:r>
      <w:r>
        <w:rPr>
          <w:rFonts w:hint="eastAsia" w:ascii="仿宋" w:hAnsi="仿宋" w:eastAsia="仿宋" w:cs="Times New Roman"/>
          <w:kern w:val="0"/>
          <w:sz w:val="32"/>
          <w:szCs w:val="32"/>
          <w:highlight w:val="none"/>
        </w:rPr>
        <w:t>机构荣获新晃县宣传工作先进单位称号等。</w:t>
      </w:r>
    </w:p>
    <w:p>
      <w:pPr>
        <w:keepNext w:val="0"/>
        <w:keepLines w:val="0"/>
        <w:pageBreakBefore w:val="0"/>
        <w:shd w:val="clear" w:color="auto" w:fill="FFFFFF"/>
        <w:kinsoku/>
        <w:wordWrap/>
        <w:overflowPunct/>
        <w:topLinePunct w:val="0"/>
        <w:bidi w:val="0"/>
        <w:spacing w:line="560" w:lineRule="exact"/>
        <w:ind w:firstLine="640" w:firstLineChars="200"/>
        <w:jc w:val="left"/>
        <w:textAlignment w:val="auto"/>
        <w:rPr>
          <w:rFonts w:ascii="黑体" w:hAnsi="黑体" w:eastAsia="黑体" w:cs="宋体"/>
          <w:kern w:val="0"/>
          <w:sz w:val="32"/>
          <w:szCs w:val="32"/>
          <w:highlight w:val="none"/>
        </w:rPr>
      </w:pPr>
      <w:r>
        <w:rPr>
          <w:rFonts w:hint="eastAsia" w:ascii="黑体" w:hAnsi="黑体" w:eastAsia="黑体" w:cs="Times New Roman"/>
          <w:kern w:val="0"/>
          <w:sz w:val="32"/>
          <w:szCs w:val="32"/>
          <w:highlight w:val="none"/>
        </w:rPr>
        <w:t>四、综合评价情况及评价结论</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Times New Roman"/>
          <w:kern w:val="0"/>
          <w:sz w:val="32"/>
          <w:szCs w:val="32"/>
          <w:highlight w:val="none"/>
        </w:rPr>
      </w:pPr>
      <w:r>
        <w:rPr>
          <w:rFonts w:hint="eastAsia" w:ascii="仿宋" w:hAnsi="仿宋" w:eastAsia="仿宋" w:cs="Times New Roman"/>
          <w:kern w:val="0"/>
          <w:sz w:val="32"/>
          <w:szCs w:val="32"/>
          <w:highlight w:val="none"/>
        </w:rPr>
        <w:t>新晃县民政局202</w:t>
      </w:r>
      <w:r>
        <w:rPr>
          <w:rFonts w:hint="eastAsia" w:ascii="仿宋" w:hAnsi="仿宋" w:eastAsia="仿宋" w:cs="Times New Roman"/>
          <w:kern w:val="0"/>
          <w:sz w:val="32"/>
          <w:szCs w:val="32"/>
          <w:highlight w:val="none"/>
          <w:lang w:val="en-US" w:eastAsia="zh-CN"/>
        </w:rPr>
        <w:t>3</w:t>
      </w:r>
      <w:r>
        <w:rPr>
          <w:rFonts w:hint="eastAsia" w:ascii="仿宋" w:hAnsi="仿宋" w:eastAsia="仿宋" w:cs="Times New Roman"/>
          <w:kern w:val="0"/>
          <w:sz w:val="32"/>
          <w:szCs w:val="32"/>
          <w:highlight w:val="none"/>
        </w:rPr>
        <w:t>年乡镇社工站项目绩效评价自评结果：自评评分为</w:t>
      </w:r>
      <w:r>
        <w:rPr>
          <w:rFonts w:hint="eastAsia" w:ascii="仿宋" w:hAnsi="仿宋" w:eastAsia="仿宋" w:cs="Times New Roman"/>
          <w:kern w:val="0"/>
          <w:sz w:val="32"/>
          <w:szCs w:val="32"/>
          <w:highlight w:val="none"/>
          <w:lang w:val="en-US" w:eastAsia="zh-CN"/>
        </w:rPr>
        <w:t>95</w:t>
      </w:r>
      <w:r>
        <w:rPr>
          <w:rFonts w:hint="eastAsia" w:ascii="仿宋" w:hAnsi="仿宋" w:eastAsia="仿宋" w:cs="Times New Roman"/>
          <w:kern w:val="0"/>
          <w:sz w:val="32"/>
          <w:szCs w:val="32"/>
          <w:highlight w:val="none"/>
        </w:rPr>
        <w:t>分，自评等级为“优”。</w:t>
      </w:r>
    </w:p>
    <w:p>
      <w:pPr>
        <w:pStyle w:val="13"/>
        <w:keepNext w:val="0"/>
        <w:keepLines w:val="0"/>
        <w:pageBreakBefore w:val="0"/>
        <w:shd w:val="clear" w:color="auto" w:fill="FFFFFF"/>
        <w:kinsoku/>
        <w:wordWrap/>
        <w:overflowPunct/>
        <w:topLinePunct w:val="0"/>
        <w:bidi w:val="0"/>
        <w:spacing w:line="560" w:lineRule="exact"/>
        <w:ind w:firstLine="640"/>
        <w:jc w:val="left"/>
        <w:textAlignment w:val="auto"/>
        <w:rPr>
          <w:rFonts w:ascii="黑体" w:hAnsi="黑体" w:eastAsia="黑体" w:cs="宋体"/>
          <w:kern w:val="0"/>
          <w:sz w:val="32"/>
          <w:szCs w:val="32"/>
          <w:highlight w:val="none"/>
        </w:rPr>
      </w:pPr>
      <w:r>
        <w:rPr>
          <w:rFonts w:hint="eastAsia" w:ascii="黑体" w:hAnsi="黑体" w:eastAsia="黑体" w:cs="Times New Roman"/>
          <w:kern w:val="0"/>
          <w:sz w:val="32"/>
          <w:szCs w:val="32"/>
          <w:highlight w:val="none"/>
        </w:rPr>
        <w:t>五、存在的问题及整改建议</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hint="eastAsia" w:ascii="仿宋" w:hAnsi="仿宋" w:eastAsia="仿宋" w:cs="Times New Roman"/>
          <w:b/>
          <w:bCs/>
          <w:kern w:val="0"/>
          <w:sz w:val="32"/>
          <w:szCs w:val="32"/>
          <w:highlight w:val="none"/>
          <w:lang w:val="en-US" w:eastAsia="zh-CN"/>
        </w:rPr>
      </w:pPr>
      <w:r>
        <w:rPr>
          <w:rFonts w:hint="eastAsia" w:ascii="仿宋" w:hAnsi="仿宋" w:eastAsia="仿宋" w:cs="Times New Roman"/>
          <w:b/>
          <w:bCs/>
          <w:kern w:val="0"/>
          <w:sz w:val="32"/>
          <w:szCs w:val="32"/>
          <w:highlight w:val="none"/>
        </w:rPr>
        <w:t>（一）存在的问题</w:t>
      </w:r>
    </w:p>
    <w:p>
      <w:pPr>
        <w:keepNext w:val="0"/>
        <w:keepLines w:val="0"/>
        <w:pageBreakBefore w:val="0"/>
        <w:widowControl/>
        <w:shd w:val="clear" w:color="auto" w:fill="FFFFFF"/>
        <w:kinsoku/>
        <w:wordWrap/>
        <w:overflowPunct/>
        <w:topLinePunct w:val="0"/>
        <w:bidi w:val="0"/>
        <w:spacing w:line="560" w:lineRule="exact"/>
        <w:ind w:firstLine="643" w:firstLineChars="200"/>
        <w:textAlignment w:val="auto"/>
        <w:rPr>
          <w:rFonts w:hint="eastAsia" w:ascii="仿宋" w:hAnsi="仿宋" w:eastAsia="仿宋" w:cs="Times New Roman"/>
          <w:b/>
          <w:kern w:val="0"/>
          <w:sz w:val="32"/>
          <w:szCs w:val="32"/>
          <w:highlight w:val="none"/>
          <w:lang w:val="en-US" w:eastAsia="zh-CN"/>
        </w:rPr>
      </w:pPr>
      <w:r>
        <w:rPr>
          <w:rFonts w:hint="eastAsia" w:ascii="仿宋" w:hAnsi="仿宋" w:eastAsia="仿宋" w:cs="Times New Roman"/>
          <w:b/>
          <w:kern w:val="0"/>
          <w:sz w:val="32"/>
          <w:szCs w:val="32"/>
          <w:highlight w:val="none"/>
          <w:lang w:val="en-US" w:eastAsia="zh-CN"/>
        </w:rPr>
        <w:t>1.基层社工站人员能力提升慢</w:t>
      </w:r>
    </w:p>
    <w:p>
      <w:pPr>
        <w:pStyle w:val="6"/>
        <w:keepNext w:val="0"/>
        <w:keepLines w:val="0"/>
        <w:pageBreakBefore w:val="0"/>
        <w:kinsoku/>
        <w:wordWrap/>
        <w:overflowPunct/>
        <w:topLinePunct w:val="0"/>
        <w:bidi w:val="0"/>
        <w:spacing w:line="560" w:lineRule="exact"/>
        <w:textAlignment w:val="auto"/>
        <w:rPr>
          <w:rFonts w:hint="eastAsia" w:ascii="仿宋" w:hAnsi="仿宋" w:eastAsia="仿宋" w:cs="Times New Roman"/>
          <w:kern w:val="0"/>
          <w:sz w:val="32"/>
          <w:szCs w:val="32"/>
          <w:highlight w:val="none"/>
          <w:lang w:val="en-US" w:eastAsia="zh-CN" w:bidi="ar-SA"/>
        </w:rPr>
      </w:pPr>
      <w:r>
        <w:rPr>
          <w:rFonts w:hint="eastAsia" w:ascii="仿宋" w:hAnsi="仿宋" w:eastAsia="仿宋" w:cs="Times New Roman"/>
          <w:kern w:val="0"/>
          <w:sz w:val="32"/>
          <w:szCs w:val="32"/>
          <w:highlight w:val="none"/>
          <w:lang w:val="en-US" w:eastAsia="zh-CN" w:bidi="ar-SA"/>
        </w:rPr>
        <w:t>基层社工站绝大部分一线社工都是新晃本县人，具有地方性和熟人社会优势，但他们都不是专业出身，所以开展质量高效果好的督导和培训尤为重要。“牵手计划”行业督导带教很有帮助，但有部分督导和培训太过“高大上”，如何提高一线社工的理论水平也是一个问题。</w:t>
      </w:r>
    </w:p>
    <w:p>
      <w:pPr>
        <w:keepNext w:val="0"/>
        <w:keepLines w:val="0"/>
        <w:pageBreakBefore w:val="0"/>
        <w:widowControl/>
        <w:shd w:val="clear" w:color="auto" w:fill="FFFFFF"/>
        <w:kinsoku/>
        <w:wordWrap/>
        <w:overflowPunct/>
        <w:topLinePunct w:val="0"/>
        <w:bidi w:val="0"/>
        <w:spacing w:line="560" w:lineRule="exact"/>
        <w:ind w:firstLine="643" w:firstLineChars="200"/>
        <w:textAlignment w:val="auto"/>
        <w:rPr>
          <w:rFonts w:hint="eastAsia" w:ascii="仿宋" w:hAnsi="仿宋" w:eastAsia="仿宋" w:cs="Times New Roman"/>
          <w:b/>
          <w:kern w:val="0"/>
          <w:sz w:val="32"/>
          <w:szCs w:val="32"/>
          <w:highlight w:val="none"/>
          <w:lang w:val="en-US" w:eastAsia="zh-CN"/>
        </w:rPr>
      </w:pPr>
      <w:r>
        <w:rPr>
          <w:rFonts w:hint="eastAsia" w:ascii="仿宋" w:hAnsi="仿宋" w:eastAsia="仿宋" w:cs="Times New Roman"/>
          <w:b/>
          <w:kern w:val="0"/>
          <w:sz w:val="32"/>
          <w:szCs w:val="32"/>
          <w:highlight w:val="none"/>
          <w:lang w:val="en-US" w:eastAsia="zh-CN"/>
        </w:rPr>
        <w:t>2.基层社工站人员流失快</w:t>
      </w:r>
    </w:p>
    <w:p>
      <w:pPr>
        <w:pStyle w:val="6"/>
        <w:keepNext w:val="0"/>
        <w:keepLines w:val="0"/>
        <w:pageBreakBefore w:val="0"/>
        <w:kinsoku/>
        <w:wordWrap/>
        <w:overflowPunct/>
        <w:topLinePunct w:val="0"/>
        <w:bidi w:val="0"/>
        <w:spacing w:line="560" w:lineRule="exact"/>
        <w:textAlignment w:val="auto"/>
        <w:rPr>
          <w:rFonts w:hint="eastAsia" w:ascii="仿宋" w:hAnsi="仿宋" w:eastAsia="仿宋" w:cs="Times New Roman"/>
          <w:kern w:val="0"/>
          <w:sz w:val="32"/>
          <w:szCs w:val="32"/>
          <w:highlight w:val="none"/>
          <w:lang w:val="en-US" w:eastAsia="zh-CN" w:bidi="ar-SA"/>
        </w:rPr>
      </w:pPr>
      <w:r>
        <w:rPr>
          <w:rFonts w:hint="eastAsia" w:ascii="仿宋" w:hAnsi="仿宋" w:eastAsia="仿宋" w:cs="Times New Roman"/>
          <w:kern w:val="0"/>
          <w:sz w:val="32"/>
          <w:szCs w:val="32"/>
          <w:highlight w:val="none"/>
          <w:lang w:val="en-US" w:eastAsia="zh-CN" w:bidi="ar-SA"/>
        </w:rPr>
        <w:t>人才是第一生产力。新晃县基层社工站项目运营至今，在岗社工人员流失始终是一个亟待解决的问题，尽管新晃县各乡镇社工站点已实现全覆盖，但由于薪酬待遇、工作压力等各方面的原因，使得社工人员流失率较高，新晃县基层社工站发展难免面临专业人才不愿去、社工站招不到人的窘境。社工流失率若长期居高不下，势必会影响到机构的组织发展及承接政府购买社工服务项目的运营成效。因此，如何减少人员流动，留住社工人才，成为摆在社工机构面前的一项重要任务。</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Times New Roman"/>
          <w:b/>
          <w:bCs/>
          <w:kern w:val="0"/>
          <w:sz w:val="32"/>
          <w:szCs w:val="32"/>
          <w:highlight w:val="none"/>
        </w:rPr>
      </w:pPr>
      <w:r>
        <w:rPr>
          <w:rFonts w:hint="eastAsia" w:ascii="仿宋" w:hAnsi="仿宋" w:eastAsia="仿宋" w:cs="Times New Roman"/>
          <w:b/>
          <w:bCs/>
          <w:kern w:val="0"/>
          <w:sz w:val="32"/>
          <w:szCs w:val="32"/>
          <w:highlight w:val="none"/>
        </w:rPr>
        <w:t>（二）有关建议</w:t>
      </w:r>
    </w:p>
    <w:p>
      <w:pPr>
        <w:pStyle w:val="6"/>
        <w:keepNext w:val="0"/>
        <w:keepLines w:val="0"/>
        <w:pageBreakBefore w:val="0"/>
        <w:kinsoku/>
        <w:wordWrap/>
        <w:overflowPunct/>
        <w:topLinePunct w:val="0"/>
        <w:bidi w:val="0"/>
        <w:spacing w:line="560" w:lineRule="exact"/>
        <w:textAlignment w:val="auto"/>
        <w:rPr>
          <w:rFonts w:hint="eastAsia" w:ascii="仿宋" w:hAnsi="仿宋" w:eastAsia="仿宋" w:cs="Times New Roman"/>
          <w:b/>
          <w:kern w:val="0"/>
          <w:sz w:val="32"/>
          <w:szCs w:val="32"/>
          <w:highlight w:val="none"/>
          <w:lang w:val="en-US" w:eastAsia="zh-CN" w:bidi="ar-SA"/>
        </w:rPr>
      </w:pPr>
      <w:r>
        <w:rPr>
          <w:rFonts w:hint="eastAsia" w:ascii="仿宋" w:hAnsi="仿宋" w:eastAsia="仿宋" w:cs="Times New Roman"/>
          <w:b/>
          <w:kern w:val="0"/>
          <w:sz w:val="32"/>
          <w:szCs w:val="32"/>
          <w:highlight w:val="none"/>
          <w:lang w:val="en-US" w:eastAsia="zh-CN" w:bidi="ar-SA"/>
        </w:rPr>
        <w:t>1.完善基层社工站项目人员晋升制度</w:t>
      </w:r>
    </w:p>
    <w:p>
      <w:pPr>
        <w:pStyle w:val="6"/>
        <w:keepNext w:val="0"/>
        <w:keepLines w:val="0"/>
        <w:pageBreakBefore w:val="0"/>
        <w:kinsoku/>
        <w:wordWrap/>
        <w:overflowPunct/>
        <w:topLinePunct w:val="0"/>
        <w:bidi w:val="0"/>
        <w:spacing w:line="560" w:lineRule="exact"/>
        <w:textAlignment w:val="auto"/>
        <w:rPr>
          <w:rFonts w:hint="eastAsia" w:ascii="仿宋" w:hAnsi="仿宋" w:eastAsia="仿宋" w:cs="Times New Roman"/>
          <w:kern w:val="0"/>
          <w:sz w:val="32"/>
          <w:szCs w:val="32"/>
          <w:highlight w:val="none"/>
          <w:lang w:val="en-US" w:eastAsia="zh-CN" w:bidi="ar-SA"/>
        </w:rPr>
      </w:pPr>
      <w:r>
        <w:rPr>
          <w:rFonts w:hint="eastAsia" w:ascii="仿宋" w:hAnsi="仿宋" w:eastAsia="仿宋" w:cs="Times New Roman"/>
          <w:kern w:val="0"/>
          <w:sz w:val="32"/>
          <w:szCs w:val="32"/>
          <w:highlight w:val="none"/>
          <w:lang w:val="en-US" w:eastAsia="zh-CN" w:bidi="ar-SA"/>
        </w:rPr>
        <w:t>提高社工福利待遇，拓宽人才晋升渠道，健全机构内部人才晋升体制，注重对社工的成长激励和精神激励，对工作完成较好且能做出特色亮点的社工给予晋升机会。</w:t>
      </w:r>
    </w:p>
    <w:p>
      <w:pPr>
        <w:pStyle w:val="6"/>
        <w:keepNext w:val="0"/>
        <w:keepLines w:val="0"/>
        <w:pageBreakBefore w:val="0"/>
        <w:kinsoku/>
        <w:wordWrap/>
        <w:overflowPunct/>
        <w:topLinePunct w:val="0"/>
        <w:bidi w:val="0"/>
        <w:spacing w:line="560" w:lineRule="exact"/>
        <w:textAlignment w:val="auto"/>
        <w:rPr>
          <w:rFonts w:hint="eastAsia" w:ascii="仿宋" w:hAnsi="仿宋" w:eastAsia="仿宋" w:cs="Times New Roman"/>
          <w:b/>
          <w:kern w:val="0"/>
          <w:sz w:val="32"/>
          <w:szCs w:val="32"/>
          <w:highlight w:val="none"/>
          <w:lang w:val="en-US" w:eastAsia="zh-CN" w:bidi="ar-SA"/>
        </w:rPr>
      </w:pPr>
      <w:bookmarkStart w:id="0" w:name="_GoBack"/>
      <w:bookmarkEnd w:id="0"/>
      <w:r>
        <w:rPr>
          <w:rFonts w:hint="eastAsia" w:ascii="仿宋" w:hAnsi="仿宋" w:eastAsia="仿宋" w:cs="Times New Roman"/>
          <w:b/>
          <w:kern w:val="0"/>
          <w:sz w:val="32"/>
          <w:szCs w:val="32"/>
          <w:highlight w:val="none"/>
          <w:lang w:val="en-US" w:eastAsia="zh-CN" w:bidi="ar-SA"/>
        </w:rPr>
        <w:t>2.构建学习型社会工作组织</w:t>
      </w:r>
    </w:p>
    <w:p>
      <w:pPr>
        <w:pStyle w:val="6"/>
        <w:keepNext w:val="0"/>
        <w:keepLines w:val="0"/>
        <w:pageBreakBefore w:val="0"/>
        <w:kinsoku/>
        <w:wordWrap/>
        <w:overflowPunct/>
        <w:topLinePunct w:val="0"/>
        <w:bidi w:val="0"/>
        <w:spacing w:line="560" w:lineRule="exact"/>
        <w:textAlignment w:val="auto"/>
        <w:rPr>
          <w:rFonts w:hint="eastAsia" w:ascii="仿宋" w:hAnsi="仿宋" w:eastAsia="仿宋" w:cs="Times New Roman"/>
          <w:kern w:val="0"/>
          <w:sz w:val="32"/>
          <w:szCs w:val="32"/>
          <w:highlight w:val="none"/>
          <w:lang w:val="en-US" w:eastAsia="zh-CN" w:bidi="ar-SA"/>
        </w:rPr>
      </w:pPr>
      <w:r>
        <w:rPr>
          <w:rFonts w:hint="eastAsia" w:ascii="仿宋" w:hAnsi="仿宋" w:eastAsia="仿宋" w:cs="Times New Roman"/>
          <w:kern w:val="0"/>
          <w:sz w:val="32"/>
          <w:szCs w:val="32"/>
          <w:highlight w:val="none"/>
          <w:lang w:val="en-US" w:eastAsia="zh-CN" w:bidi="ar-SA"/>
        </w:rPr>
        <w:t>社工机构注重学习型组织建设，为员工搭建学习的平台，多开展线下的关于社工站项目运营及项目设计等方面的培训和督导，最好是一对一的出谋划策；市级指导中心真正下到县乡实地指导社工站服务，提升社工站服务能力，不断促进社工的专业发展和综合素能的提升。</w:t>
      </w:r>
    </w:p>
    <w:p>
      <w:pPr>
        <w:pStyle w:val="6"/>
        <w:keepNext w:val="0"/>
        <w:keepLines w:val="0"/>
        <w:pageBreakBefore w:val="0"/>
        <w:kinsoku/>
        <w:wordWrap/>
        <w:overflowPunct/>
        <w:topLinePunct w:val="0"/>
        <w:bidi w:val="0"/>
        <w:spacing w:line="560" w:lineRule="exact"/>
        <w:textAlignment w:val="auto"/>
        <w:rPr>
          <w:rFonts w:hint="eastAsia" w:ascii="仿宋" w:hAnsi="仿宋" w:eastAsia="仿宋" w:cs="Times New Roman"/>
          <w:b/>
          <w:kern w:val="0"/>
          <w:sz w:val="32"/>
          <w:szCs w:val="32"/>
          <w:highlight w:val="none"/>
          <w:lang w:val="en-US" w:eastAsia="zh-CN" w:bidi="ar-SA"/>
        </w:rPr>
      </w:pPr>
      <w:r>
        <w:rPr>
          <w:rFonts w:hint="eastAsia" w:ascii="仿宋" w:hAnsi="仿宋" w:eastAsia="仿宋" w:cs="Times New Roman"/>
          <w:b/>
          <w:kern w:val="0"/>
          <w:sz w:val="32"/>
          <w:szCs w:val="32"/>
          <w:highlight w:val="none"/>
          <w:lang w:val="en-US" w:eastAsia="zh-CN" w:bidi="ar-SA"/>
        </w:rPr>
        <w:t>3.提升一线社工自我效能感</w:t>
      </w:r>
    </w:p>
    <w:p>
      <w:pPr>
        <w:pStyle w:val="6"/>
        <w:keepNext w:val="0"/>
        <w:keepLines w:val="0"/>
        <w:pageBreakBefore w:val="0"/>
        <w:kinsoku/>
        <w:wordWrap/>
        <w:overflowPunct/>
        <w:topLinePunct w:val="0"/>
        <w:bidi w:val="0"/>
        <w:spacing w:line="560" w:lineRule="exact"/>
        <w:textAlignment w:val="auto"/>
        <w:rPr>
          <w:rFonts w:hint="eastAsia" w:ascii="仿宋" w:hAnsi="仿宋" w:eastAsia="仿宋" w:cs="Times New Roman"/>
          <w:kern w:val="0"/>
          <w:sz w:val="32"/>
          <w:szCs w:val="32"/>
          <w:highlight w:val="none"/>
          <w:lang w:val="en-US" w:eastAsia="zh-CN" w:bidi="ar-SA"/>
        </w:rPr>
      </w:pPr>
      <w:r>
        <w:rPr>
          <w:rFonts w:hint="eastAsia" w:ascii="仿宋" w:hAnsi="仿宋" w:eastAsia="仿宋" w:cs="Times New Roman"/>
          <w:kern w:val="0"/>
          <w:sz w:val="32"/>
          <w:szCs w:val="32"/>
          <w:highlight w:val="none"/>
          <w:lang w:val="en-US" w:eastAsia="zh-CN" w:bidi="ar-SA"/>
        </w:rPr>
        <w:t>机构负责人及督导要重视提升社工的自我效能感，帮助社工树立职业自信，鼓励社工在工作中大胆创新，协助其适时对工作进行总结复盘，发现服务开展中的优缺点，总结工作成效，让社工看到自己的专业价值，提升社工对基层社工站乃至整个社工职业的归属感和凝聚力，减少社工人员流失。</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sz w:val="32"/>
          <w:szCs w:val="32"/>
          <w:highlight w:val="none"/>
        </w:rPr>
      </w:pPr>
    </w:p>
    <w:p>
      <w:pPr>
        <w:keepNext w:val="0"/>
        <w:keepLines w:val="0"/>
        <w:pageBreakBefore w:val="0"/>
        <w:kinsoku/>
        <w:wordWrap/>
        <w:overflowPunct/>
        <w:topLinePunct w:val="0"/>
        <w:bidi w:val="0"/>
        <w:spacing w:line="560" w:lineRule="exact"/>
        <w:textAlignment w:val="auto"/>
        <w:rPr>
          <w:rFonts w:ascii="仿宋" w:hAnsi="仿宋" w:eastAsia="仿宋"/>
          <w:sz w:val="32"/>
          <w:szCs w:val="32"/>
          <w:highlight w:val="none"/>
        </w:rPr>
      </w:pPr>
    </w:p>
    <w:p>
      <w:pPr>
        <w:pStyle w:val="2"/>
        <w:keepNext w:val="0"/>
        <w:keepLines w:val="0"/>
        <w:pageBreakBefore w:val="0"/>
        <w:kinsoku/>
        <w:wordWrap/>
        <w:overflowPunct/>
        <w:topLinePunct w:val="0"/>
        <w:bidi w:val="0"/>
        <w:spacing w:line="560" w:lineRule="exact"/>
        <w:textAlignment w:val="auto"/>
        <w:rPr>
          <w:rFonts w:ascii="仿宋" w:hAnsi="仿宋" w:eastAsia="仿宋"/>
          <w:sz w:val="32"/>
          <w:szCs w:val="32"/>
          <w:highlight w:val="none"/>
        </w:rPr>
      </w:pPr>
    </w:p>
    <w:p>
      <w:pPr>
        <w:keepNext w:val="0"/>
        <w:keepLines w:val="0"/>
        <w:pageBreakBefore w:val="0"/>
        <w:kinsoku/>
        <w:wordWrap/>
        <w:overflowPunct/>
        <w:topLinePunct w:val="0"/>
        <w:bidi w:val="0"/>
        <w:spacing w:line="560" w:lineRule="exact"/>
        <w:textAlignment w:val="auto"/>
        <w:rPr>
          <w:rFonts w:ascii="仿宋" w:hAnsi="仿宋" w:eastAsia="仿宋"/>
          <w:sz w:val="32"/>
          <w:szCs w:val="32"/>
          <w:highlight w:val="none"/>
        </w:rPr>
      </w:pPr>
      <w:r>
        <w:rPr>
          <w:rFonts w:hint="eastAsia" w:ascii="仿宋" w:hAnsi="仿宋" w:eastAsia="仿宋"/>
          <w:sz w:val="32"/>
          <w:szCs w:val="32"/>
          <w:highlight w:val="none"/>
        </w:rPr>
        <w:t xml:space="preserve">                           新晃侗族自治县民政局</w:t>
      </w:r>
    </w:p>
    <w:p>
      <w:pPr>
        <w:keepNext w:val="0"/>
        <w:keepLines w:val="0"/>
        <w:pageBreakBefore w:val="0"/>
        <w:kinsoku/>
        <w:wordWrap/>
        <w:overflowPunct/>
        <w:topLinePunct w:val="0"/>
        <w:bidi w:val="0"/>
        <w:spacing w:line="560" w:lineRule="exact"/>
        <w:textAlignment w:val="auto"/>
        <w:rPr>
          <w:rFonts w:ascii="仿宋" w:hAnsi="仿宋" w:eastAsia="仿宋"/>
          <w:sz w:val="32"/>
          <w:szCs w:val="32"/>
          <w:highlight w:val="none"/>
        </w:rPr>
      </w:pPr>
      <w:r>
        <w:rPr>
          <w:rFonts w:hint="eastAsia" w:ascii="仿宋" w:hAnsi="仿宋" w:eastAsia="仿宋"/>
          <w:sz w:val="32"/>
          <w:szCs w:val="32"/>
          <w:highlight w:val="none"/>
        </w:rPr>
        <w:t xml:space="preserve">                             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月</w:t>
      </w:r>
      <w:r>
        <w:rPr>
          <w:rFonts w:hint="eastAsia" w:ascii="仿宋" w:hAnsi="仿宋" w:eastAsia="仿宋"/>
          <w:sz w:val="32"/>
          <w:szCs w:val="32"/>
          <w:highlight w:val="none"/>
          <w:lang w:val="en-US" w:eastAsia="zh-CN"/>
        </w:rPr>
        <w:t>8</w:t>
      </w:r>
      <w:r>
        <w:rPr>
          <w:rFonts w:hint="eastAsia" w:ascii="仿宋" w:hAnsi="仿宋" w:eastAsia="仿宋"/>
          <w:sz w:val="32"/>
          <w:szCs w:val="32"/>
          <w:highlight w:val="none"/>
        </w:rPr>
        <w:t>日</w:t>
      </w:r>
    </w:p>
    <w:sectPr>
      <w:pgSz w:w="11906" w:h="16838"/>
      <w:pgMar w:top="1701" w:right="1474" w:bottom="1701" w:left="1588"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roma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yNDk1OTE5Y2JlMzFjYzNkMzc3Njg2Y2I3ZmU5ODEifQ=="/>
  </w:docVars>
  <w:rsids>
    <w:rsidRoot w:val="003750CE"/>
    <w:rsid w:val="0005089C"/>
    <w:rsid w:val="00080096"/>
    <w:rsid w:val="000E4DBB"/>
    <w:rsid w:val="000F030D"/>
    <w:rsid w:val="00132EF5"/>
    <w:rsid w:val="00145296"/>
    <w:rsid w:val="0016262B"/>
    <w:rsid w:val="00173BDF"/>
    <w:rsid w:val="001B3826"/>
    <w:rsid w:val="001D00AD"/>
    <w:rsid w:val="001F68EA"/>
    <w:rsid w:val="003750CE"/>
    <w:rsid w:val="005501FB"/>
    <w:rsid w:val="005E370B"/>
    <w:rsid w:val="006547ED"/>
    <w:rsid w:val="00680AD0"/>
    <w:rsid w:val="00793D94"/>
    <w:rsid w:val="0082140E"/>
    <w:rsid w:val="008538AC"/>
    <w:rsid w:val="00963C5E"/>
    <w:rsid w:val="00BB6628"/>
    <w:rsid w:val="00C31B73"/>
    <w:rsid w:val="00CB3074"/>
    <w:rsid w:val="00CB320A"/>
    <w:rsid w:val="00CB3832"/>
    <w:rsid w:val="00CC53AB"/>
    <w:rsid w:val="00D940E6"/>
    <w:rsid w:val="00E93CD2"/>
    <w:rsid w:val="00F262A3"/>
    <w:rsid w:val="00F44B01"/>
    <w:rsid w:val="01154EDD"/>
    <w:rsid w:val="01B12D83"/>
    <w:rsid w:val="02807431"/>
    <w:rsid w:val="044041F6"/>
    <w:rsid w:val="061B4D44"/>
    <w:rsid w:val="10E14E84"/>
    <w:rsid w:val="182653FA"/>
    <w:rsid w:val="1D6C348C"/>
    <w:rsid w:val="1E7B6DF7"/>
    <w:rsid w:val="219D450E"/>
    <w:rsid w:val="220B0E9A"/>
    <w:rsid w:val="22BD57CB"/>
    <w:rsid w:val="24A973D5"/>
    <w:rsid w:val="26720CD2"/>
    <w:rsid w:val="27F81053"/>
    <w:rsid w:val="28092DDF"/>
    <w:rsid w:val="31A95531"/>
    <w:rsid w:val="31E367AE"/>
    <w:rsid w:val="36BD312A"/>
    <w:rsid w:val="37991DE9"/>
    <w:rsid w:val="3AED1111"/>
    <w:rsid w:val="3F2A6583"/>
    <w:rsid w:val="41E114A5"/>
    <w:rsid w:val="43A044FF"/>
    <w:rsid w:val="4CFB27A6"/>
    <w:rsid w:val="4EAC3D58"/>
    <w:rsid w:val="50FC0141"/>
    <w:rsid w:val="5100482F"/>
    <w:rsid w:val="52081BED"/>
    <w:rsid w:val="5B0742BE"/>
    <w:rsid w:val="612959C7"/>
    <w:rsid w:val="621E275C"/>
    <w:rsid w:val="62EB3AD3"/>
    <w:rsid w:val="68725BBA"/>
    <w:rsid w:val="68B57855"/>
    <w:rsid w:val="6A7A6FA8"/>
    <w:rsid w:val="6CFA0837"/>
    <w:rsid w:val="6D0D4104"/>
    <w:rsid w:val="6F140917"/>
    <w:rsid w:val="74593882"/>
    <w:rsid w:val="766C1795"/>
    <w:rsid w:val="7FA36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qFormat="1"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440" w:lineRule="exact"/>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Note Heading"/>
    <w:basedOn w:val="1"/>
    <w:next w:val="1"/>
    <w:autoRedefine/>
    <w:unhideWhenUsed/>
    <w:qFormat/>
    <w:uiPriority w:val="99"/>
    <w:pPr>
      <w:jc w:val="center"/>
    </w:pPr>
  </w:style>
  <w:style w:type="paragraph" w:styleId="3">
    <w:name w:val="Body Text Indent"/>
    <w:basedOn w:val="1"/>
    <w:autoRedefine/>
    <w:qFormat/>
    <w:uiPriority w:val="0"/>
    <w:pPr>
      <w:ind w:firstLine="630"/>
    </w:pPr>
    <w:rPr>
      <w:rFonts w:eastAsia="仿宋_GB2312"/>
      <w:sz w:val="32"/>
    </w:rPr>
  </w:style>
  <w:style w:type="paragraph" w:styleId="4">
    <w:name w:val="footer"/>
    <w:basedOn w:val="1"/>
    <w:link w:val="12"/>
    <w:autoRedefine/>
    <w:semiHidden/>
    <w:unhideWhenUsed/>
    <w:qFormat/>
    <w:uiPriority w:val="99"/>
    <w:pPr>
      <w:tabs>
        <w:tab w:val="center" w:pos="4153"/>
        <w:tab w:val="right" w:pos="8306"/>
      </w:tabs>
      <w:snapToGrid w:val="0"/>
      <w:spacing w:line="240" w:lineRule="atLeast"/>
      <w:jc w:val="left"/>
    </w:pPr>
    <w:rPr>
      <w:sz w:val="18"/>
      <w:szCs w:val="18"/>
    </w:rPr>
  </w:style>
  <w:style w:type="paragraph" w:styleId="5">
    <w:name w:val="header"/>
    <w:basedOn w:val="1"/>
    <w:link w:val="11"/>
    <w:autoRedefine/>
    <w:semiHidden/>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6">
    <w:name w:val="Body Text First Indent 2"/>
    <w:basedOn w:val="3"/>
    <w:next w:val="1"/>
    <w:autoRedefine/>
    <w:qFormat/>
    <w:uiPriority w:val="0"/>
    <w:pPr>
      <w:ind w:firstLine="420" w:firstLineChars="200"/>
    </w:p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autoRedefine/>
    <w:qFormat/>
    <w:uiPriority w:val="22"/>
    <w:rPr>
      <w:b/>
      <w:bCs/>
    </w:rPr>
  </w:style>
  <w:style w:type="character" w:customStyle="1" w:styleId="11">
    <w:name w:val="页眉 Char"/>
    <w:basedOn w:val="9"/>
    <w:link w:val="5"/>
    <w:autoRedefine/>
    <w:semiHidden/>
    <w:qFormat/>
    <w:uiPriority w:val="99"/>
    <w:rPr>
      <w:sz w:val="18"/>
      <w:szCs w:val="18"/>
    </w:rPr>
  </w:style>
  <w:style w:type="character" w:customStyle="1" w:styleId="12">
    <w:name w:val="页脚 Char"/>
    <w:basedOn w:val="9"/>
    <w:link w:val="4"/>
    <w:autoRedefine/>
    <w:semiHidden/>
    <w:qFormat/>
    <w:uiPriority w:val="99"/>
    <w:rPr>
      <w:sz w:val="18"/>
      <w:szCs w:val="18"/>
    </w:rPr>
  </w:style>
  <w:style w:type="paragraph" w:styleId="13">
    <w:name w:val="List Paragraph"/>
    <w:basedOn w:val="1"/>
    <w:autoRedefine/>
    <w:qFormat/>
    <w:uiPriority w:val="34"/>
    <w:pPr>
      <w:ind w:firstLine="420" w:firstLineChars="200"/>
    </w:pPr>
  </w:style>
  <w:style w:type="paragraph" w:customStyle="1" w:styleId="14">
    <w:name w:val="Default"/>
    <w:autoRedefine/>
    <w:qFormat/>
    <w:uiPriority w:val="0"/>
    <w:pPr>
      <w:widowControl w:val="0"/>
      <w:autoSpaceDE w:val="0"/>
      <w:autoSpaceDN w:val="0"/>
      <w:adjustRightInd w:val="0"/>
    </w:pPr>
    <w:rPr>
      <w:rFonts w:ascii="黑体" w:hAnsi="Times New Roman" w:eastAsia="黑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3852</Words>
  <Characters>4045</Characters>
  <Lines>30</Lines>
  <Paragraphs>8</Paragraphs>
  <TotalTime>55</TotalTime>
  <ScaleCrop>false</ScaleCrop>
  <LinksUpToDate>false</LinksUpToDate>
  <CharactersWithSpaces>4112</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2023-05-23T14:51:00Z</dcterms:created>
  <dc:creator>Administrator</dc:creator>
  <cp:lastModifiedBy>艾朵朵</cp:lastModifiedBy>
  <cp:lastPrinted>2024-04-23T02:39:32Z</cp:lastPrinted>
  <dcterms:modified xsi:type="dcterms:W3CDTF">2024-04-23T02:40:26Z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92BF59B89FA54F099D1AEE25E6AB8D54_13</vt:lpwstr>
  </property>
</Properties>
</file>