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jc w:val="center"/>
        <w:rPr>
          <w:rFonts w:cs="仿宋_GB2312" w:asciiTheme="majorEastAsia" w:hAnsiTheme="majorEastAsia" w:eastAsiaTheme="majorEastAsia"/>
          <w:b/>
          <w:color w:val="000000" w:themeColor="text1"/>
          <w:sz w:val="44"/>
          <w:szCs w:val="44"/>
        </w:rPr>
      </w:pPr>
      <w:r>
        <w:rPr>
          <w:rFonts w:hint="eastAsia" w:cs="仿宋_GB2312" w:asciiTheme="majorEastAsia" w:hAnsiTheme="majorEastAsia" w:eastAsiaTheme="majorEastAsia"/>
          <w:b/>
          <w:color w:val="000000" w:themeColor="text1"/>
          <w:sz w:val="44"/>
          <w:szCs w:val="44"/>
        </w:rPr>
        <w:t>2022年度新晃县彩票公益金项目支出</w:t>
      </w:r>
    </w:p>
    <w:p>
      <w:pPr>
        <w:spacing w:line="560" w:lineRule="exact"/>
        <w:jc w:val="center"/>
        <w:rPr>
          <w:rFonts w:cs="仿宋_GB2312" w:asciiTheme="majorEastAsia" w:hAnsiTheme="majorEastAsia" w:eastAsiaTheme="majorEastAsia"/>
          <w:b/>
          <w:color w:val="000000" w:themeColor="text1"/>
          <w:sz w:val="44"/>
          <w:szCs w:val="44"/>
        </w:rPr>
      </w:pPr>
      <w:r>
        <w:rPr>
          <w:rFonts w:hint="eastAsia" w:cs="仿宋_GB2312" w:asciiTheme="majorEastAsia" w:hAnsiTheme="majorEastAsia" w:eastAsiaTheme="majorEastAsia"/>
          <w:b/>
          <w:color w:val="000000" w:themeColor="text1"/>
          <w:sz w:val="44"/>
          <w:szCs w:val="44"/>
        </w:rPr>
        <w:t>绩效自评报告</w:t>
      </w:r>
    </w:p>
    <w:p>
      <w:pPr>
        <w:spacing w:line="560" w:lineRule="exact"/>
        <w:jc w:val="center"/>
        <w:rPr>
          <w:rFonts w:cs="仿宋_GB2312" w:asciiTheme="majorEastAsia" w:hAnsiTheme="majorEastAsia" w:eastAsiaTheme="majorEastAsia"/>
          <w:color w:val="000000" w:themeColor="text1"/>
          <w:sz w:val="44"/>
          <w:szCs w:val="44"/>
        </w:rPr>
      </w:pPr>
    </w:p>
    <w:p>
      <w:pPr>
        <w:numPr>
          <w:ilvl w:val="0"/>
          <w:numId w:val="1"/>
        </w:numPr>
        <w:spacing w:line="560" w:lineRule="exact"/>
        <w:ind w:firstLine="640" w:firstLineChars="200"/>
        <w:jc w:val="left"/>
        <w:rPr>
          <w:rFonts w:ascii="黑体" w:hAnsi="黑体" w:eastAsia="黑体" w:cs="仿宋_GB2312"/>
          <w:color w:val="000000" w:themeColor="text1"/>
          <w:sz w:val="32"/>
          <w:szCs w:val="32"/>
        </w:rPr>
      </w:pPr>
      <w:r>
        <w:rPr>
          <w:rFonts w:hint="eastAsia" w:ascii="黑体" w:hAnsi="黑体" w:eastAsia="黑体" w:cs="仿宋_GB2312"/>
          <w:color w:val="000000" w:themeColor="text1"/>
          <w:sz w:val="32"/>
          <w:szCs w:val="32"/>
        </w:rPr>
        <w:t>资金分解下达情况</w:t>
      </w:r>
    </w:p>
    <w:p>
      <w:pPr>
        <w:pStyle w:val="10"/>
        <w:numPr>
          <w:ilvl w:val="0"/>
          <w:numId w:val="2"/>
        </w:numPr>
        <w:spacing w:line="560" w:lineRule="exact"/>
        <w:ind w:firstLineChars="0"/>
        <w:jc w:val="left"/>
        <w:rPr>
          <w:rFonts w:ascii="仿宋" w:hAnsi="仿宋" w:eastAsia="仿宋" w:cs="仿宋_GB2312"/>
          <w:b/>
          <w:color w:val="000000" w:themeColor="text1"/>
          <w:sz w:val="32"/>
          <w:szCs w:val="32"/>
        </w:rPr>
      </w:pPr>
      <w:r>
        <w:rPr>
          <w:rFonts w:hint="eastAsia" w:ascii="仿宋" w:hAnsi="仿宋" w:eastAsia="仿宋" w:cs="仿宋_GB2312"/>
          <w:b/>
          <w:color w:val="000000" w:themeColor="text1"/>
          <w:sz w:val="32"/>
          <w:szCs w:val="32"/>
        </w:rPr>
        <w:t>中央彩票公益金分解下达情况</w:t>
      </w:r>
    </w:p>
    <w:p>
      <w:pPr>
        <w:spacing w:line="560" w:lineRule="exact"/>
        <w:rPr>
          <w:rFonts w:ascii="仿宋" w:hAnsi="仿宋" w:eastAsia="仿宋_GB2312" w:cs="仿宋_GB2312"/>
          <w:color w:val="000000" w:themeColor="text1"/>
          <w:sz w:val="32"/>
          <w:szCs w:val="32"/>
        </w:rPr>
      </w:pPr>
      <w:r>
        <w:rPr>
          <w:rFonts w:hint="eastAsia" w:ascii="仿宋" w:hAnsi="仿宋" w:eastAsia="仿宋" w:cs="仿宋_GB2312"/>
          <w:color w:val="000000" w:themeColor="text1"/>
          <w:sz w:val="32"/>
          <w:szCs w:val="32"/>
        </w:rPr>
        <w:t xml:space="preserve">    根据</w:t>
      </w:r>
      <w:r>
        <w:rPr>
          <w:rFonts w:hint="eastAsia" w:ascii="仿宋_GB2312" w:hAnsi="仿宋_GB2312" w:eastAsia="仿宋_GB2312" w:cs="仿宋_GB2312"/>
          <w:color w:val="000000" w:themeColor="text1"/>
          <w:sz w:val="32"/>
          <w:szCs w:val="32"/>
        </w:rPr>
        <w:t>《湖南省财政厅关于提前下达2022年中央彩票公益金支持社会福利事业专项资金的通知》（湘财社指[2021]95号）文件下达58万元，其中50万元用于困难老年人家庭适老化改造，8万元用于福彩圆梦.孤儿助学工程。</w:t>
      </w:r>
    </w:p>
    <w:p>
      <w:pPr>
        <w:pStyle w:val="10"/>
        <w:numPr>
          <w:ilvl w:val="0"/>
          <w:numId w:val="2"/>
        </w:numPr>
        <w:spacing w:line="560" w:lineRule="exact"/>
        <w:ind w:firstLineChars="0"/>
        <w:jc w:val="left"/>
        <w:rPr>
          <w:rFonts w:ascii="仿宋" w:hAnsi="仿宋" w:eastAsia="仿宋" w:cs="仿宋_GB2312"/>
          <w:b/>
          <w:color w:val="000000" w:themeColor="text1"/>
          <w:sz w:val="32"/>
          <w:szCs w:val="32"/>
        </w:rPr>
      </w:pPr>
      <w:r>
        <w:rPr>
          <w:rFonts w:hint="eastAsia" w:ascii="仿宋" w:hAnsi="仿宋" w:eastAsia="仿宋" w:cs="仿宋_GB2312"/>
          <w:b/>
          <w:color w:val="000000" w:themeColor="text1"/>
          <w:sz w:val="32"/>
          <w:szCs w:val="32"/>
        </w:rPr>
        <w:t>省级彩票公益金分解下达情况</w:t>
      </w:r>
    </w:p>
    <w:p>
      <w:pPr>
        <w:spacing w:line="560" w:lineRule="exact"/>
        <w:ind w:firstLine="640" w:firstLineChars="200"/>
        <w:rPr>
          <w:rFonts w:ascii="仿宋" w:hAnsi="仿宋" w:eastAsia="仿宋" w:cs="仿宋_GB2312"/>
          <w:color w:val="000000" w:themeColor="text1"/>
          <w:sz w:val="32"/>
          <w:szCs w:val="32"/>
        </w:rPr>
      </w:pPr>
      <w:r>
        <w:rPr>
          <w:rFonts w:hint="eastAsia" w:ascii="仿宋_GB2312" w:hAnsi="仿宋_GB2312" w:eastAsia="仿宋_GB2312" w:cs="仿宋_GB2312"/>
          <w:color w:val="000000" w:themeColor="text1"/>
          <w:sz w:val="32"/>
          <w:szCs w:val="32"/>
        </w:rPr>
        <w:t>根据《湖南省财政厅 湖南省民政厅关于下达2022年度省级福利彩票公益金的通知》（湘财综指[2022]10号）文件，</w:t>
      </w:r>
      <w:r>
        <w:rPr>
          <w:rFonts w:hint="eastAsia" w:ascii="仿宋" w:hAnsi="仿宋" w:eastAsia="仿宋" w:cs="仿宋_GB2312"/>
          <w:color w:val="000000" w:themeColor="text1"/>
          <w:sz w:val="32"/>
          <w:szCs w:val="32"/>
        </w:rPr>
        <w:t>收到省级福彩公益金指标48万元，其中民办养老机构运营补贴13万元；乡镇社工站建设和牵手计划22万元（牵手计划1万元、乡镇社工站建设21万元）；福彩公益金超收分成13万元（用于乡镇社工站建设）。</w:t>
      </w:r>
    </w:p>
    <w:p>
      <w:pPr>
        <w:spacing w:line="560" w:lineRule="exact"/>
        <w:ind w:firstLine="640" w:firstLineChars="200"/>
        <w:rPr>
          <w:rFonts w:ascii="仿宋_GB2312" w:hAnsi="仿宋_GB2312" w:eastAsia="仿宋_GB2312" w:cs="仿宋_GB2312"/>
          <w:color w:val="000000" w:themeColor="text1"/>
          <w:sz w:val="32"/>
          <w:szCs w:val="32"/>
        </w:rPr>
      </w:pPr>
      <w:r>
        <w:rPr>
          <w:rFonts w:hint="eastAsia" w:ascii="仿宋_GB2312" w:hAnsi="仿宋_GB2312" w:eastAsia="仿宋_GB2312" w:cs="仿宋_GB2312"/>
          <w:color w:val="000000" w:themeColor="text1"/>
          <w:sz w:val="32"/>
          <w:szCs w:val="32"/>
        </w:rPr>
        <w:t>根据</w:t>
      </w:r>
      <w:r>
        <w:rPr>
          <w:rFonts w:hint="eastAsia" w:ascii="仿宋" w:hAnsi="仿宋" w:eastAsia="仿宋" w:cs="仿宋_GB2312"/>
          <w:color w:val="000000" w:themeColor="text1"/>
          <w:sz w:val="32"/>
          <w:szCs w:val="32"/>
        </w:rPr>
        <w:t>《湖南省财政厅关于下达2022年度市县分成福彩公益金的通知》</w:t>
      </w:r>
      <w:r>
        <w:rPr>
          <w:rFonts w:hint="eastAsia" w:ascii="仿宋_GB2312" w:hAnsi="仿宋_GB2312" w:eastAsia="仿宋_GB2312" w:cs="仿宋_GB2312"/>
          <w:color w:val="000000" w:themeColor="text1"/>
          <w:sz w:val="32"/>
          <w:szCs w:val="32"/>
        </w:rPr>
        <w:t>（湘财综指[2022]8号）文件，下达省级福彩公益金95.2万元用于社会福利项目，经局党组研究同意报县财政备案，其中养老服务示范点27.1万元；儿童之家12万元；敬老院维修36.6万元；慈善助学2.5万元；乡镇社工站建设17万元。</w:t>
      </w:r>
    </w:p>
    <w:p>
      <w:pPr>
        <w:spacing w:line="560" w:lineRule="exact"/>
        <w:ind w:firstLine="640" w:firstLineChars="200"/>
        <w:rPr>
          <w:rFonts w:ascii="仿宋" w:hAnsi="仿宋" w:eastAsia="仿宋" w:cs="仿宋_GB2312"/>
          <w:b/>
          <w:color w:val="000000" w:themeColor="text1"/>
          <w:sz w:val="32"/>
          <w:szCs w:val="32"/>
        </w:rPr>
      </w:pPr>
      <w:r>
        <w:rPr>
          <w:rFonts w:hint="eastAsia" w:ascii="仿宋_GB2312" w:hAnsi="仿宋_GB2312" w:eastAsia="仿宋_GB2312" w:cs="仿宋_GB2312"/>
          <w:color w:val="000000" w:themeColor="text1"/>
          <w:sz w:val="32"/>
          <w:szCs w:val="32"/>
        </w:rPr>
        <w:t>（三）</w:t>
      </w:r>
      <w:r>
        <w:rPr>
          <w:rFonts w:hint="eastAsia" w:ascii="仿宋" w:hAnsi="仿宋" w:eastAsia="仿宋" w:cs="仿宋_GB2312"/>
          <w:b/>
          <w:color w:val="000000" w:themeColor="text1"/>
          <w:sz w:val="32"/>
          <w:szCs w:val="32"/>
        </w:rPr>
        <w:t>市级彩票公益金分解下达情况</w:t>
      </w:r>
    </w:p>
    <w:p>
      <w:pPr>
        <w:spacing w:line="560" w:lineRule="exact"/>
        <w:ind w:firstLine="640" w:firstLineChars="200"/>
        <w:rPr>
          <w:rFonts w:ascii="仿宋_GB2312" w:hAnsi="仿宋_GB2312" w:eastAsia="仿宋_GB2312" w:cs="仿宋_GB2312"/>
          <w:color w:val="000000" w:themeColor="text1"/>
          <w:sz w:val="32"/>
          <w:szCs w:val="32"/>
        </w:rPr>
      </w:pPr>
      <w:r>
        <w:rPr>
          <w:rFonts w:hint="eastAsia" w:ascii="仿宋" w:hAnsi="仿宋" w:eastAsia="仿宋" w:cs="仿宋_GB2312"/>
          <w:color w:val="000000" w:themeColor="text1"/>
          <w:sz w:val="32"/>
          <w:szCs w:val="32"/>
        </w:rPr>
        <w:t>根据《怀化市财政局关于下达2022年度分成福利彩票公益金的通知》</w:t>
      </w:r>
      <w:r>
        <w:rPr>
          <w:rFonts w:hint="eastAsia" w:ascii="仿宋_GB2312" w:hAnsi="仿宋_GB2312" w:eastAsia="仿宋_GB2312" w:cs="仿宋_GB2312"/>
          <w:color w:val="000000" w:themeColor="text1"/>
          <w:sz w:val="32"/>
          <w:szCs w:val="32"/>
        </w:rPr>
        <w:t>（怀财综指[2022]2号），收到市福彩公益金17万元，其中晃州镇长滩村和谐社区创建2万元；民政局基层社工站建设及服务项目5万元；波洲镇暮山坪村未成年人红色教育基地10万元。</w:t>
      </w:r>
    </w:p>
    <w:p>
      <w:pPr>
        <w:spacing w:line="560" w:lineRule="exact"/>
        <w:ind w:firstLine="640" w:firstLineChars="200"/>
        <w:rPr>
          <w:rFonts w:ascii="仿宋" w:hAnsi="仿宋" w:eastAsia="仿宋" w:cs="仿宋_GB2312"/>
          <w:color w:val="000000" w:themeColor="text1"/>
          <w:sz w:val="32"/>
          <w:szCs w:val="32"/>
        </w:rPr>
      </w:pPr>
      <w:r>
        <w:rPr>
          <w:rFonts w:hint="eastAsia" w:ascii="仿宋_GB2312" w:hAnsi="仿宋_GB2312" w:eastAsia="仿宋_GB2312" w:cs="仿宋_GB2312"/>
          <w:color w:val="000000" w:themeColor="text1"/>
          <w:sz w:val="32"/>
          <w:szCs w:val="32"/>
        </w:rPr>
        <w:t>2022年共计收到中央、省、市下达福彩公益金218.2万元，已</w:t>
      </w:r>
      <w:r>
        <w:rPr>
          <w:rFonts w:hint="eastAsia" w:ascii="仿宋_GB2312" w:hAnsi="仿宋_GB2312" w:eastAsia="仿宋_GB2312" w:cs="仿宋_GB2312"/>
          <w:color w:val="000000" w:themeColor="text1"/>
          <w:sz w:val="32"/>
          <w:szCs w:val="32"/>
          <w:lang w:eastAsia="zh-CN"/>
        </w:rPr>
        <w:t>使用</w:t>
      </w:r>
      <w:r>
        <w:rPr>
          <w:rFonts w:hint="eastAsia" w:ascii="仿宋_GB2312" w:hAnsi="仿宋_GB2312" w:eastAsia="仿宋_GB2312" w:cs="仿宋_GB2312"/>
          <w:color w:val="000000" w:themeColor="text1"/>
          <w:sz w:val="32"/>
          <w:szCs w:val="32"/>
        </w:rPr>
        <w:t>项目资金218.2万元。</w:t>
      </w:r>
    </w:p>
    <w:p>
      <w:pPr>
        <w:numPr>
          <w:ilvl w:val="0"/>
          <w:numId w:val="1"/>
        </w:numPr>
        <w:spacing w:line="560" w:lineRule="exact"/>
        <w:ind w:firstLine="640" w:firstLineChars="200"/>
        <w:jc w:val="left"/>
        <w:rPr>
          <w:rFonts w:ascii="黑体" w:hAnsi="黑体" w:eastAsia="黑体" w:cs="仿宋_GB2312"/>
          <w:color w:val="000000" w:themeColor="text1"/>
          <w:sz w:val="32"/>
          <w:szCs w:val="32"/>
        </w:rPr>
      </w:pPr>
      <w:r>
        <w:rPr>
          <w:rFonts w:hint="eastAsia" w:ascii="黑体" w:hAnsi="黑体" w:eastAsia="黑体" w:cs="仿宋_GB2312"/>
          <w:color w:val="000000" w:themeColor="text1"/>
          <w:sz w:val="32"/>
          <w:szCs w:val="32"/>
        </w:rPr>
        <w:t>绩效目标设定情况</w:t>
      </w:r>
    </w:p>
    <w:p>
      <w:pPr>
        <w:spacing w:line="560" w:lineRule="exact"/>
        <w:ind w:firstLine="643" w:firstLineChars="200"/>
        <w:rPr>
          <w:rFonts w:ascii="黑体" w:hAnsi="黑体" w:eastAsia="仿宋" w:cs="仿宋_GB2312"/>
          <w:color w:val="000000" w:themeColor="text1"/>
          <w:sz w:val="32"/>
          <w:szCs w:val="32"/>
        </w:rPr>
      </w:pPr>
      <w:r>
        <w:rPr>
          <w:rFonts w:hint="eastAsia" w:ascii="仿宋" w:hAnsi="仿宋" w:eastAsia="仿宋" w:cs="仿宋"/>
          <w:b/>
          <w:bCs/>
          <w:color w:val="000000" w:themeColor="text1"/>
          <w:sz w:val="32"/>
          <w:szCs w:val="32"/>
        </w:rPr>
        <w:t>1.困难老年人家庭适老化改造项目。</w:t>
      </w:r>
      <w:r>
        <w:rPr>
          <w:rFonts w:hint="eastAsia" w:ascii="仿宋" w:hAnsi="仿宋" w:eastAsia="仿宋" w:cs="仿宋"/>
          <w:color w:val="000000" w:themeColor="text1"/>
          <w:sz w:val="32"/>
          <w:szCs w:val="32"/>
        </w:rPr>
        <w:t>该项目目标任务为晃州镇、波洲镇、中寨镇、禾滩镇、贡溪镇等5个乡镇辖区范围内99户困难老年人家庭，结合对象要求，分别进行房屋内的无障碍改造及配备必要的残障辅助器材。</w:t>
      </w:r>
    </w:p>
    <w:p>
      <w:pPr>
        <w:spacing w:line="560" w:lineRule="exact"/>
        <w:ind w:firstLine="643" w:firstLineChars="200"/>
        <w:jc w:val="left"/>
        <w:rPr>
          <w:rFonts w:ascii="仿宋" w:hAnsi="仿宋" w:eastAsia="仿宋" w:cs="仿宋_GB2312"/>
          <w:color w:val="000000" w:themeColor="text1"/>
          <w:sz w:val="32"/>
          <w:szCs w:val="32"/>
        </w:rPr>
      </w:pPr>
      <w:r>
        <w:rPr>
          <w:rFonts w:hint="eastAsia" w:ascii="仿宋" w:hAnsi="仿宋" w:eastAsia="仿宋" w:cs="仿宋_GB2312"/>
          <w:b/>
          <w:color w:val="000000" w:themeColor="text1"/>
          <w:sz w:val="32"/>
          <w:szCs w:val="32"/>
        </w:rPr>
        <w:t>2.孤儿助学。</w:t>
      </w:r>
      <w:r>
        <w:rPr>
          <w:rFonts w:hint="eastAsia" w:ascii="仿宋" w:hAnsi="仿宋" w:eastAsia="仿宋" w:cs="仿宋_GB2312"/>
          <w:color w:val="000000" w:themeColor="text1"/>
          <w:sz w:val="32"/>
          <w:szCs w:val="32"/>
        </w:rPr>
        <w:t>对已被认定为孤儿身份、年满18岁后在普通全日制本科学校、普通全日制专科学校、高等职业学校等高等院校和中等职业学校就读中专、大专、本科学生和硕士研究生的孤儿进行补助。</w:t>
      </w:r>
    </w:p>
    <w:p>
      <w:pPr>
        <w:spacing w:line="560" w:lineRule="exact"/>
        <w:ind w:firstLine="643" w:firstLineChars="200"/>
        <w:rPr>
          <w:rFonts w:ascii="仿宋" w:hAnsi="仿宋" w:eastAsia="仿宋" w:cs="仿宋_GB2312"/>
          <w:b/>
          <w:color w:val="000000" w:themeColor="text1"/>
          <w:sz w:val="32"/>
          <w:szCs w:val="32"/>
        </w:rPr>
      </w:pPr>
      <w:r>
        <w:rPr>
          <w:rFonts w:hint="eastAsia" w:ascii="仿宋" w:hAnsi="仿宋" w:eastAsia="仿宋" w:cs="仿宋_GB2312"/>
          <w:b/>
          <w:color w:val="000000" w:themeColor="text1"/>
          <w:sz w:val="32"/>
          <w:szCs w:val="32"/>
        </w:rPr>
        <w:t>3.民办养老机构运营补贴。</w:t>
      </w:r>
      <w:r>
        <w:rPr>
          <w:rFonts w:hint="eastAsia" w:ascii="仿宋" w:hAnsi="仿宋" w:eastAsia="仿宋" w:cs="仿宋_GB2312"/>
          <w:color w:val="000000" w:themeColor="text1"/>
          <w:sz w:val="32"/>
          <w:szCs w:val="32"/>
        </w:rPr>
        <w:t>提升养老服务高质量发展，加大养老服务资金投入，支持经等级评定的社会力量办养老机构和医养结合机构的一次性建设补贴以及运营补贴；支持由专业社会组织承接运营并经等级评定的社区养老服务设施的一次性建设补贴以及运营补贴。</w:t>
      </w:r>
    </w:p>
    <w:p>
      <w:pPr>
        <w:pStyle w:val="6"/>
        <w:spacing w:line="240" w:lineRule="auto"/>
        <w:ind w:firstLine="643"/>
        <w:rPr>
          <w:rFonts w:eastAsia="仿宋"/>
          <w:color w:val="000000" w:themeColor="text1"/>
        </w:rPr>
      </w:pPr>
      <w:r>
        <w:rPr>
          <w:rFonts w:hint="eastAsia" w:ascii="仿宋" w:hAnsi="仿宋" w:eastAsia="仿宋" w:cs="仿宋_GB2312"/>
          <w:b/>
          <w:color w:val="000000" w:themeColor="text1"/>
          <w:szCs w:val="32"/>
        </w:rPr>
        <w:t>4.乡镇社工站建设</w:t>
      </w:r>
      <w:r>
        <w:rPr>
          <w:rFonts w:hint="eastAsia" w:ascii="仿宋" w:hAnsi="仿宋" w:eastAsia="仿宋" w:cs="宋体"/>
          <w:b/>
          <w:color w:val="000000" w:themeColor="text1"/>
          <w:szCs w:val="32"/>
        </w:rPr>
        <w:t>。</w:t>
      </w:r>
      <w:r>
        <w:rPr>
          <w:rFonts w:hint="eastAsia" w:ascii="仿宋" w:hAnsi="仿宋" w:eastAsia="仿宋" w:cs="宋体"/>
          <w:color w:val="000000" w:themeColor="text1"/>
          <w:szCs w:val="32"/>
        </w:rPr>
        <w:t>乡镇社工站建设开展社会工作专业人才队伍建设，建设本土社工机构和培养社工人才；支持购买社工专业人员开展社会救助、慈善公益、社区服务、儿童关爱等社会工作服务;</w:t>
      </w:r>
      <w:r>
        <w:rPr>
          <w:rFonts w:hint="eastAsia" w:ascii="仿宋" w:hAnsi="仿宋" w:eastAsia="仿宋" w:cs="Times New Roman"/>
          <w:bCs/>
          <w:color w:val="000000" w:themeColor="text1"/>
          <w:kern w:val="0"/>
          <w:szCs w:val="32"/>
        </w:rPr>
        <w:t>探索建立“五社联动”服务模式。</w:t>
      </w:r>
    </w:p>
    <w:p>
      <w:pPr>
        <w:spacing w:line="560" w:lineRule="exact"/>
        <w:ind w:firstLine="643" w:firstLineChars="200"/>
        <w:rPr>
          <w:color w:val="000000" w:themeColor="text1"/>
        </w:rPr>
      </w:pPr>
      <w:r>
        <w:rPr>
          <w:rFonts w:hint="eastAsia" w:ascii="仿宋" w:hAnsi="仿宋" w:eastAsia="仿宋" w:cs="Arial"/>
          <w:b/>
          <w:color w:val="000000" w:themeColor="text1"/>
          <w:sz w:val="32"/>
          <w:szCs w:val="32"/>
          <w:shd w:val="clear" w:color="auto" w:fill="FFFFFF"/>
        </w:rPr>
        <w:t>5.牵手计划。</w:t>
      </w:r>
      <w:r>
        <w:rPr>
          <w:rFonts w:hint="eastAsia" w:ascii="仿宋" w:hAnsi="仿宋" w:eastAsia="仿宋" w:cs="Arial"/>
          <w:color w:val="000000" w:themeColor="text1"/>
          <w:sz w:val="32"/>
          <w:szCs w:val="32"/>
          <w:shd w:val="clear" w:color="auto" w:fill="FFFFFF"/>
        </w:rPr>
        <w:t>以机构目前开展的项目为依托，援派机构专业社工人员对本机构社工从事公益行业的人员开展职业规划、服务技巧等专业督导，并为本机构社工理清服务思路及服务方向，以加深本机构社工对社工职业的了解，提高对社工职业的认同感，提升本机构社工的专业性。</w:t>
      </w:r>
      <w:r>
        <w:rPr>
          <w:rFonts w:hint="eastAsia"/>
          <w:color w:val="000000" w:themeColor="text1"/>
        </w:rPr>
        <w:t xml:space="preserve"> </w:t>
      </w:r>
    </w:p>
    <w:p>
      <w:pPr>
        <w:spacing w:line="560" w:lineRule="exact"/>
        <w:ind w:firstLine="643" w:firstLineChars="200"/>
        <w:rPr>
          <w:rFonts w:ascii="仿宋_GB2312" w:hAnsi="仿宋_GB2312" w:eastAsia="仿宋_GB2312" w:cs="仿宋_GB2312"/>
          <w:color w:val="000000" w:themeColor="text1"/>
          <w:sz w:val="32"/>
          <w:szCs w:val="32"/>
        </w:rPr>
      </w:pPr>
      <w:r>
        <w:rPr>
          <w:rFonts w:hint="eastAsia" w:ascii="仿宋" w:hAnsi="仿宋" w:eastAsia="仿宋" w:cs="Arial"/>
          <w:b/>
          <w:color w:val="000000" w:themeColor="text1"/>
          <w:sz w:val="32"/>
          <w:szCs w:val="32"/>
          <w:shd w:val="clear" w:color="auto" w:fill="FFFFFF"/>
        </w:rPr>
        <w:t>6.养老服务项目建设。</w:t>
      </w:r>
      <w:r>
        <w:rPr>
          <w:rFonts w:hint="eastAsia" w:ascii="仿宋" w:hAnsi="仿宋" w:eastAsia="仿宋" w:cs="Arial"/>
          <w:color w:val="000000" w:themeColor="text1"/>
          <w:sz w:val="32"/>
          <w:szCs w:val="32"/>
          <w:shd w:val="clear" w:color="auto" w:fill="FFFFFF"/>
        </w:rPr>
        <w:t>完成禾滩、兴隆、凉伞、李树、波洲敬老院房屋的维修改造，解除房屋开裂、倾斜等安全隐患，确保五保老人有一个安全、舒适的生活环境。完成10个</w:t>
      </w:r>
      <w:r>
        <w:rPr>
          <w:rFonts w:hint="eastAsia" w:ascii="仿宋_GB2312" w:hAnsi="仿宋_GB2312" w:eastAsia="仿宋_GB2312" w:cs="仿宋_GB2312"/>
          <w:color w:val="000000" w:themeColor="text1"/>
          <w:sz w:val="32"/>
          <w:szCs w:val="32"/>
        </w:rPr>
        <w:t>养老服务示范点</w:t>
      </w:r>
      <w:r>
        <w:rPr>
          <w:rFonts w:hint="eastAsia" w:ascii="仿宋_GB2312" w:hAnsi="仿宋_GB2312" w:eastAsia="仿宋_GB2312" w:cs="仿宋_GB2312"/>
          <w:color w:val="000000" w:themeColor="text1"/>
          <w:sz w:val="32"/>
          <w:szCs w:val="32"/>
          <w:lang w:eastAsia="zh-CN"/>
        </w:rPr>
        <w:t>项目</w:t>
      </w:r>
      <w:r>
        <w:rPr>
          <w:rFonts w:hint="eastAsia" w:ascii="仿宋_GB2312" w:hAnsi="仿宋_GB2312" w:eastAsia="仿宋_GB2312" w:cs="仿宋_GB2312"/>
          <w:color w:val="000000" w:themeColor="text1"/>
          <w:sz w:val="32"/>
          <w:szCs w:val="32"/>
        </w:rPr>
        <w:t>建设。</w:t>
      </w:r>
    </w:p>
    <w:p>
      <w:pPr>
        <w:spacing w:line="560" w:lineRule="exact"/>
        <w:ind w:firstLine="643" w:firstLineChars="200"/>
        <w:rPr>
          <w:rFonts w:ascii="仿宋_GB2312" w:hAnsi="仿宋_GB2312" w:eastAsia="仿宋_GB2312" w:cs="仿宋_GB2312"/>
          <w:b/>
          <w:bCs/>
          <w:color w:val="000000" w:themeColor="text1"/>
          <w:sz w:val="32"/>
          <w:szCs w:val="32"/>
        </w:rPr>
      </w:pPr>
      <w:r>
        <w:rPr>
          <w:rFonts w:hint="eastAsia" w:ascii="仿宋_GB2312" w:hAnsi="仿宋_GB2312" w:eastAsia="仿宋_GB2312" w:cs="仿宋_GB2312"/>
          <w:b/>
          <w:bCs/>
          <w:color w:val="000000" w:themeColor="text1"/>
          <w:sz w:val="32"/>
          <w:szCs w:val="32"/>
        </w:rPr>
        <w:t>7.儿童福利类项目。</w:t>
      </w:r>
      <w:r>
        <w:rPr>
          <w:rFonts w:hint="eastAsia" w:ascii="仿宋_GB2312" w:hAnsi="仿宋_GB2312" w:eastAsia="仿宋_GB2312" w:cs="仿宋_GB2312"/>
          <w:color w:val="000000" w:themeColor="text1"/>
          <w:sz w:val="32"/>
          <w:szCs w:val="32"/>
        </w:rPr>
        <w:t>完成10所儿童之家建设。完成波洲镇暮山坪村未成年人红色教育基地建设。</w:t>
      </w:r>
    </w:p>
    <w:p>
      <w:pPr>
        <w:spacing w:line="560" w:lineRule="exact"/>
        <w:ind w:firstLine="643" w:firstLineChars="200"/>
        <w:rPr>
          <w:rFonts w:ascii="仿宋_GB2312" w:hAnsi="仿宋_GB2312" w:eastAsia="仿宋_GB2312" w:cs="仿宋_GB2312"/>
          <w:color w:val="000000" w:themeColor="text1"/>
          <w:sz w:val="32"/>
          <w:szCs w:val="32"/>
        </w:rPr>
      </w:pPr>
      <w:r>
        <w:rPr>
          <w:rFonts w:hint="eastAsia" w:ascii="仿宋" w:hAnsi="仿宋" w:eastAsia="仿宋" w:cs="Arial"/>
          <w:b/>
          <w:color w:val="000000" w:themeColor="text1"/>
          <w:sz w:val="32"/>
          <w:szCs w:val="32"/>
          <w:shd w:val="clear" w:color="auto" w:fill="FFFFFF"/>
        </w:rPr>
        <w:t>8.社会福利项目。</w:t>
      </w:r>
      <w:r>
        <w:rPr>
          <w:rFonts w:hint="eastAsia" w:ascii="仿宋_GB2312" w:hAnsi="仿宋_GB2312" w:eastAsia="仿宋_GB2312" w:cs="仿宋_GB2312"/>
          <w:color w:val="000000" w:themeColor="text1"/>
          <w:sz w:val="32"/>
          <w:szCs w:val="32"/>
        </w:rPr>
        <w:t>开展2022年度慈善助学工作。</w:t>
      </w:r>
      <w:r>
        <w:rPr>
          <w:rFonts w:hint="eastAsia" w:ascii="仿宋_GB2312" w:hAnsi="仿宋_GB2312" w:eastAsia="仿宋_GB2312" w:cs="仿宋_GB2312"/>
          <w:color w:val="000000" w:themeColor="text1"/>
          <w:sz w:val="32"/>
          <w:szCs w:val="32"/>
          <w:lang w:eastAsia="zh-CN"/>
        </w:rPr>
        <w:t>完成</w:t>
      </w:r>
      <w:r>
        <w:rPr>
          <w:rFonts w:hint="eastAsia" w:ascii="仿宋_GB2312" w:hAnsi="仿宋_GB2312" w:eastAsia="仿宋_GB2312" w:cs="仿宋_GB2312"/>
          <w:color w:val="000000" w:themeColor="text1"/>
          <w:sz w:val="32"/>
          <w:szCs w:val="32"/>
        </w:rPr>
        <w:t>1个和谐社区创建工作。</w:t>
      </w:r>
    </w:p>
    <w:p>
      <w:pPr>
        <w:numPr>
          <w:ilvl w:val="0"/>
          <w:numId w:val="1"/>
        </w:numPr>
        <w:spacing w:line="560" w:lineRule="exact"/>
        <w:ind w:firstLine="640" w:firstLineChars="200"/>
        <w:jc w:val="left"/>
        <w:rPr>
          <w:rFonts w:ascii="黑体" w:hAnsi="黑体" w:eastAsia="黑体" w:cs="仿宋_GB2312"/>
          <w:color w:val="000000" w:themeColor="text1"/>
          <w:sz w:val="32"/>
          <w:szCs w:val="32"/>
        </w:rPr>
      </w:pPr>
      <w:r>
        <w:rPr>
          <w:rFonts w:hint="eastAsia" w:ascii="黑体" w:hAnsi="黑体" w:eastAsia="黑体" w:cs="仿宋_GB2312"/>
          <w:color w:val="000000" w:themeColor="text1"/>
          <w:sz w:val="32"/>
          <w:szCs w:val="32"/>
        </w:rPr>
        <w:t>绩效目标完成情况分析</w:t>
      </w:r>
    </w:p>
    <w:p>
      <w:pPr>
        <w:spacing w:line="560" w:lineRule="exact"/>
        <w:ind w:firstLine="482" w:firstLineChars="150"/>
        <w:jc w:val="left"/>
        <w:rPr>
          <w:rFonts w:ascii="仿宋_GB2312" w:hAnsi="仿宋_GB2312" w:eastAsia="仿宋_GB2312" w:cs="仿宋_GB2312"/>
          <w:color w:val="000000" w:themeColor="text1"/>
          <w:sz w:val="32"/>
          <w:szCs w:val="32"/>
        </w:rPr>
      </w:pPr>
      <w:r>
        <w:rPr>
          <w:rFonts w:hint="eastAsia" w:ascii="仿宋_GB2312" w:hAnsi="仿宋_GB2312" w:eastAsia="仿宋_GB2312" w:cs="仿宋_GB2312"/>
          <w:b/>
          <w:color w:val="000000" w:themeColor="text1"/>
          <w:sz w:val="32"/>
          <w:szCs w:val="32"/>
        </w:rPr>
        <w:t>（一）资金投入情况分析。</w:t>
      </w:r>
    </w:p>
    <w:p>
      <w:pPr>
        <w:pStyle w:val="10"/>
        <w:numPr>
          <w:ilvl w:val="0"/>
          <w:numId w:val="3"/>
        </w:numPr>
        <w:spacing w:line="560" w:lineRule="exact"/>
        <w:ind w:firstLineChars="0"/>
        <w:rPr>
          <w:rFonts w:ascii="楷体" w:hAnsi="楷体" w:eastAsia="楷体" w:cs="宋体"/>
          <w:b/>
          <w:color w:val="000000" w:themeColor="text1"/>
          <w:sz w:val="32"/>
          <w:szCs w:val="32"/>
        </w:rPr>
      </w:pPr>
      <w:r>
        <w:rPr>
          <w:rFonts w:hint="eastAsia" w:ascii="楷体" w:hAnsi="楷体" w:eastAsia="楷体" w:cs="宋体"/>
          <w:b/>
          <w:color w:val="000000" w:themeColor="text1"/>
          <w:sz w:val="32"/>
          <w:szCs w:val="32"/>
        </w:rPr>
        <w:t>项目资金执行情况分析</w:t>
      </w:r>
    </w:p>
    <w:p>
      <w:pPr>
        <w:spacing w:line="560" w:lineRule="exact"/>
        <w:ind w:firstLine="643" w:firstLineChars="200"/>
        <w:rPr>
          <w:rFonts w:ascii="仿宋" w:hAnsi="仿宋" w:eastAsia="仿宋" w:cs="宋体"/>
          <w:color w:val="000000" w:themeColor="text1"/>
          <w:sz w:val="32"/>
          <w:szCs w:val="32"/>
        </w:rPr>
      </w:pPr>
      <w:r>
        <w:rPr>
          <w:rFonts w:hint="eastAsia" w:ascii="仿宋" w:hAnsi="仿宋" w:eastAsia="仿宋" w:cs="宋体"/>
          <w:b/>
          <w:color w:val="000000" w:themeColor="text1"/>
          <w:sz w:val="32"/>
          <w:szCs w:val="32"/>
        </w:rPr>
        <w:t>中央福利彩票公益金执行情况：</w:t>
      </w:r>
      <w:r>
        <w:rPr>
          <w:rFonts w:hint="eastAsia" w:ascii="仿宋" w:hAnsi="仿宋" w:eastAsia="仿宋" w:cs="宋体"/>
          <w:color w:val="000000" w:themeColor="text1"/>
          <w:sz w:val="32"/>
          <w:szCs w:val="32"/>
        </w:rPr>
        <w:t>中央福利彩票公益金困难老年人家庭适老化改造50万元，已支付49.5万元。福彩圆梦.孤儿助学工程8万元，已支付8万元。</w:t>
      </w:r>
    </w:p>
    <w:p>
      <w:pPr>
        <w:spacing w:line="560" w:lineRule="exact"/>
        <w:ind w:firstLine="643" w:firstLineChars="200"/>
        <w:rPr>
          <w:rFonts w:hint="eastAsia" w:ascii="仿宋" w:hAnsi="仿宋" w:eastAsia="仿宋" w:cs="仿宋_GB2312"/>
          <w:color w:val="000000" w:themeColor="text1"/>
          <w:sz w:val="32"/>
          <w:szCs w:val="32"/>
          <w:lang w:val="en-US" w:eastAsia="zh-CN"/>
        </w:rPr>
      </w:pPr>
      <w:r>
        <w:rPr>
          <w:rFonts w:hint="eastAsia" w:ascii="仿宋" w:hAnsi="仿宋" w:eastAsia="仿宋" w:cs="宋体"/>
          <w:b/>
          <w:color w:val="000000" w:themeColor="text1"/>
          <w:sz w:val="32"/>
          <w:szCs w:val="32"/>
        </w:rPr>
        <w:t>省级福利彩票公益金执行情况：</w:t>
      </w:r>
      <w:r>
        <w:rPr>
          <w:rFonts w:hint="eastAsia" w:ascii="仿宋" w:hAnsi="仿宋" w:eastAsia="仿宋" w:cs="仿宋_GB2312"/>
          <w:color w:val="000000" w:themeColor="text1"/>
          <w:sz w:val="32"/>
          <w:szCs w:val="32"/>
        </w:rPr>
        <w:t>省级福利彩票公益金专项补助共计143.2万元，已支付65.6万元。其中民办养老机构运营补贴13万元，已分配资金，暂未支付；乡镇社工站建设51万，已支付51万元；牵手计划1万元，已验收合格，暂未支付；养老服务示范点建设10个，已验收</w:t>
      </w:r>
      <w:r>
        <w:rPr>
          <w:rFonts w:hint="eastAsia" w:ascii="仿宋" w:hAnsi="仿宋" w:eastAsia="仿宋" w:cs="仿宋_GB2312"/>
          <w:color w:val="000000" w:themeColor="text1"/>
          <w:sz w:val="32"/>
          <w:szCs w:val="32"/>
          <w:lang w:val="en-US" w:eastAsia="zh-CN"/>
        </w:rPr>
        <w:t>5</w:t>
      </w:r>
      <w:r>
        <w:rPr>
          <w:rFonts w:hint="eastAsia" w:ascii="仿宋" w:hAnsi="仿宋" w:eastAsia="仿宋" w:cs="仿宋_GB2312"/>
          <w:color w:val="000000" w:themeColor="text1"/>
          <w:sz w:val="32"/>
          <w:szCs w:val="32"/>
        </w:rPr>
        <w:t>个，支付4.6万元，其余</w:t>
      </w:r>
      <w:r>
        <w:rPr>
          <w:rFonts w:hint="eastAsia" w:ascii="仿宋" w:hAnsi="仿宋" w:eastAsia="仿宋" w:cs="仿宋_GB2312"/>
          <w:color w:val="000000" w:themeColor="text1"/>
          <w:sz w:val="32"/>
          <w:szCs w:val="32"/>
          <w:lang w:val="en-US" w:eastAsia="zh-CN"/>
        </w:rPr>
        <w:t>5</w:t>
      </w:r>
      <w:r>
        <w:rPr>
          <w:rFonts w:hint="eastAsia" w:ascii="仿宋" w:hAnsi="仿宋" w:eastAsia="仿宋" w:cs="仿宋_GB2312"/>
          <w:color w:val="000000" w:themeColor="text1"/>
          <w:sz w:val="32"/>
          <w:szCs w:val="32"/>
        </w:rPr>
        <w:t>个在建设中。儿童之家建设10所，已完工5所，其余5所正在建设中。5所敬老院维修均已完工，已支付10万元。</w:t>
      </w:r>
      <w:r>
        <w:rPr>
          <w:rFonts w:hint="eastAsia" w:ascii="仿宋" w:hAnsi="仿宋" w:eastAsia="仿宋" w:cs="仿宋_GB2312"/>
          <w:color w:val="000000" w:themeColor="text1"/>
          <w:sz w:val="32"/>
          <w:szCs w:val="32"/>
          <w:lang w:eastAsia="zh-CN"/>
        </w:rPr>
        <w:t>完成对</w:t>
      </w:r>
      <w:r>
        <w:rPr>
          <w:rFonts w:hint="eastAsia" w:ascii="仿宋" w:hAnsi="仿宋" w:eastAsia="仿宋" w:cs="仿宋_GB2312"/>
          <w:color w:val="000000" w:themeColor="text1"/>
          <w:sz w:val="32"/>
          <w:szCs w:val="32"/>
          <w:lang w:val="en-US" w:eastAsia="zh-CN"/>
        </w:rPr>
        <w:t>17名贫困生</w:t>
      </w:r>
      <w:r>
        <w:rPr>
          <w:rFonts w:hint="eastAsia" w:ascii="仿宋" w:hAnsi="仿宋" w:eastAsia="仿宋" w:cs="仿宋_GB2312"/>
          <w:color w:val="000000" w:themeColor="text1"/>
          <w:sz w:val="32"/>
          <w:szCs w:val="32"/>
          <w:lang w:eastAsia="zh-CN"/>
        </w:rPr>
        <w:t>慈善助学（慈善办垫付），暂未支付。</w:t>
      </w:r>
    </w:p>
    <w:p>
      <w:pPr>
        <w:spacing w:line="560" w:lineRule="exact"/>
        <w:ind w:firstLine="643" w:firstLineChars="200"/>
        <w:rPr>
          <w:rFonts w:ascii="仿宋" w:hAnsi="仿宋" w:eastAsia="仿宋" w:cs="仿宋_GB2312"/>
          <w:b/>
          <w:bCs/>
          <w:color w:val="000000" w:themeColor="text1"/>
          <w:sz w:val="32"/>
          <w:szCs w:val="32"/>
        </w:rPr>
      </w:pPr>
      <w:r>
        <w:rPr>
          <w:rFonts w:hint="eastAsia" w:ascii="仿宋" w:hAnsi="仿宋" w:eastAsia="仿宋" w:cs="仿宋_GB2312"/>
          <w:b/>
          <w:bCs/>
          <w:color w:val="000000" w:themeColor="text1"/>
          <w:sz w:val="32"/>
          <w:szCs w:val="32"/>
        </w:rPr>
        <w:t>市级</w:t>
      </w:r>
      <w:r>
        <w:rPr>
          <w:rFonts w:hint="eastAsia" w:ascii="仿宋" w:hAnsi="仿宋" w:eastAsia="仿宋" w:cs="宋体"/>
          <w:b/>
          <w:bCs/>
          <w:color w:val="000000" w:themeColor="text1"/>
          <w:sz w:val="32"/>
          <w:szCs w:val="32"/>
        </w:rPr>
        <w:t>福利彩票公益金执行情况：</w:t>
      </w:r>
      <w:r>
        <w:rPr>
          <w:rFonts w:hint="eastAsia" w:ascii="仿宋" w:hAnsi="仿宋" w:eastAsia="仿宋" w:cs="宋体"/>
          <w:bCs/>
          <w:color w:val="000000" w:themeColor="text1"/>
          <w:sz w:val="32"/>
          <w:szCs w:val="32"/>
        </w:rPr>
        <w:t>共收到市级福彩公益金17万元，已支付15万元。其中</w:t>
      </w:r>
      <w:r>
        <w:rPr>
          <w:rFonts w:hint="eastAsia" w:ascii="仿宋_GB2312" w:hAnsi="仿宋_GB2312" w:eastAsia="仿宋_GB2312" w:cs="仿宋_GB2312"/>
          <w:color w:val="000000" w:themeColor="text1"/>
          <w:sz w:val="32"/>
          <w:szCs w:val="32"/>
        </w:rPr>
        <w:t>晃州镇长滩村和谐社区创建2万元，该项目施工方暂未动工。民政局基层社工站建设及服务项目5万元，该项目已完工并验收，支付5万元。波洲镇暮山坪村未成年人红色教育基地10万元，该项目已完工并验收，支付10万元。</w:t>
      </w:r>
    </w:p>
    <w:p>
      <w:pPr>
        <w:spacing w:line="560" w:lineRule="exact"/>
        <w:ind w:firstLine="643" w:firstLineChars="200"/>
        <w:rPr>
          <w:rFonts w:ascii="仿宋" w:hAnsi="仿宋" w:eastAsia="仿宋" w:cs="仿宋_GB2312"/>
          <w:color w:val="000000" w:themeColor="text1"/>
          <w:sz w:val="32"/>
          <w:szCs w:val="32"/>
        </w:rPr>
      </w:pPr>
      <w:r>
        <w:rPr>
          <w:rFonts w:hint="eastAsia" w:ascii="楷体" w:hAnsi="楷体" w:eastAsia="楷体" w:cs="仿宋_GB2312"/>
          <w:b/>
          <w:color w:val="000000" w:themeColor="text1"/>
          <w:sz w:val="32"/>
          <w:szCs w:val="32"/>
        </w:rPr>
        <w:t>2.</w:t>
      </w:r>
      <w:r>
        <w:rPr>
          <w:rFonts w:hint="eastAsia" w:ascii="楷体" w:hAnsi="楷体" w:eastAsia="楷体" w:cs="宋体"/>
          <w:b/>
          <w:color w:val="000000" w:themeColor="text1"/>
          <w:sz w:val="32"/>
          <w:szCs w:val="32"/>
        </w:rPr>
        <w:t>项目资金管理情况分析</w:t>
      </w:r>
    </w:p>
    <w:p>
      <w:pPr>
        <w:spacing w:line="560" w:lineRule="exact"/>
        <w:ind w:firstLine="640" w:firstLineChars="200"/>
        <w:rPr>
          <w:rFonts w:ascii="楷体" w:hAnsi="楷体" w:eastAsia="楷体" w:cs="宋体"/>
          <w:b/>
          <w:color w:val="000000" w:themeColor="text1"/>
          <w:sz w:val="32"/>
          <w:szCs w:val="32"/>
        </w:rPr>
      </w:pPr>
      <w:r>
        <w:rPr>
          <w:rFonts w:hint="eastAsia" w:ascii="仿宋" w:hAnsi="仿宋" w:eastAsia="仿宋" w:cs="宋体"/>
          <w:color w:val="000000" w:themeColor="text1"/>
          <w:sz w:val="32"/>
          <w:szCs w:val="32"/>
        </w:rPr>
        <w:t>（1）严格执行各项有关法律法规、财经纪律、财务规章制度、预（决）算、政府采购、国库集中支付、专项资金等管理办法和操作规程。在项目资金的使用上做到规范使用、专款专用，不断提高资金使用率。</w:t>
      </w:r>
    </w:p>
    <w:p>
      <w:pPr>
        <w:spacing w:line="560" w:lineRule="exact"/>
        <w:ind w:firstLine="640" w:firstLineChars="200"/>
        <w:rPr>
          <w:rFonts w:ascii="楷体" w:hAnsi="楷体" w:eastAsia="楷体" w:cs="宋体"/>
          <w:b/>
          <w:color w:val="000000" w:themeColor="text1"/>
          <w:sz w:val="32"/>
          <w:szCs w:val="32"/>
        </w:rPr>
      </w:pPr>
      <w:r>
        <w:rPr>
          <w:rFonts w:hint="eastAsia" w:ascii="仿宋" w:hAnsi="仿宋" w:eastAsia="仿宋" w:cs="宋体"/>
          <w:color w:val="000000" w:themeColor="text1"/>
          <w:sz w:val="32"/>
          <w:szCs w:val="32"/>
        </w:rPr>
        <w:t>（2）我县严格遵照省、市的有关规定，制定出台了《新晃侗族自治县民政局福彩公益金管理办法》，严格按照“谁主管、谁负责”的原则，实行主要领导负总责、分管领导亲自抓、业务部门具体管的办法，把民政专项资金监管工作纳入单位年度工作绩效考评和责任制考核。</w:t>
      </w:r>
    </w:p>
    <w:p>
      <w:pPr>
        <w:spacing w:line="560" w:lineRule="exact"/>
        <w:ind w:firstLine="640" w:firstLineChars="200"/>
        <w:rPr>
          <w:rFonts w:ascii="楷体" w:hAnsi="楷体" w:eastAsia="楷体" w:cs="宋体"/>
          <w:b/>
          <w:color w:val="000000" w:themeColor="text1"/>
          <w:sz w:val="32"/>
          <w:szCs w:val="32"/>
        </w:rPr>
      </w:pPr>
      <w:r>
        <w:rPr>
          <w:rFonts w:hint="eastAsia" w:ascii="仿宋" w:hAnsi="仿宋" w:eastAsia="仿宋" w:cs="宋体"/>
          <w:color w:val="000000" w:themeColor="text1"/>
          <w:sz w:val="32"/>
          <w:szCs w:val="32"/>
        </w:rPr>
        <w:t>（3）财务管理制度健全，执行情况良好。会计核算真实完整，项目资金支出和原定用途、预算批复用途相符，支出符合国家财经法规和财务管理制度规定。资金拨付程序规范，资产管理制度健全，定期对资金使用情况进行检查，严格确保项目质量。</w:t>
      </w:r>
    </w:p>
    <w:p>
      <w:pPr>
        <w:spacing w:line="560" w:lineRule="exact"/>
        <w:ind w:firstLine="640"/>
        <w:jc w:val="left"/>
        <w:rPr>
          <w:rFonts w:ascii="仿宋" w:hAnsi="仿宋" w:eastAsia="仿宋" w:cs="仿宋_GB2312"/>
          <w:b/>
          <w:color w:val="000000" w:themeColor="text1"/>
          <w:sz w:val="32"/>
          <w:szCs w:val="32"/>
        </w:rPr>
      </w:pPr>
      <w:r>
        <w:rPr>
          <w:rFonts w:hint="eastAsia" w:ascii="仿宋" w:hAnsi="仿宋" w:eastAsia="仿宋" w:cs="仿宋_GB2312"/>
          <w:b/>
          <w:color w:val="000000" w:themeColor="text1"/>
          <w:sz w:val="32"/>
          <w:szCs w:val="32"/>
        </w:rPr>
        <w:t>（二）总体绩效目标完成情况分析。</w:t>
      </w:r>
    </w:p>
    <w:p>
      <w:pPr>
        <w:pStyle w:val="5"/>
        <w:widowControl w:val="0"/>
        <w:shd w:val="clear" w:color="auto" w:fill="FFFFFF"/>
        <w:spacing w:before="0" w:beforeAutospacing="0" w:after="0" w:afterAutospacing="0" w:line="560" w:lineRule="exact"/>
        <w:ind w:firstLine="643" w:firstLineChars="200"/>
        <w:jc w:val="both"/>
        <w:rPr>
          <w:rFonts w:ascii="仿宋" w:hAnsi="仿宋" w:eastAsia="仿宋"/>
          <w:b/>
          <w:color w:val="000000" w:themeColor="text1"/>
          <w:sz w:val="32"/>
          <w:szCs w:val="32"/>
        </w:rPr>
      </w:pPr>
      <w:r>
        <w:rPr>
          <w:rStyle w:val="9"/>
          <w:rFonts w:hint="eastAsia" w:ascii="楷体" w:hAnsi="楷体" w:eastAsia="楷体"/>
          <w:color w:val="000000" w:themeColor="text1"/>
          <w:sz w:val="32"/>
          <w:szCs w:val="32"/>
        </w:rPr>
        <w:t>1.</w:t>
      </w:r>
      <w:r>
        <w:rPr>
          <w:rFonts w:hint="eastAsia" w:ascii="楷体" w:hAnsi="楷体" w:eastAsia="楷体"/>
          <w:b/>
          <w:color w:val="000000" w:themeColor="text1"/>
          <w:sz w:val="32"/>
          <w:szCs w:val="32"/>
        </w:rPr>
        <w:t>数量指标。</w:t>
      </w:r>
      <w:r>
        <w:rPr>
          <w:rFonts w:hint="eastAsia" w:ascii="仿宋" w:hAnsi="仿宋" w:eastAsia="仿宋"/>
          <w:color w:val="000000" w:themeColor="text1"/>
          <w:sz w:val="32"/>
          <w:szCs w:val="32"/>
          <w:lang w:eastAsia="zh-CN"/>
        </w:rPr>
        <w:t>完成</w:t>
      </w:r>
      <w:r>
        <w:rPr>
          <w:rFonts w:hint="eastAsia" w:ascii="仿宋" w:hAnsi="仿宋" w:eastAsia="仿宋"/>
          <w:color w:val="000000" w:themeColor="text1"/>
          <w:sz w:val="32"/>
          <w:szCs w:val="32"/>
        </w:rPr>
        <w:t>99名困难老年人家庭适老化改造</w:t>
      </w:r>
      <w:r>
        <w:rPr>
          <w:rFonts w:hint="eastAsia" w:ascii="仿宋" w:hAnsi="仿宋" w:eastAsia="仿宋"/>
          <w:color w:val="000000" w:themeColor="text1"/>
          <w:sz w:val="32"/>
          <w:szCs w:val="32"/>
          <w:lang w:eastAsia="zh-CN"/>
        </w:rPr>
        <w:t>任务</w:t>
      </w:r>
      <w:r>
        <w:rPr>
          <w:rFonts w:hint="eastAsia" w:ascii="仿宋" w:hAnsi="仿宋" w:eastAsia="仿宋"/>
          <w:color w:val="000000" w:themeColor="text1"/>
          <w:sz w:val="32"/>
          <w:szCs w:val="32"/>
        </w:rPr>
        <w:t>。</w:t>
      </w:r>
      <w:r>
        <w:rPr>
          <w:rFonts w:hint="eastAsia" w:ascii="仿宋" w:hAnsi="仿宋" w:eastAsia="仿宋"/>
          <w:color w:val="000000" w:themeColor="text1"/>
          <w:sz w:val="32"/>
          <w:szCs w:val="32"/>
          <w:lang w:eastAsia="zh-CN"/>
        </w:rPr>
        <w:t>完成</w:t>
      </w:r>
      <w:r>
        <w:rPr>
          <w:rFonts w:hint="eastAsia" w:ascii="仿宋" w:hAnsi="仿宋" w:eastAsia="仿宋"/>
          <w:color w:val="000000" w:themeColor="text1"/>
          <w:sz w:val="32"/>
          <w:szCs w:val="32"/>
        </w:rPr>
        <w:t>8名孤儿助学金发放。在</w:t>
      </w:r>
      <w:r>
        <w:rPr>
          <w:rFonts w:hint="eastAsia" w:ascii="仿宋" w:hAnsi="仿宋" w:eastAsia="仿宋"/>
          <w:color w:val="000000" w:themeColor="text1"/>
          <w:sz w:val="32"/>
          <w:szCs w:val="32"/>
          <w:lang w:eastAsia="zh-CN"/>
        </w:rPr>
        <w:t>乡镇设立</w:t>
      </w:r>
      <w:r>
        <w:rPr>
          <w:rFonts w:hint="eastAsia" w:ascii="仿宋" w:hAnsi="仿宋" w:eastAsia="仿宋"/>
          <w:color w:val="000000" w:themeColor="text1"/>
          <w:sz w:val="32"/>
          <w:szCs w:val="32"/>
          <w:lang w:val="en-US" w:eastAsia="zh-CN"/>
        </w:rPr>
        <w:t>11个社工站，</w:t>
      </w:r>
      <w:r>
        <w:rPr>
          <w:rFonts w:hint="eastAsia" w:ascii="仿宋" w:hAnsi="仿宋" w:eastAsia="仿宋"/>
          <w:color w:val="000000" w:themeColor="text1"/>
          <w:sz w:val="32"/>
          <w:szCs w:val="32"/>
        </w:rPr>
        <w:t>聘请22名社工充实基层民政力量。</w:t>
      </w:r>
      <w:r>
        <w:rPr>
          <w:rFonts w:hint="eastAsia" w:ascii="仿宋" w:hAnsi="仿宋" w:eastAsia="仿宋" w:cs="仿宋_GB2312"/>
          <w:color w:val="000000" w:themeColor="text1"/>
          <w:sz w:val="32"/>
          <w:szCs w:val="32"/>
        </w:rPr>
        <w:t>支持2所经等级评定的社会力量办养老机构和医养结合机构运营补贴。</w:t>
      </w:r>
      <w:r>
        <w:rPr>
          <w:rFonts w:hint="eastAsia" w:ascii="仿宋" w:hAnsi="仿宋" w:eastAsia="仿宋" w:cs="Arial"/>
          <w:color w:val="000000" w:themeColor="text1"/>
          <w:sz w:val="32"/>
          <w:szCs w:val="32"/>
          <w:shd w:val="clear" w:color="auto" w:fill="FFFFFF"/>
        </w:rPr>
        <w:t>开展牵手计划，由援派机构专业人员对新晃虹雨社会服务中心的工作人员开展职业规划、服务技巧等专业督导。完成6家敬老院维修改造。完成5家养老服务示范点建设、5所儿童之家建设。</w:t>
      </w:r>
      <w:r>
        <w:rPr>
          <w:rFonts w:hint="eastAsia" w:ascii="仿宋" w:hAnsi="仿宋" w:eastAsia="仿宋" w:cs="Arial"/>
          <w:color w:val="000000" w:themeColor="text1"/>
          <w:sz w:val="32"/>
          <w:szCs w:val="32"/>
          <w:shd w:val="clear" w:color="auto" w:fill="FFFFFF"/>
          <w:lang w:eastAsia="zh-CN"/>
        </w:rPr>
        <w:t>慈善助学</w:t>
      </w:r>
      <w:r>
        <w:rPr>
          <w:rFonts w:hint="eastAsia" w:ascii="仿宋" w:hAnsi="仿宋" w:eastAsia="仿宋" w:cs="Arial"/>
          <w:color w:val="000000" w:themeColor="text1"/>
          <w:sz w:val="32"/>
          <w:szCs w:val="32"/>
          <w:shd w:val="clear" w:color="auto" w:fill="FFFFFF"/>
        </w:rPr>
        <w:t>资助</w:t>
      </w:r>
      <w:r>
        <w:rPr>
          <w:rFonts w:hint="eastAsia" w:ascii="仿宋" w:hAnsi="仿宋" w:eastAsia="仿宋" w:cs="Arial"/>
          <w:color w:val="000000" w:themeColor="text1"/>
          <w:sz w:val="32"/>
          <w:szCs w:val="32"/>
          <w:shd w:val="clear" w:color="auto" w:fill="FFFFFF"/>
          <w:lang w:val="en-US" w:eastAsia="zh-CN"/>
        </w:rPr>
        <w:t>17</w:t>
      </w:r>
      <w:r>
        <w:rPr>
          <w:rFonts w:hint="eastAsia" w:ascii="仿宋" w:hAnsi="仿宋" w:eastAsia="仿宋" w:cs="Arial"/>
          <w:color w:val="000000" w:themeColor="text1"/>
          <w:sz w:val="32"/>
          <w:szCs w:val="32"/>
          <w:shd w:val="clear" w:color="auto" w:fill="FFFFFF"/>
        </w:rPr>
        <w:t>名贫困学生上</w:t>
      </w:r>
      <w:r>
        <w:rPr>
          <w:rFonts w:hint="eastAsia" w:ascii="仿宋" w:hAnsi="仿宋" w:eastAsia="仿宋" w:cs="Arial"/>
          <w:color w:val="000000" w:themeColor="text1"/>
          <w:sz w:val="32"/>
          <w:szCs w:val="32"/>
          <w:shd w:val="clear" w:color="auto" w:fill="FFFFFF"/>
          <w:lang w:eastAsia="zh-CN"/>
        </w:rPr>
        <w:t>大</w:t>
      </w:r>
      <w:r>
        <w:rPr>
          <w:rFonts w:hint="eastAsia" w:ascii="仿宋" w:hAnsi="仿宋" w:eastAsia="仿宋" w:cs="Arial"/>
          <w:color w:val="000000" w:themeColor="text1"/>
          <w:sz w:val="32"/>
          <w:szCs w:val="32"/>
          <w:shd w:val="clear" w:color="auto" w:fill="FFFFFF"/>
        </w:rPr>
        <w:t>学。</w:t>
      </w:r>
    </w:p>
    <w:p>
      <w:pPr>
        <w:pStyle w:val="5"/>
        <w:shd w:val="clear" w:color="auto" w:fill="FFFFFF"/>
        <w:spacing w:before="0" w:beforeAutospacing="0" w:after="0" w:afterAutospacing="0" w:line="560" w:lineRule="exact"/>
        <w:ind w:firstLine="643" w:firstLineChars="200"/>
        <w:rPr>
          <w:rFonts w:ascii="仿宋" w:hAnsi="仿宋" w:eastAsia="仿宋"/>
          <w:color w:val="000000" w:themeColor="text1"/>
          <w:sz w:val="32"/>
          <w:szCs w:val="32"/>
        </w:rPr>
      </w:pPr>
      <w:r>
        <w:rPr>
          <w:rFonts w:hint="eastAsia" w:ascii="楷体" w:hAnsi="楷体" w:eastAsia="楷体"/>
          <w:b/>
          <w:color w:val="000000" w:themeColor="text1"/>
          <w:sz w:val="32"/>
          <w:szCs w:val="32"/>
        </w:rPr>
        <w:t>2.质量指标。</w:t>
      </w:r>
      <w:r>
        <w:rPr>
          <w:rFonts w:hint="eastAsia" w:ascii="仿宋" w:hAnsi="仿宋" w:eastAsia="仿宋"/>
          <w:color w:val="000000" w:themeColor="text1"/>
          <w:sz w:val="32"/>
          <w:szCs w:val="32"/>
        </w:rPr>
        <w:t>符合助学条件的孤儿补助比例达到100%。加强乡镇社工站建设，提升社会服务能力。支持养老服务机构高质量发展，提升养老服务体系综合实力。敬老院维修、养老服务示范点建设、儿童之家建设、困难老年人家庭适老化改造建设质量合格。</w:t>
      </w:r>
    </w:p>
    <w:p>
      <w:pPr>
        <w:pStyle w:val="5"/>
        <w:shd w:val="clear" w:color="auto" w:fill="FFFFFF"/>
        <w:spacing w:before="0" w:beforeAutospacing="0" w:after="0" w:afterAutospacing="0" w:line="560" w:lineRule="exact"/>
        <w:ind w:firstLine="643" w:firstLineChars="200"/>
        <w:rPr>
          <w:rFonts w:ascii="仿宋" w:hAnsi="仿宋" w:eastAsia="仿宋"/>
          <w:color w:val="000000" w:themeColor="text1"/>
          <w:sz w:val="32"/>
          <w:szCs w:val="32"/>
        </w:rPr>
      </w:pPr>
      <w:r>
        <w:rPr>
          <w:rFonts w:hint="eastAsia" w:ascii="楷体" w:hAnsi="楷体" w:eastAsia="楷体"/>
          <w:b/>
          <w:color w:val="000000" w:themeColor="text1"/>
          <w:sz w:val="32"/>
          <w:szCs w:val="32"/>
        </w:rPr>
        <w:t>3.时效指标。</w:t>
      </w:r>
      <w:r>
        <w:rPr>
          <w:rFonts w:hint="eastAsia" w:ascii="仿宋" w:hAnsi="仿宋" w:eastAsia="仿宋"/>
          <w:color w:val="000000" w:themeColor="text1"/>
          <w:sz w:val="32"/>
          <w:szCs w:val="32"/>
        </w:rPr>
        <w:t>项目基本能按计划进行，资金拨付基本到位，运转状况</w:t>
      </w:r>
      <w:r>
        <w:rPr>
          <w:rFonts w:hint="eastAsia" w:ascii="仿宋" w:hAnsi="仿宋" w:eastAsia="仿宋"/>
          <w:color w:val="000000" w:themeColor="text1"/>
          <w:sz w:val="30"/>
          <w:szCs w:val="30"/>
        </w:rPr>
        <w:t>良好</w:t>
      </w:r>
      <w:r>
        <w:rPr>
          <w:rFonts w:hint="eastAsia" w:ascii="仿宋" w:hAnsi="仿宋" w:eastAsia="仿宋"/>
          <w:color w:val="000000" w:themeColor="text1"/>
          <w:sz w:val="32"/>
          <w:szCs w:val="32"/>
        </w:rPr>
        <w:t>。</w:t>
      </w:r>
    </w:p>
    <w:p>
      <w:pPr>
        <w:pStyle w:val="5"/>
        <w:shd w:val="clear" w:color="auto" w:fill="FFFFFF"/>
        <w:spacing w:before="0" w:beforeAutospacing="0" w:after="0" w:afterAutospacing="0" w:line="560" w:lineRule="exact"/>
        <w:ind w:firstLine="645"/>
        <w:rPr>
          <w:rFonts w:hint="default" w:ascii="楷体" w:hAnsi="楷体" w:eastAsia="仿宋"/>
          <w:color w:val="000000" w:themeColor="text1"/>
          <w:sz w:val="32"/>
          <w:szCs w:val="32"/>
          <w:lang w:val="en-US" w:eastAsia="zh-CN"/>
        </w:rPr>
      </w:pPr>
      <w:r>
        <w:rPr>
          <w:rStyle w:val="9"/>
          <w:rFonts w:hint="eastAsia" w:ascii="楷体" w:hAnsi="楷体" w:eastAsia="楷体"/>
          <w:color w:val="000000" w:themeColor="text1"/>
          <w:sz w:val="32"/>
          <w:szCs w:val="32"/>
        </w:rPr>
        <w:t>4.</w:t>
      </w:r>
      <w:r>
        <w:rPr>
          <w:rFonts w:hint="eastAsia" w:ascii="楷体" w:hAnsi="楷体" w:eastAsia="楷体"/>
          <w:b/>
          <w:color w:val="000000" w:themeColor="text1"/>
          <w:sz w:val="32"/>
          <w:szCs w:val="32"/>
        </w:rPr>
        <w:t>社会效益。</w:t>
      </w:r>
      <w:r>
        <w:rPr>
          <w:rFonts w:hint="eastAsia" w:ascii="仿宋" w:hAnsi="仿宋" w:eastAsia="仿宋"/>
          <w:color w:val="000000" w:themeColor="text1"/>
          <w:sz w:val="32"/>
          <w:szCs w:val="32"/>
        </w:rPr>
        <w:t>相关项目的实施，低保家庭、孤儿等困难群体上学得到有效保障，乡镇社工站、养老服务机构等相关服务能力明显提升。适老化改造</w:t>
      </w:r>
      <w:r>
        <w:rPr>
          <w:rFonts w:hint="eastAsia" w:ascii="仿宋" w:hAnsi="仿宋" w:eastAsia="仿宋" w:cs="仿宋"/>
          <w:color w:val="000000" w:themeColor="text1"/>
          <w:sz w:val="32"/>
          <w:szCs w:val="32"/>
        </w:rPr>
        <w:t>为老人独立自主生活提供更大便利，提高</w:t>
      </w:r>
      <w:r>
        <w:rPr>
          <w:rFonts w:hint="eastAsia" w:ascii="仿宋" w:hAnsi="仿宋" w:eastAsia="仿宋" w:cs="仿宋"/>
          <w:color w:val="000000" w:themeColor="text1"/>
          <w:sz w:val="32"/>
          <w:szCs w:val="32"/>
          <w:lang w:eastAsia="zh-CN"/>
        </w:rPr>
        <w:t>老人</w:t>
      </w:r>
      <w:r>
        <w:rPr>
          <w:rFonts w:hint="eastAsia" w:ascii="仿宋" w:hAnsi="仿宋" w:eastAsia="仿宋" w:cs="仿宋"/>
          <w:color w:val="000000" w:themeColor="text1"/>
          <w:sz w:val="32"/>
          <w:szCs w:val="32"/>
        </w:rPr>
        <w:t>生活质量</w:t>
      </w:r>
      <w:bookmarkStart w:id="0" w:name="_GoBack"/>
      <w:bookmarkEnd w:id="0"/>
      <w:r>
        <w:rPr>
          <w:rFonts w:hint="eastAsia" w:ascii="仿宋" w:hAnsi="仿宋" w:eastAsia="仿宋" w:cs="仿宋"/>
          <w:color w:val="000000" w:themeColor="text1"/>
          <w:sz w:val="32"/>
          <w:szCs w:val="32"/>
        </w:rPr>
        <w:t>，从而促进社会和谐。</w:t>
      </w:r>
      <w:r>
        <w:rPr>
          <w:rFonts w:hint="eastAsia" w:ascii="仿宋" w:hAnsi="仿宋" w:eastAsia="仿宋" w:cs="仿宋"/>
          <w:color w:val="000000" w:themeColor="text1"/>
          <w:sz w:val="32"/>
          <w:szCs w:val="32"/>
          <w:lang w:eastAsia="zh-CN"/>
        </w:rPr>
        <w:t>服务对象满意度达</w:t>
      </w:r>
      <w:r>
        <w:rPr>
          <w:rFonts w:hint="eastAsia" w:ascii="仿宋" w:hAnsi="仿宋" w:eastAsia="仿宋" w:cs="仿宋"/>
          <w:color w:val="000000" w:themeColor="text1"/>
          <w:sz w:val="32"/>
          <w:szCs w:val="32"/>
          <w:lang w:val="en-US" w:eastAsia="zh-CN"/>
        </w:rPr>
        <w:t>90%。</w:t>
      </w:r>
    </w:p>
    <w:p>
      <w:pPr>
        <w:pStyle w:val="5"/>
        <w:shd w:val="clear" w:color="auto" w:fill="FFFFFF"/>
        <w:spacing w:before="0" w:beforeAutospacing="0" w:after="0" w:afterAutospacing="0" w:line="560" w:lineRule="exact"/>
        <w:ind w:firstLine="645"/>
        <w:rPr>
          <w:rFonts w:ascii="仿宋" w:hAnsi="仿宋" w:eastAsia="仿宋"/>
          <w:color w:val="000000" w:themeColor="text1"/>
          <w:sz w:val="32"/>
          <w:szCs w:val="32"/>
        </w:rPr>
      </w:pPr>
      <w:r>
        <w:rPr>
          <w:rFonts w:hint="eastAsia" w:ascii="楷体" w:hAnsi="楷体" w:eastAsia="楷体"/>
          <w:b/>
          <w:color w:val="000000" w:themeColor="text1"/>
          <w:sz w:val="32"/>
          <w:szCs w:val="32"/>
        </w:rPr>
        <w:t>5.可持续影响。</w:t>
      </w:r>
      <w:r>
        <w:rPr>
          <w:rFonts w:hint="eastAsia" w:ascii="仿宋" w:hAnsi="仿宋" w:eastAsia="仿宋"/>
          <w:color w:val="000000" w:themeColor="text1"/>
          <w:sz w:val="32"/>
          <w:szCs w:val="32"/>
        </w:rPr>
        <w:t>孤儿学习、生活状况得到保障，受教育权得到有效维护。</w:t>
      </w:r>
      <w:r>
        <w:rPr>
          <w:rFonts w:ascii="仿宋" w:hAnsi="仿宋" w:eastAsia="仿宋"/>
          <w:color w:val="000000" w:themeColor="text1"/>
          <w:sz w:val="32"/>
          <w:szCs w:val="32"/>
        </w:rPr>
        <w:t>搭建居家为基础、社区为依托、机构为补充、医养相结合的</w:t>
      </w:r>
      <w:r>
        <w:rPr>
          <w:rFonts w:hint="eastAsia" w:ascii="仿宋" w:hAnsi="仿宋" w:eastAsia="仿宋"/>
          <w:color w:val="000000" w:themeColor="text1"/>
          <w:sz w:val="32"/>
          <w:szCs w:val="32"/>
        </w:rPr>
        <w:t>养老</w:t>
      </w:r>
      <w:r>
        <w:rPr>
          <w:rFonts w:ascii="仿宋" w:hAnsi="仿宋" w:eastAsia="仿宋"/>
          <w:color w:val="000000" w:themeColor="text1"/>
          <w:sz w:val="32"/>
          <w:szCs w:val="32"/>
        </w:rPr>
        <w:t>制度框架</w:t>
      </w:r>
      <w:r>
        <w:rPr>
          <w:rFonts w:hint="eastAsia" w:ascii="仿宋" w:hAnsi="仿宋" w:eastAsia="仿宋"/>
          <w:color w:val="000000" w:themeColor="text1"/>
          <w:sz w:val="32"/>
          <w:szCs w:val="32"/>
        </w:rPr>
        <w:t>。促进我县专业社会服务和养老服务高质量、高水平发展。</w:t>
      </w:r>
    </w:p>
    <w:p>
      <w:pPr>
        <w:pStyle w:val="5"/>
        <w:widowControl w:val="0"/>
        <w:shd w:val="clear" w:color="auto" w:fill="FFFFFF"/>
        <w:spacing w:before="0" w:beforeAutospacing="0" w:after="0" w:afterAutospacing="0" w:line="560" w:lineRule="exact"/>
        <w:ind w:firstLine="640" w:firstLineChars="200"/>
        <w:rPr>
          <w:rFonts w:ascii="黑体" w:hAnsi="黑体" w:eastAsia="黑体"/>
          <w:color w:val="000000" w:themeColor="text1"/>
          <w:sz w:val="32"/>
          <w:szCs w:val="32"/>
        </w:rPr>
      </w:pPr>
      <w:r>
        <w:rPr>
          <w:rFonts w:hint="eastAsia" w:ascii="黑体" w:hAnsi="黑体" w:eastAsia="黑体"/>
          <w:color w:val="000000" w:themeColor="text1"/>
          <w:sz w:val="32"/>
          <w:szCs w:val="32"/>
        </w:rPr>
        <w:t>四</w:t>
      </w:r>
      <w:r>
        <w:rPr>
          <w:rFonts w:ascii="黑体" w:hAnsi="黑体" w:eastAsia="黑体"/>
          <w:color w:val="000000" w:themeColor="text1"/>
          <w:sz w:val="32"/>
          <w:szCs w:val="32"/>
        </w:rPr>
        <w:t>、绩效评价情况及评价结论</w:t>
      </w:r>
    </w:p>
    <w:p>
      <w:pPr>
        <w:pStyle w:val="5"/>
        <w:widowControl w:val="0"/>
        <w:shd w:val="clear" w:color="auto" w:fill="FFFFFF"/>
        <w:spacing w:before="0" w:beforeAutospacing="0" w:after="0" w:afterAutospacing="0" w:line="560" w:lineRule="exact"/>
        <w:rPr>
          <w:rStyle w:val="9"/>
          <w:rFonts w:ascii="仿宋" w:hAnsi="仿宋" w:eastAsia="仿宋"/>
          <w:b w:val="0"/>
          <w:bCs w:val="0"/>
          <w:color w:val="000000" w:themeColor="text1"/>
          <w:sz w:val="32"/>
          <w:szCs w:val="32"/>
        </w:rPr>
      </w:pPr>
      <w:r>
        <w:rPr>
          <w:rFonts w:ascii="仿宋" w:hAnsi="仿宋" w:eastAsia="仿宋"/>
          <w:color w:val="000000" w:themeColor="text1"/>
          <w:sz w:val="32"/>
          <w:szCs w:val="32"/>
        </w:rPr>
        <w:t>　　新晃县民政局</w:t>
      </w:r>
      <w:r>
        <w:rPr>
          <w:rFonts w:hint="eastAsia" w:ascii="仿宋" w:hAnsi="仿宋" w:eastAsia="仿宋"/>
          <w:color w:val="000000" w:themeColor="text1"/>
          <w:sz w:val="32"/>
          <w:szCs w:val="32"/>
        </w:rPr>
        <w:t>2022年彩票公益金</w:t>
      </w:r>
      <w:r>
        <w:rPr>
          <w:rFonts w:ascii="仿宋" w:hAnsi="仿宋" w:eastAsia="仿宋"/>
          <w:color w:val="000000" w:themeColor="text1"/>
          <w:sz w:val="32"/>
          <w:szCs w:val="32"/>
        </w:rPr>
        <w:t>项目绩效评价自评结果：自评评分为</w:t>
      </w:r>
      <w:r>
        <w:rPr>
          <w:rFonts w:hint="eastAsia" w:ascii="仿宋" w:hAnsi="仿宋" w:eastAsia="仿宋"/>
          <w:color w:val="000000" w:themeColor="text1"/>
          <w:sz w:val="32"/>
          <w:szCs w:val="32"/>
        </w:rPr>
        <w:t>90</w:t>
      </w:r>
      <w:r>
        <w:rPr>
          <w:rFonts w:hint="eastAsia" w:ascii="仿宋" w:hAnsi="仿宋" w:eastAsia="仿宋"/>
          <w:color w:val="000000" w:themeColor="text1"/>
          <w:sz w:val="32"/>
          <w:szCs w:val="32"/>
          <w:lang w:val="en-US" w:eastAsia="zh-CN"/>
        </w:rPr>
        <w:t>.25</w:t>
      </w:r>
      <w:r>
        <w:rPr>
          <w:rFonts w:ascii="仿宋" w:hAnsi="仿宋" w:eastAsia="仿宋"/>
          <w:color w:val="000000" w:themeColor="text1"/>
          <w:sz w:val="32"/>
          <w:szCs w:val="32"/>
        </w:rPr>
        <w:t>分，自评等级为“优”。</w:t>
      </w:r>
    </w:p>
    <w:p>
      <w:pPr>
        <w:spacing w:line="560" w:lineRule="exact"/>
        <w:ind w:firstLine="640" w:firstLineChars="200"/>
        <w:jc w:val="left"/>
        <w:rPr>
          <w:rFonts w:ascii="黑体" w:hAnsi="黑体" w:eastAsia="黑体" w:cs="仿宋_GB2312"/>
          <w:color w:val="000000" w:themeColor="text1"/>
          <w:sz w:val="32"/>
          <w:szCs w:val="32"/>
        </w:rPr>
      </w:pPr>
      <w:r>
        <w:rPr>
          <w:rFonts w:hint="eastAsia" w:ascii="黑体" w:hAnsi="黑体" w:eastAsia="黑体" w:cs="仿宋_GB2312"/>
          <w:color w:val="000000" w:themeColor="text1"/>
          <w:sz w:val="32"/>
          <w:szCs w:val="32"/>
        </w:rPr>
        <w:t>五、偏离绩效目标原因和下一步改进措施</w:t>
      </w:r>
    </w:p>
    <w:p>
      <w:pPr>
        <w:spacing w:line="560" w:lineRule="exact"/>
        <w:ind w:firstLine="643" w:firstLineChars="200"/>
        <w:jc w:val="left"/>
        <w:rPr>
          <w:rFonts w:ascii="仿宋" w:hAnsi="仿宋" w:eastAsia="仿宋" w:cs="仿宋_GB2312"/>
          <w:b/>
          <w:color w:val="000000" w:themeColor="text1"/>
          <w:sz w:val="32"/>
          <w:szCs w:val="32"/>
        </w:rPr>
      </w:pPr>
      <w:r>
        <w:rPr>
          <w:rFonts w:hint="eastAsia" w:ascii="仿宋" w:hAnsi="仿宋" w:eastAsia="仿宋" w:cs="仿宋_GB2312"/>
          <w:b/>
          <w:color w:val="000000" w:themeColor="text1"/>
          <w:sz w:val="32"/>
          <w:szCs w:val="32"/>
        </w:rPr>
        <w:t>（一）偏离绩效目标原因</w:t>
      </w:r>
    </w:p>
    <w:p>
      <w:pPr>
        <w:spacing w:line="560" w:lineRule="exact"/>
        <w:ind w:firstLine="640" w:firstLineChars="200"/>
        <w:rPr>
          <w:rFonts w:ascii="仿宋" w:hAnsi="仿宋" w:eastAsia="仿宋" w:cs="Arial"/>
          <w:color w:val="000000" w:themeColor="text1"/>
          <w:sz w:val="32"/>
          <w:szCs w:val="32"/>
        </w:rPr>
      </w:pPr>
      <w:r>
        <w:rPr>
          <w:rFonts w:hint="eastAsia" w:ascii="仿宋" w:hAnsi="仿宋" w:eastAsia="仿宋" w:cs="Arial"/>
          <w:color w:val="000000" w:themeColor="text1"/>
          <w:sz w:val="32"/>
          <w:szCs w:val="32"/>
        </w:rPr>
        <w:t>1</w:t>
      </w:r>
      <w:r>
        <w:rPr>
          <w:rFonts w:ascii="仿宋" w:hAnsi="仿宋" w:eastAsia="仿宋" w:cs="Arial"/>
          <w:color w:val="000000" w:themeColor="text1"/>
          <w:sz w:val="32"/>
          <w:szCs w:val="32"/>
        </w:rPr>
        <w:t>.</w:t>
      </w:r>
      <w:r>
        <w:rPr>
          <w:rFonts w:hint="eastAsia" w:ascii="仿宋" w:hAnsi="仿宋" w:eastAsia="仿宋" w:cs="Arial"/>
          <w:color w:val="000000" w:themeColor="text1"/>
          <w:sz w:val="32"/>
          <w:szCs w:val="32"/>
          <w:lang w:eastAsia="zh-CN"/>
        </w:rPr>
        <w:t>受</w:t>
      </w:r>
      <w:r>
        <w:rPr>
          <w:rFonts w:ascii="仿宋" w:hAnsi="仿宋" w:eastAsia="仿宋" w:cs="Arial"/>
          <w:color w:val="000000" w:themeColor="text1"/>
          <w:sz w:val="32"/>
          <w:szCs w:val="32"/>
        </w:rPr>
        <w:t>施工进度及结算验收等时间影响，导致基建工程资金支付进度不能在年内完成。</w:t>
      </w:r>
    </w:p>
    <w:p>
      <w:pPr>
        <w:spacing w:line="560" w:lineRule="exact"/>
        <w:ind w:firstLine="640" w:firstLineChars="200"/>
        <w:rPr>
          <w:rFonts w:ascii="仿宋" w:hAnsi="仿宋" w:eastAsia="仿宋" w:cs="Arial"/>
          <w:color w:val="000000" w:themeColor="text1"/>
          <w:sz w:val="32"/>
          <w:szCs w:val="32"/>
        </w:rPr>
      </w:pPr>
      <w:r>
        <w:rPr>
          <w:rFonts w:hint="eastAsia" w:ascii="仿宋" w:hAnsi="仿宋" w:eastAsia="仿宋" w:cs="Arial"/>
          <w:color w:val="000000" w:themeColor="text1"/>
          <w:sz w:val="32"/>
          <w:szCs w:val="32"/>
        </w:rPr>
        <w:t>2.因县财政资金紧张，</w:t>
      </w:r>
      <w:r>
        <w:rPr>
          <w:rFonts w:hint="eastAsia" w:ascii="仿宋" w:hAnsi="仿宋" w:eastAsia="仿宋" w:cs="Arial"/>
          <w:color w:val="000000" w:themeColor="text1"/>
          <w:sz w:val="32"/>
          <w:szCs w:val="32"/>
          <w:lang w:eastAsia="zh-CN"/>
        </w:rPr>
        <w:t>已完工项目</w:t>
      </w:r>
      <w:r>
        <w:rPr>
          <w:rFonts w:hint="eastAsia" w:ascii="仿宋" w:hAnsi="仿宋" w:eastAsia="仿宋" w:cs="Arial"/>
          <w:color w:val="000000" w:themeColor="text1"/>
          <w:sz w:val="32"/>
          <w:szCs w:val="32"/>
        </w:rPr>
        <w:t>不能及时结算工程项目款。</w:t>
      </w:r>
    </w:p>
    <w:p>
      <w:pPr>
        <w:spacing w:line="560" w:lineRule="exact"/>
        <w:ind w:firstLine="643" w:firstLineChars="200"/>
        <w:jc w:val="left"/>
        <w:rPr>
          <w:rFonts w:ascii="仿宋" w:hAnsi="仿宋" w:eastAsia="仿宋" w:cs="仿宋_GB2312"/>
          <w:b/>
          <w:color w:val="000000" w:themeColor="text1"/>
          <w:sz w:val="32"/>
          <w:szCs w:val="32"/>
        </w:rPr>
      </w:pPr>
      <w:r>
        <w:rPr>
          <w:rFonts w:hint="eastAsia" w:ascii="仿宋" w:hAnsi="仿宋" w:eastAsia="仿宋" w:cs="仿宋_GB2312"/>
          <w:b/>
          <w:color w:val="000000" w:themeColor="text1"/>
          <w:sz w:val="32"/>
          <w:szCs w:val="32"/>
        </w:rPr>
        <w:t>（二）下一步改进措施</w:t>
      </w:r>
    </w:p>
    <w:p>
      <w:pPr>
        <w:pStyle w:val="5"/>
        <w:shd w:val="clear" w:color="auto" w:fill="FFFFFF"/>
        <w:spacing w:before="0" w:beforeAutospacing="0" w:after="0" w:afterAutospacing="0" w:line="560" w:lineRule="exact"/>
        <w:ind w:firstLine="645"/>
        <w:rPr>
          <w:rFonts w:ascii="仿宋" w:hAnsi="仿宋" w:eastAsia="仿宋"/>
          <w:color w:val="000000" w:themeColor="text1"/>
          <w:sz w:val="32"/>
          <w:szCs w:val="32"/>
        </w:rPr>
      </w:pPr>
      <w:r>
        <w:rPr>
          <w:rFonts w:hint="eastAsia" w:ascii="仿宋" w:hAnsi="仿宋" w:eastAsia="仿宋" w:cs="仿宋_GB2312"/>
          <w:color w:val="000000" w:themeColor="text1"/>
          <w:sz w:val="32"/>
          <w:szCs w:val="32"/>
        </w:rPr>
        <w:t>继续加强福彩项目监督，</w:t>
      </w:r>
      <w:r>
        <w:rPr>
          <w:rFonts w:hint="eastAsia" w:ascii="仿宋" w:hAnsi="仿宋" w:eastAsia="仿宋"/>
          <w:color w:val="000000" w:themeColor="text1"/>
          <w:sz w:val="32"/>
          <w:szCs w:val="32"/>
        </w:rPr>
        <w:t>加强资金管理，提高资金使用率，确保福彩项目发挥实际作用效益。</w:t>
      </w:r>
    </w:p>
    <w:p>
      <w:pPr>
        <w:spacing w:line="560" w:lineRule="exact"/>
        <w:ind w:firstLine="640" w:firstLineChars="200"/>
        <w:jc w:val="left"/>
        <w:rPr>
          <w:rFonts w:ascii="黑体" w:hAnsi="黑体" w:eastAsia="黑体" w:cs="仿宋_GB2312"/>
          <w:color w:val="000000" w:themeColor="text1"/>
          <w:sz w:val="32"/>
          <w:szCs w:val="32"/>
        </w:rPr>
      </w:pPr>
      <w:r>
        <w:rPr>
          <w:rFonts w:hint="eastAsia" w:ascii="黑体" w:hAnsi="黑体" w:eastAsia="黑体" w:cs="仿宋_GB2312"/>
          <w:color w:val="000000" w:themeColor="text1"/>
          <w:sz w:val="32"/>
          <w:szCs w:val="32"/>
        </w:rPr>
        <w:t>六、绩效自评结果拟应用和公开情况</w:t>
      </w:r>
    </w:p>
    <w:p>
      <w:pPr>
        <w:spacing w:line="560" w:lineRule="exact"/>
        <w:ind w:firstLine="640" w:firstLineChars="200"/>
        <w:rPr>
          <w:rFonts w:ascii="仿宋" w:hAnsi="仿宋" w:eastAsia="仿宋" w:cs="仿宋_GB2312"/>
          <w:color w:val="000000" w:themeColor="text1"/>
          <w:sz w:val="32"/>
          <w:szCs w:val="32"/>
        </w:rPr>
      </w:pPr>
      <w:r>
        <w:rPr>
          <w:rFonts w:hint="eastAsia" w:ascii="仿宋" w:hAnsi="仿宋" w:eastAsia="仿宋"/>
          <w:color w:val="000000" w:themeColor="text1"/>
          <w:sz w:val="32"/>
          <w:szCs w:val="32"/>
        </w:rPr>
        <w:t>利用政府政务公开栏对福彩资金的使用情况及时公示，加强社会监督。</w:t>
      </w:r>
    </w:p>
    <w:p>
      <w:pPr>
        <w:spacing w:line="560" w:lineRule="exact"/>
        <w:ind w:left="420" w:leftChars="200"/>
        <w:jc w:val="left"/>
        <w:rPr>
          <w:rFonts w:ascii="仿宋_GB2312" w:hAnsi="仿宋_GB2312" w:eastAsia="仿宋_GB2312" w:cs="仿宋_GB2312"/>
          <w:color w:val="000000" w:themeColor="text1"/>
          <w:sz w:val="32"/>
          <w:szCs w:val="32"/>
        </w:rPr>
      </w:pPr>
    </w:p>
    <w:p>
      <w:pPr>
        <w:spacing w:line="560" w:lineRule="exact"/>
        <w:ind w:left="420" w:leftChars="200"/>
        <w:jc w:val="left"/>
        <w:rPr>
          <w:rFonts w:ascii="仿宋_GB2312" w:hAnsi="仿宋_GB2312" w:eastAsia="仿宋_GB2312" w:cs="仿宋_GB2312"/>
          <w:color w:val="000000" w:themeColor="text1"/>
          <w:sz w:val="32"/>
          <w:szCs w:val="32"/>
        </w:rPr>
      </w:pPr>
    </w:p>
    <w:p>
      <w:pPr>
        <w:pStyle w:val="5"/>
        <w:widowControl w:val="0"/>
        <w:shd w:val="clear" w:color="auto" w:fill="FFFFFF"/>
        <w:spacing w:before="0" w:beforeAutospacing="0" w:after="0" w:afterAutospacing="0" w:line="560" w:lineRule="exact"/>
        <w:ind w:left="5340" w:leftChars="1400" w:right="640" w:hanging="2400" w:hangingChars="750"/>
        <w:rPr>
          <w:rFonts w:ascii="仿宋" w:hAnsi="仿宋" w:eastAsia="仿宋"/>
          <w:color w:val="000000" w:themeColor="text1"/>
          <w:sz w:val="32"/>
          <w:szCs w:val="32"/>
        </w:rPr>
      </w:pPr>
      <w:r>
        <w:rPr>
          <w:rFonts w:hint="eastAsia" w:ascii="仿宋_GB2312" w:hAnsi="仿宋_GB2312" w:eastAsia="仿宋_GB2312" w:cs="仿宋_GB2312"/>
          <w:color w:val="000000" w:themeColor="text1"/>
          <w:sz w:val="32"/>
          <w:szCs w:val="32"/>
        </w:rPr>
        <w:t xml:space="preserve">          </w:t>
      </w:r>
      <w:r>
        <w:rPr>
          <w:rFonts w:ascii="仿宋" w:hAnsi="仿宋" w:eastAsia="仿宋"/>
          <w:color w:val="000000" w:themeColor="text1"/>
          <w:sz w:val="32"/>
          <w:szCs w:val="32"/>
        </w:rPr>
        <w:t>新晃</w:t>
      </w:r>
      <w:r>
        <w:rPr>
          <w:rFonts w:hint="eastAsia" w:ascii="仿宋" w:hAnsi="仿宋" w:eastAsia="仿宋"/>
          <w:color w:val="000000" w:themeColor="text1"/>
          <w:sz w:val="32"/>
          <w:szCs w:val="32"/>
        </w:rPr>
        <w:t>侗族自治县</w:t>
      </w:r>
      <w:r>
        <w:rPr>
          <w:rFonts w:ascii="仿宋" w:hAnsi="仿宋" w:eastAsia="仿宋"/>
          <w:color w:val="000000" w:themeColor="text1"/>
          <w:sz w:val="32"/>
          <w:szCs w:val="32"/>
        </w:rPr>
        <w:t>民政局</w:t>
      </w:r>
    </w:p>
    <w:p>
      <w:pPr>
        <w:pStyle w:val="5"/>
        <w:widowControl w:val="0"/>
        <w:shd w:val="clear" w:color="auto" w:fill="FFFFFF"/>
        <w:spacing w:before="0" w:beforeAutospacing="0" w:after="0" w:afterAutospacing="0" w:line="560" w:lineRule="exact"/>
        <w:ind w:right="640" w:firstLine="4800" w:firstLineChars="1500"/>
        <w:rPr>
          <w:rFonts w:ascii="仿宋" w:hAnsi="仿宋" w:eastAsia="仿宋"/>
          <w:color w:val="000000" w:themeColor="text1"/>
          <w:sz w:val="32"/>
          <w:szCs w:val="32"/>
        </w:rPr>
      </w:pPr>
      <w:r>
        <w:rPr>
          <w:rFonts w:ascii="仿宋" w:hAnsi="仿宋" w:eastAsia="仿宋"/>
          <w:color w:val="000000" w:themeColor="text1"/>
          <w:sz w:val="32"/>
          <w:szCs w:val="32"/>
        </w:rPr>
        <w:t>202</w:t>
      </w:r>
      <w:r>
        <w:rPr>
          <w:rFonts w:hint="eastAsia" w:ascii="仿宋" w:hAnsi="仿宋" w:eastAsia="仿宋"/>
          <w:color w:val="000000" w:themeColor="text1"/>
          <w:sz w:val="32"/>
          <w:szCs w:val="32"/>
        </w:rPr>
        <w:t>3</w:t>
      </w:r>
      <w:r>
        <w:rPr>
          <w:rFonts w:ascii="仿宋" w:hAnsi="仿宋" w:eastAsia="仿宋"/>
          <w:color w:val="000000" w:themeColor="text1"/>
          <w:sz w:val="32"/>
          <w:szCs w:val="32"/>
        </w:rPr>
        <w:t>年</w:t>
      </w:r>
      <w:r>
        <w:rPr>
          <w:rFonts w:hint="eastAsia" w:ascii="仿宋" w:hAnsi="仿宋" w:eastAsia="仿宋"/>
          <w:color w:val="000000" w:themeColor="text1"/>
          <w:sz w:val="32"/>
          <w:szCs w:val="32"/>
        </w:rPr>
        <w:t>5</w:t>
      </w:r>
      <w:r>
        <w:rPr>
          <w:rFonts w:ascii="仿宋" w:hAnsi="仿宋" w:eastAsia="仿宋"/>
          <w:color w:val="000000" w:themeColor="text1"/>
          <w:sz w:val="32"/>
          <w:szCs w:val="32"/>
        </w:rPr>
        <w:t>月</w:t>
      </w:r>
      <w:r>
        <w:rPr>
          <w:rFonts w:hint="eastAsia" w:ascii="仿宋" w:hAnsi="仿宋" w:eastAsia="仿宋"/>
          <w:color w:val="000000" w:themeColor="text1"/>
          <w:sz w:val="32"/>
          <w:szCs w:val="32"/>
        </w:rPr>
        <w:t>2</w:t>
      </w:r>
      <w:r>
        <w:rPr>
          <w:rFonts w:hint="eastAsia" w:ascii="仿宋" w:hAnsi="仿宋" w:eastAsia="仿宋"/>
          <w:color w:val="000000" w:themeColor="text1"/>
          <w:sz w:val="32"/>
          <w:szCs w:val="32"/>
          <w:lang w:val="en-US" w:eastAsia="zh-CN"/>
        </w:rPr>
        <w:t>0</w:t>
      </w:r>
      <w:r>
        <w:rPr>
          <w:rFonts w:ascii="仿宋" w:hAnsi="仿宋" w:eastAsia="仿宋"/>
          <w:color w:val="000000" w:themeColor="text1"/>
          <w:sz w:val="32"/>
          <w:szCs w:val="32"/>
        </w:rPr>
        <w:t>日</w:t>
      </w:r>
    </w:p>
    <w:p>
      <w:pPr>
        <w:spacing w:line="560" w:lineRule="exact"/>
        <w:ind w:left="420" w:leftChars="200"/>
        <w:jc w:val="left"/>
        <w:rPr>
          <w:rFonts w:ascii="仿宋_GB2312" w:hAnsi="仿宋_GB2312" w:eastAsia="仿宋_GB2312" w:cs="仿宋_GB2312"/>
          <w:color w:val="000000" w:themeColor="text1"/>
          <w:sz w:val="32"/>
          <w:szCs w:val="32"/>
        </w:rPr>
      </w:pPr>
    </w:p>
    <w:sectPr>
      <w:pgSz w:w="11906" w:h="16838"/>
      <w:pgMar w:top="1701" w:right="1474" w:bottom="1701" w:left="158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0000000000000000000"/>
    <w:charset w:val="86"/>
    <w:family w:val="roma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D5E2AA9"/>
    <w:multiLevelType w:val="singleLevel"/>
    <w:tmpl w:val="CD5E2AA9"/>
    <w:lvl w:ilvl="0" w:tentative="0">
      <w:start w:val="1"/>
      <w:numFmt w:val="chineseCounting"/>
      <w:suff w:val="nothing"/>
      <w:lvlText w:val="%1、"/>
      <w:lvlJc w:val="left"/>
      <w:rPr>
        <w:rFonts w:hint="eastAsia"/>
      </w:rPr>
    </w:lvl>
  </w:abstractNum>
  <w:abstractNum w:abstractNumId="1">
    <w:nsid w:val="4D0A34F4"/>
    <w:multiLevelType w:val="multilevel"/>
    <w:tmpl w:val="4D0A34F4"/>
    <w:lvl w:ilvl="0" w:tentative="0">
      <w:start w:val="1"/>
      <w:numFmt w:val="japaneseCounting"/>
      <w:lvlText w:val="（%1）"/>
      <w:lvlJc w:val="left"/>
      <w:pPr>
        <w:ind w:left="1720" w:hanging="1080"/>
      </w:pPr>
      <w:rPr>
        <w:rFonts w:hint="default"/>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abstractNum w:abstractNumId="2">
    <w:nsid w:val="593061FD"/>
    <w:multiLevelType w:val="multilevel"/>
    <w:tmpl w:val="593061FD"/>
    <w:lvl w:ilvl="0" w:tentative="0">
      <w:start w:val="1"/>
      <w:numFmt w:val="decimal"/>
      <w:lvlText w:val="%1."/>
      <w:lvlJc w:val="left"/>
      <w:pPr>
        <w:ind w:left="1000" w:hanging="360"/>
      </w:pPr>
      <w:rPr>
        <w:rFonts w:hint="default"/>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ZDMyNDk1OTE5Y2JlMzFjYzNkMzc3Njg2Y2I3ZmU5ODEifQ=="/>
  </w:docVars>
  <w:rsids>
    <w:rsidRoot w:val="008D768A"/>
    <w:rsid w:val="00046615"/>
    <w:rsid w:val="000E6DCD"/>
    <w:rsid w:val="00106677"/>
    <w:rsid w:val="00123084"/>
    <w:rsid w:val="002A582F"/>
    <w:rsid w:val="00322C84"/>
    <w:rsid w:val="0035286C"/>
    <w:rsid w:val="00362A96"/>
    <w:rsid w:val="00366B8B"/>
    <w:rsid w:val="003832EA"/>
    <w:rsid w:val="003A2A7B"/>
    <w:rsid w:val="003B4D47"/>
    <w:rsid w:val="003B5CA3"/>
    <w:rsid w:val="003C4C84"/>
    <w:rsid w:val="004265A8"/>
    <w:rsid w:val="004526DD"/>
    <w:rsid w:val="004A125D"/>
    <w:rsid w:val="004D1291"/>
    <w:rsid w:val="00525868"/>
    <w:rsid w:val="005A3B21"/>
    <w:rsid w:val="006852D2"/>
    <w:rsid w:val="0075150E"/>
    <w:rsid w:val="007805F1"/>
    <w:rsid w:val="00844CFB"/>
    <w:rsid w:val="00846786"/>
    <w:rsid w:val="00863140"/>
    <w:rsid w:val="008B2E1D"/>
    <w:rsid w:val="008C2A55"/>
    <w:rsid w:val="008D768A"/>
    <w:rsid w:val="00903B16"/>
    <w:rsid w:val="00915707"/>
    <w:rsid w:val="009D0C8A"/>
    <w:rsid w:val="00A001F8"/>
    <w:rsid w:val="00A9249B"/>
    <w:rsid w:val="00BA7EF5"/>
    <w:rsid w:val="00BB7BD7"/>
    <w:rsid w:val="00C922F6"/>
    <w:rsid w:val="00DB3E57"/>
    <w:rsid w:val="00E97AE5"/>
    <w:rsid w:val="00EF19DA"/>
    <w:rsid w:val="02502671"/>
    <w:rsid w:val="04545F46"/>
    <w:rsid w:val="093869E8"/>
    <w:rsid w:val="0ABB69F2"/>
    <w:rsid w:val="0EDE4308"/>
    <w:rsid w:val="16851EB4"/>
    <w:rsid w:val="197E31FE"/>
    <w:rsid w:val="1B4337E7"/>
    <w:rsid w:val="212D588A"/>
    <w:rsid w:val="23E51285"/>
    <w:rsid w:val="24A759DB"/>
    <w:rsid w:val="2C5404D6"/>
    <w:rsid w:val="2EE63C29"/>
    <w:rsid w:val="339A514D"/>
    <w:rsid w:val="38115009"/>
    <w:rsid w:val="3ABC5D6E"/>
    <w:rsid w:val="3BC118D4"/>
    <w:rsid w:val="3C191058"/>
    <w:rsid w:val="3DCB1350"/>
    <w:rsid w:val="45344114"/>
    <w:rsid w:val="46990162"/>
    <w:rsid w:val="482D79B6"/>
    <w:rsid w:val="49B94735"/>
    <w:rsid w:val="4AD0109B"/>
    <w:rsid w:val="4C916ABA"/>
    <w:rsid w:val="54077753"/>
    <w:rsid w:val="6CC4103A"/>
    <w:rsid w:val="6E156E9E"/>
    <w:rsid w:val="6F96380D"/>
    <w:rsid w:val="7EF656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qFormat="1"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nhideWhenUsed="0"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8">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Indent"/>
    <w:basedOn w:val="1"/>
    <w:link w:val="13"/>
    <w:semiHidden/>
    <w:unhideWhenUsed/>
    <w:qFormat/>
    <w:uiPriority w:val="99"/>
    <w:pPr>
      <w:spacing w:after="120"/>
      <w:ind w:left="420" w:leftChars="200"/>
    </w:pPr>
  </w:style>
  <w:style w:type="paragraph" w:styleId="3">
    <w:name w:val="footer"/>
    <w:basedOn w:val="1"/>
    <w:link w:val="12"/>
    <w:semiHidden/>
    <w:unhideWhenUsed/>
    <w:qFormat/>
    <w:uiPriority w:val="99"/>
    <w:pPr>
      <w:tabs>
        <w:tab w:val="center" w:pos="4153"/>
        <w:tab w:val="right" w:pos="8306"/>
      </w:tabs>
      <w:snapToGrid w:val="0"/>
      <w:jc w:val="left"/>
    </w:pPr>
    <w:rPr>
      <w:sz w:val="18"/>
      <w:szCs w:val="18"/>
    </w:rPr>
  </w:style>
  <w:style w:type="paragraph" w:styleId="4">
    <w:name w:val="header"/>
    <w:basedOn w:val="1"/>
    <w:link w:val="11"/>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unhideWhenUsed/>
    <w:qFormat/>
    <w:uiPriority w:val="0"/>
    <w:pPr>
      <w:widowControl/>
      <w:spacing w:before="100" w:beforeAutospacing="1" w:after="100" w:afterAutospacing="1"/>
      <w:jc w:val="left"/>
    </w:pPr>
    <w:rPr>
      <w:rFonts w:ascii="宋体" w:hAnsi="宋体" w:eastAsia="宋体" w:cs="宋体"/>
      <w:kern w:val="0"/>
      <w:sz w:val="24"/>
    </w:rPr>
  </w:style>
  <w:style w:type="paragraph" w:styleId="6">
    <w:name w:val="Body Text First Indent 2"/>
    <w:basedOn w:val="2"/>
    <w:next w:val="1"/>
    <w:link w:val="14"/>
    <w:qFormat/>
    <w:uiPriority w:val="0"/>
    <w:pPr>
      <w:spacing w:after="0" w:line="440" w:lineRule="exact"/>
      <w:ind w:left="0" w:leftChars="0" w:firstLine="420" w:firstLineChars="200"/>
    </w:pPr>
    <w:rPr>
      <w:rFonts w:eastAsia="仿宋_GB2312"/>
      <w:sz w:val="32"/>
      <w:szCs w:val="22"/>
    </w:rPr>
  </w:style>
  <w:style w:type="character" w:styleId="9">
    <w:name w:val="Strong"/>
    <w:basedOn w:val="8"/>
    <w:qFormat/>
    <w:uiPriority w:val="22"/>
    <w:rPr>
      <w:b/>
      <w:bCs/>
    </w:rPr>
  </w:style>
  <w:style w:type="paragraph" w:styleId="10">
    <w:name w:val="List Paragraph"/>
    <w:basedOn w:val="1"/>
    <w:unhideWhenUsed/>
    <w:qFormat/>
    <w:uiPriority w:val="99"/>
    <w:pPr>
      <w:ind w:firstLine="420" w:firstLineChars="200"/>
    </w:pPr>
  </w:style>
  <w:style w:type="character" w:customStyle="1" w:styleId="11">
    <w:name w:val="页眉 Char"/>
    <w:basedOn w:val="8"/>
    <w:link w:val="4"/>
    <w:semiHidden/>
    <w:qFormat/>
    <w:uiPriority w:val="99"/>
    <w:rPr>
      <w:kern w:val="2"/>
      <w:sz w:val="18"/>
      <w:szCs w:val="18"/>
    </w:rPr>
  </w:style>
  <w:style w:type="character" w:customStyle="1" w:styleId="12">
    <w:name w:val="页脚 Char"/>
    <w:basedOn w:val="8"/>
    <w:link w:val="3"/>
    <w:semiHidden/>
    <w:qFormat/>
    <w:uiPriority w:val="99"/>
    <w:rPr>
      <w:kern w:val="2"/>
      <w:sz w:val="18"/>
      <w:szCs w:val="18"/>
    </w:rPr>
  </w:style>
  <w:style w:type="character" w:customStyle="1" w:styleId="13">
    <w:name w:val="正文文本缩进 Char"/>
    <w:basedOn w:val="8"/>
    <w:link w:val="2"/>
    <w:semiHidden/>
    <w:qFormat/>
    <w:uiPriority w:val="99"/>
    <w:rPr>
      <w:kern w:val="2"/>
      <w:sz w:val="21"/>
      <w:szCs w:val="24"/>
    </w:rPr>
  </w:style>
  <w:style w:type="character" w:customStyle="1" w:styleId="14">
    <w:name w:val="正文首行缩进 2 Char"/>
    <w:basedOn w:val="13"/>
    <w:link w:val="6"/>
    <w:qFormat/>
    <w:uiPriority w:val="0"/>
    <w:rPr>
      <w:rFonts w:eastAsia="仿宋_GB2312"/>
      <w:sz w:val="32"/>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6</Pages>
  <Words>2852</Words>
  <Characters>2993</Characters>
  <Lines>21</Lines>
  <Paragraphs>6</Paragraphs>
  <TotalTime>15</TotalTime>
  <ScaleCrop>false</ScaleCrop>
  <LinksUpToDate>false</LinksUpToDate>
  <CharactersWithSpaces>3011</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2022-05-24T08:59:00Z</dcterms:created>
  <dc:creator>xb21cn</dc:creator>
  <cp:lastModifiedBy>Administrator</cp:lastModifiedBy>
  <cp:lastPrinted>2023-05-30T07:57:32Z</cp:lastPrinted>
  <dcterms:modified xsi:type="dcterms:W3CDTF">2023-05-30T07:58:03Z</dcterms:modified>
  <cp:revision>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A5E184C4FD9A4DDFA14E59FEC1D6376A_12</vt:lpwstr>
  </property>
</Properties>
</file>