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ajorEastAsia" w:hAnsiTheme="majorEastAsia" w:eastAsiaTheme="majorEastAsia"/>
          <w:b/>
          <w:bCs/>
          <w:color w:val="auto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color w:val="auto"/>
          <w:sz w:val="44"/>
          <w:szCs w:val="44"/>
        </w:rPr>
        <w:t>2022年度新晃县养老机构责任险项目支出</w:t>
      </w:r>
    </w:p>
    <w:p>
      <w:pPr>
        <w:spacing w:line="560" w:lineRule="exact"/>
        <w:jc w:val="center"/>
        <w:rPr>
          <w:rFonts w:asciiTheme="majorEastAsia" w:hAnsiTheme="majorEastAsia" w:eastAsiaTheme="majorEastAsia"/>
          <w:b/>
          <w:bCs/>
          <w:color w:val="auto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color w:val="auto"/>
          <w:sz w:val="44"/>
          <w:szCs w:val="44"/>
        </w:rPr>
        <w:t>绩效自评报告</w:t>
      </w:r>
    </w:p>
    <w:p>
      <w:pPr>
        <w:spacing w:line="560" w:lineRule="exact"/>
        <w:jc w:val="center"/>
        <w:rPr>
          <w:rFonts w:ascii="仿宋" w:hAnsi="仿宋" w:eastAsia="仿宋"/>
          <w:color w:val="auto"/>
          <w:sz w:val="44"/>
          <w:szCs w:val="44"/>
        </w:rPr>
      </w:pPr>
    </w:p>
    <w:p>
      <w:pPr>
        <w:pStyle w:val="6"/>
        <w:spacing w:line="560" w:lineRule="exact"/>
        <w:ind w:firstLine="64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一、基本情况</w:t>
      </w:r>
    </w:p>
    <w:p>
      <w:pPr>
        <w:pStyle w:val="6"/>
        <w:numPr>
          <w:ilvl w:val="0"/>
          <w:numId w:val="1"/>
        </w:numPr>
        <w:spacing w:line="560" w:lineRule="exact"/>
        <w:ind w:firstLineChars="0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项目概况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Style w:val="5"/>
          <w:rFonts w:hint="eastAsia" w:ascii="仿宋" w:hAnsi="仿宋" w:eastAsia="仿宋"/>
          <w:b w:val="0"/>
          <w:color w:val="auto"/>
          <w:sz w:val="32"/>
          <w:szCs w:val="32"/>
          <w:shd w:val="clear" w:color="auto" w:fill="FFFFFF"/>
        </w:rPr>
        <w:t>根据《民政部 保监会 全国老龄办关于推进养老机构责任保险工作的指导意见》（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  <w:t>民发〔2014〕47号</w:t>
      </w:r>
      <w:r>
        <w:rPr>
          <w:rStyle w:val="5"/>
          <w:rFonts w:hint="eastAsia" w:ascii="仿宋" w:hAnsi="仿宋" w:eastAsia="仿宋"/>
          <w:b w:val="0"/>
          <w:color w:val="auto"/>
          <w:sz w:val="32"/>
          <w:szCs w:val="32"/>
          <w:shd w:val="clear" w:color="auto" w:fill="FFFFFF"/>
        </w:rPr>
        <w:t>）和《湖南省民政厅 湖南省老龄工作委员会办公室关于印发</w:t>
      </w:r>
      <w:r>
        <w:rPr>
          <w:rStyle w:val="5"/>
          <w:rFonts w:hint="eastAsia" w:ascii="宋体" w:hAnsi="宋体" w:eastAsia="宋体"/>
          <w:b w:val="0"/>
          <w:color w:val="auto"/>
          <w:sz w:val="32"/>
          <w:szCs w:val="32"/>
          <w:shd w:val="clear" w:color="auto" w:fill="FFFFFF"/>
        </w:rPr>
        <w:t>&lt;</w:t>
      </w:r>
      <w:r>
        <w:rPr>
          <w:rStyle w:val="5"/>
          <w:rFonts w:hint="eastAsia" w:ascii="仿宋" w:hAnsi="仿宋" w:eastAsia="仿宋"/>
          <w:b w:val="0"/>
          <w:color w:val="auto"/>
          <w:sz w:val="32"/>
          <w:szCs w:val="32"/>
          <w:shd w:val="clear" w:color="auto" w:fill="FFFFFF"/>
        </w:rPr>
        <w:t>湖南省养老机构责任保险实施方案&gt;的通知》（湘民函</w:t>
      </w:r>
      <w:r>
        <w:rPr>
          <w:rStyle w:val="5"/>
          <w:rFonts w:hint="eastAsia" w:ascii="宋体" w:hAnsi="宋体" w:eastAsia="宋体"/>
          <w:b w:val="0"/>
          <w:color w:val="auto"/>
          <w:sz w:val="32"/>
          <w:szCs w:val="32"/>
          <w:shd w:val="clear" w:color="auto" w:fill="FFFFFF"/>
        </w:rPr>
        <w:t>[</w:t>
      </w:r>
      <w:r>
        <w:rPr>
          <w:rStyle w:val="5"/>
          <w:rFonts w:hint="eastAsia" w:ascii="仿宋" w:hAnsi="仿宋" w:eastAsia="仿宋"/>
          <w:b w:val="0"/>
          <w:color w:val="auto"/>
          <w:sz w:val="32"/>
          <w:szCs w:val="32"/>
          <w:shd w:val="clear" w:color="auto" w:fill="FFFFFF"/>
        </w:rPr>
        <w:t>2015</w:t>
      </w:r>
      <w:r>
        <w:rPr>
          <w:rStyle w:val="5"/>
          <w:rFonts w:hint="eastAsia" w:ascii="宋体" w:hAnsi="宋体" w:eastAsia="宋体"/>
          <w:b w:val="0"/>
          <w:color w:val="auto"/>
          <w:sz w:val="32"/>
          <w:szCs w:val="32"/>
          <w:shd w:val="clear" w:color="auto" w:fill="FFFFFF"/>
        </w:rPr>
        <w:t>]</w:t>
      </w:r>
      <w:r>
        <w:rPr>
          <w:rStyle w:val="5"/>
          <w:rFonts w:hint="eastAsia" w:ascii="仿宋" w:hAnsi="仿宋" w:eastAsia="仿宋"/>
          <w:b w:val="0"/>
          <w:color w:val="auto"/>
          <w:sz w:val="32"/>
          <w:szCs w:val="32"/>
          <w:shd w:val="clear" w:color="auto" w:fill="FFFFFF"/>
        </w:rPr>
        <w:t>100号）文件精神，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  <w:t>进一步提升我县养老机构责任意识和风险意识，强化养老机构内部管理，降低运营风险，切实维护特困老人合法权益。</w:t>
      </w:r>
    </w:p>
    <w:p>
      <w:pPr>
        <w:pStyle w:val="6"/>
        <w:numPr>
          <w:ilvl w:val="0"/>
          <w:numId w:val="1"/>
        </w:numPr>
        <w:spacing w:line="560" w:lineRule="exact"/>
        <w:ind w:firstLineChars="0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项目绩效目标</w:t>
      </w:r>
    </w:p>
    <w:p>
      <w:pPr>
        <w:spacing w:line="560" w:lineRule="exact"/>
        <w:ind w:firstLine="643" w:firstLineChars="200"/>
        <w:rPr>
          <w:rFonts w:ascii="仿宋" w:hAnsi="仿宋" w:eastAsia="仿宋"/>
          <w:color w:val="auto"/>
          <w:sz w:val="32"/>
          <w:szCs w:val="32"/>
          <w:shd w:val="clear" w:color="auto" w:fill="FFFFFF"/>
        </w:rPr>
      </w:pPr>
      <w:r>
        <w:rPr>
          <w:rFonts w:hint="eastAsia" w:ascii="楷体" w:hAnsi="楷体" w:eastAsia="楷体"/>
          <w:b/>
          <w:color w:val="auto"/>
          <w:sz w:val="32"/>
          <w:szCs w:val="32"/>
          <w:shd w:val="clear" w:color="auto" w:fill="FFFFFF"/>
        </w:rPr>
        <w:t>1.总体目标。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  <w:t>完善全县养老机构综合责任保险制度，提升养老机构服务保障水平。</w:t>
      </w:r>
    </w:p>
    <w:p>
      <w:pPr>
        <w:spacing w:line="560" w:lineRule="exact"/>
        <w:ind w:firstLine="643" w:firstLineChars="200"/>
        <w:rPr>
          <w:rFonts w:ascii="仿宋" w:hAnsi="仿宋" w:eastAsia="仿宋"/>
          <w:color w:val="auto"/>
          <w:sz w:val="32"/>
          <w:szCs w:val="32"/>
          <w:shd w:val="clear" w:color="auto" w:fill="FFFFFF"/>
        </w:rPr>
      </w:pPr>
      <w:r>
        <w:rPr>
          <w:rFonts w:hint="eastAsia" w:ascii="楷体" w:hAnsi="楷体" w:eastAsia="楷体"/>
          <w:b/>
          <w:color w:val="auto"/>
          <w:sz w:val="32"/>
          <w:szCs w:val="32"/>
          <w:shd w:val="clear" w:color="auto" w:fill="FFFFFF"/>
        </w:rPr>
        <w:t>2.阶段性目标。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  <w:t>2022年全县养老机构责任保险制度覆盖率达到100%以上。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shd w:val="clear" w:color="auto" w:fill="FFFFFF"/>
        </w:rPr>
        <w:t>（三）资金筹措方面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  <w:t>2022年，县财政安排县级配套经费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  <w:t>万元用于养老机构责任险项目。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二、绩效评价工作开展情况</w:t>
      </w:r>
    </w:p>
    <w:p>
      <w:pPr>
        <w:pStyle w:val="6"/>
        <w:spacing w:line="560" w:lineRule="exact"/>
        <w:ind w:left="720" w:firstLine="0" w:firstLineChars="0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（一）绩效评价目的、对象和范围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1.绩效评价的目的是加强养老机构责任险项目绩效管理，提高项目效益，通过实施绩效评价，进一步完善政策体系，健全工作机制，强化政策落实，提高资金使用效益。提供客观公正的绩效评价结论，为后期强化预算绩效管理提供重要依据。发现目标与现实之间的差异程度，总结项目管理中的经验和教训，督促项目实施单位加快项目实施进度，提升项目实施水平。</w:t>
      </w:r>
    </w:p>
    <w:p>
      <w:pPr>
        <w:pStyle w:val="2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eastAsia="仿宋"/>
          <w:color w:val="auto"/>
          <w:sz w:val="32"/>
          <w:szCs w:val="32"/>
        </w:rPr>
        <w:t>2.</w:t>
      </w:r>
      <w:r>
        <w:rPr>
          <w:rFonts w:hint="eastAsia" w:ascii="仿宋" w:hAnsi="仿宋" w:eastAsia="仿宋"/>
          <w:color w:val="auto"/>
          <w:sz w:val="32"/>
          <w:szCs w:val="32"/>
        </w:rPr>
        <w:t>绩效评价对象为新晃县养老机构责任险项目实施情况。</w:t>
      </w:r>
    </w:p>
    <w:p>
      <w:pPr>
        <w:pStyle w:val="2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3.绩效评价范围主要包括项目立项、绩效目标、资金到位情况、制度建设与执行、资金使用合规性、管理以及监督检查有效性、目标任务完成率、项目完成及时性、社会效益、可持续影响力、满意度等方面。</w:t>
      </w:r>
    </w:p>
    <w:p>
      <w:pPr>
        <w:pStyle w:val="6"/>
        <w:shd w:val="clear" w:color="auto" w:fill="FFFFFF"/>
        <w:spacing w:line="560" w:lineRule="exact"/>
        <w:ind w:left="720" w:firstLine="0" w:firstLineChars="0"/>
        <w:jc w:val="left"/>
        <w:rPr>
          <w:rFonts w:ascii="仿宋" w:hAnsi="仿宋" w:eastAsia="仿宋" w:cs="Times New Roman"/>
          <w:b/>
          <w:bCs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color w:val="auto"/>
          <w:kern w:val="0"/>
          <w:sz w:val="32"/>
          <w:szCs w:val="32"/>
        </w:rPr>
        <w:t>（二）绩效评价原则、评价方法</w:t>
      </w:r>
    </w:p>
    <w:p>
      <w:pPr>
        <w:shd w:val="clear" w:color="auto" w:fill="FFFFFF"/>
        <w:spacing w:line="560" w:lineRule="exact"/>
        <w:ind w:firstLine="643" w:firstLineChars="200"/>
        <w:jc w:val="left"/>
        <w:rPr>
          <w:rFonts w:ascii="仿宋" w:hAnsi="仿宋" w:eastAsia="仿宋" w:cs="宋体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b/>
          <w:color w:val="auto"/>
          <w:kern w:val="0"/>
          <w:sz w:val="32"/>
          <w:szCs w:val="32"/>
        </w:rPr>
        <w:t>1.绩效评价原则：</w:t>
      </w:r>
      <w:r>
        <w:rPr>
          <w:rFonts w:hint="eastAsia" w:ascii="仿宋" w:hAnsi="仿宋" w:eastAsia="仿宋" w:cs="Times New Roman"/>
          <w:color w:val="auto"/>
          <w:kern w:val="0"/>
          <w:sz w:val="32"/>
          <w:szCs w:val="32"/>
        </w:rPr>
        <w:t>目标导向、依法评价；科学规范、分级实施；客观公正、公开透明。</w:t>
      </w:r>
    </w:p>
    <w:p>
      <w:pPr>
        <w:pStyle w:val="6"/>
        <w:shd w:val="clear" w:color="auto" w:fill="FFFFFF"/>
        <w:spacing w:line="560" w:lineRule="exact"/>
        <w:ind w:left="720" w:firstLine="0" w:firstLineChars="0"/>
        <w:jc w:val="left"/>
        <w:rPr>
          <w:rFonts w:ascii="仿宋" w:hAnsi="仿宋" w:eastAsia="仿宋" w:cs="宋体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b/>
          <w:color w:val="auto"/>
          <w:kern w:val="0"/>
          <w:sz w:val="32"/>
          <w:szCs w:val="32"/>
        </w:rPr>
        <w:t>2.评价方法：</w:t>
      </w:r>
      <w:r>
        <w:rPr>
          <w:rFonts w:hint="eastAsia" w:ascii="仿宋" w:hAnsi="仿宋" w:eastAsia="仿宋" w:cs="Times New Roman"/>
          <w:color w:val="auto"/>
          <w:kern w:val="0"/>
          <w:sz w:val="32"/>
          <w:szCs w:val="32"/>
        </w:rPr>
        <w:t>因素分析法。</w:t>
      </w:r>
    </w:p>
    <w:p>
      <w:pPr>
        <w:pStyle w:val="6"/>
        <w:spacing w:line="560" w:lineRule="exact"/>
        <w:ind w:firstLine="64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三、综合评价情况及评价结论</w:t>
      </w:r>
    </w:p>
    <w:p>
      <w:pPr>
        <w:shd w:val="clear" w:color="auto" w:fill="FFFFFF"/>
        <w:spacing w:line="560" w:lineRule="exact"/>
        <w:ind w:firstLine="645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新晃县民政局202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</w:rPr>
        <w:t>养老机构责任险</w:t>
      </w:r>
      <w:r>
        <w:rPr>
          <w:rFonts w:ascii="仿宋" w:hAnsi="仿宋" w:eastAsia="仿宋"/>
          <w:color w:val="auto"/>
          <w:sz w:val="32"/>
          <w:szCs w:val="32"/>
        </w:rPr>
        <w:t>项目绩效评价自评结果：自评评分为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90</w:t>
      </w:r>
      <w:r>
        <w:rPr>
          <w:rFonts w:ascii="仿宋" w:hAnsi="仿宋" w:eastAsia="仿宋"/>
          <w:color w:val="auto"/>
          <w:sz w:val="32"/>
          <w:szCs w:val="32"/>
        </w:rPr>
        <w:t>分，自评等级为“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优秀</w:t>
      </w:r>
      <w:r>
        <w:rPr>
          <w:rFonts w:ascii="仿宋" w:hAnsi="仿宋" w:eastAsia="仿宋"/>
          <w:color w:val="auto"/>
          <w:sz w:val="32"/>
          <w:szCs w:val="32"/>
        </w:rPr>
        <w:t>”。</w:t>
      </w:r>
    </w:p>
    <w:p>
      <w:pPr>
        <w:pStyle w:val="6"/>
        <w:numPr>
          <w:ilvl w:val="0"/>
          <w:numId w:val="2"/>
        </w:numPr>
        <w:spacing w:line="560" w:lineRule="exact"/>
        <w:ind w:firstLineChars="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项目实施及管理情况</w:t>
      </w:r>
    </w:p>
    <w:p>
      <w:pPr>
        <w:pStyle w:val="2"/>
        <w:widowControl w:val="0"/>
        <w:shd w:val="clear" w:color="auto" w:fill="FFFFFF"/>
        <w:spacing w:before="0" w:beforeAutospacing="0" w:after="0" w:afterAutospacing="0" w:line="560" w:lineRule="exact"/>
        <w:ind w:firstLine="482" w:firstLineChars="150"/>
        <w:jc w:val="both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（一）资金使用管理情况</w:t>
      </w:r>
    </w:p>
    <w:p>
      <w:pPr>
        <w:pStyle w:val="2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2022年县级配套经费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</w:rPr>
        <w:t>万元，实际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4.6</w:t>
      </w:r>
      <w:r>
        <w:rPr>
          <w:rFonts w:hint="eastAsia" w:ascii="仿宋" w:hAnsi="仿宋" w:eastAsia="仿宋"/>
          <w:color w:val="auto"/>
          <w:sz w:val="32"/>
          <w:szCs w:val="32"/>
        </w:rPr>
        <w:t>万元。该项目支出符合财经法规和财务管理制度，资金使用合理、合规；项目单独建账管理，账务处理及时。</w:t>
      </w:r>
    </w:p>
    <w:p>
      <w:pPr>
        <w:pStyle w:val="2"/>
        <w:widowControl w:val="0"/>
        <w:shd w:val="clear" w:color="auto" w:fill="FFFFFF"/>
        <w:spacing w:before="0" w:beforeAutospacing="0" w:after="0" w:afterAutospacing="0" w:line="560" w:lineRule="exact"/>
        <w:ind w:left="720"/>
        <w:jc w:val="both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（二）项目过程情况</w:t>
      </w:r>
    </w:p>
    <w:p>
      <w:pPr>
        <w:pStyle w:val="2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该项目由养老服务和儿童福利股负责实施，前期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  <w:t>通过竞争性谈判方式选择承保的保险公司，后</w:t>
      </w:r>
      <w:r>
        <w:rPr>
          <w:rFonts w:hint="eastAsia" w:ascii="仿宋" w:hAnsi="仿宋" w:eastAsia="仿宋"/>
          <w:color w:val="auto"/>
          <w:sz w:val="32"/>
          <w:szCs w:val="32"/>
        </w:rPr>
        <w:t>经局党组研究决定，在承保公司里选择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  <w:t>经营管理规范、有充足偿付能力的中国人寿财产保险股份有限公司。</w:t>
      </w:r>
    </w:p>
    <w:p>
      <w:pPr>
        <w:pStyle w:val="2"/>
        <w:widowControl w:val="0"/>
        <w:shd w:val="clear" w:color="auto" w:fill="FFFFFF"/>
        <w:spacing w:before="0" w:beforeAutospacing="0" w:after="0" w:afterAutospacing="0" w:line="560" w:lineRule="exact"/>
        <w:ind w:firstLine="482" w:firstLineChars="150"/>
        <w:jc w:val="both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（三）项目产出情况</w:t>
      </w:r>
    </w:p>
    <w:p>
      <w:pPr>
        <w:pStyle w:val="2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2022年为全县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z w:val="32"/>
          <w:szCs w:val="32"/>
        </w:rPr>
        <w:t>家养老服务机构购买了养老机构责任险，按照125元/床/年的标准，总床位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368</w:t>
      </w:r>
      <w:r>
        <w:rPr>
          <w:rFonts w:hint="eastAsia" w:ascii="仿宋" w:hAnsi="仿宋" w:eastAsia="仿宋"/>
          <w:color w:val="auto"/>
          <w:sz w:val="32"/>
          <w:szCs w:val="32"/>
        </w:rPr>
        <w:t>张，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实际支出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46000</w:t>
      </w:r>
      <w:r>
        <w:rPr>
          <w:rFonts w:hint="eastAsia" w:ascii="仿宋" w:hAnsi="仿宋" w:eastAsia="仿宋"/>
          <w:color w:val="auto"/>
          <w:sz w:val="32"/>
          <w:szCs w:val="32"/>
        </w:rPr>
        <w:t>元。保险期间为202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年7月1日至202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年6月30日。</w:t>
      </w:r>
    </w:p>
    <w:p>
      <w:pPr>
        <w:pStyle w:val="2"/>
        <w:widowControl w:val="0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（四）项目效益情况</w:t>
      </w:r>
    </w:p>
    <w:p>
      <w:pPr>
        <w:pStyle w:val="2"/>
        <w:widowControl w:val="0"/>
        <w:shd w:val="clear" w:color="auto" w:fill="FFFFFF"/>
        <w:spacing w:before="0" w:beforeAutospacing="0" w:after="0" w:afterAutospacing="0" w:line="560" w:lineRule="exact"/>
        <w:ind w:firstLine="420"/>
        <w:jc w:val="both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该项目的实施有效降低了养老机构运营的意外风险，增加了养老机构抵御风险能力，排除了养老机构老人入住顾虑。同时也提升老人对养老机构的满意度和信任度，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</w:rPr>
        <w:t>社会效益明显，社会反馈较好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  <w:lang w:eastAsia="zh-CN"/>
        </w:rPr>
        <w:t>，服务对象满意度达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FFFFFF"/>
          <w:lang w:val="en-US" w:eastAsia="zh-CN"/>
        </w:rPr>
        <w:t>90%以上。</w:t>
      </w:r>
    </w:p>
    <w:p>
      <w:pPr>
        <w:pStyle w:val="2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 w:line="560" w:lineRule="exact"/>
        <w:jc w:val="both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主要经验及做法、存在的问题及下一步工作打算</w:t>
      </w:r>
    </w:p>
    <w:p>
      <w:pPr>
        <w:pStyle w:val="2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因财政资金紧张，该项目款未能及时结算，下一步我们将积极向财政衔接，尽快支付到位。</w:t>
      </w:r>
    </w:p>
    <w:p>
      <w:pPr>
        <w:spacing w:line="560" w:lineRule="exact"/>
        <w:ind w:left="72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60" w:lineRule="exact"/>
        <w:ind w:left="72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新晃侗族自治县民政局</w:t>
      </w:r>
    </w:p>
    <w:p>
      <w:pPr>
        <w:spacing w:line="56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2023年5月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9361B9"/>
    <w:multiLevelType w:val="multilevel"/>
    <w:tmpl w:val="029361B9"/>
    <w:lvl w:ilvl="0" w:tentative="0">
      <w:start w:val="4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8EF15D0"/>
    <w:multiLevelType w:val="multilevel"/>
    <w:tmpl w:val="58EF15D0"/>
    <w:lvl w:ilvl="0" w:tentative="0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41413B"/>
    <w:rsid w:val="00120892"/>
    <w:rsid w:val="0016262B"/>
    <w:rsid w:val="00197CED"/>
    <w:rsid w:val="0037153A"/>
    <w:rsid w:val="0041413B"/>
    <w:rsid w:val="00430DD9"/>
    <w:rsid w:val="00471672"/>
    <w:rsid w:val="00590062"/>
    <w:rsid w:val="005C54CD"/>
    <w:rsid w:val="00622917"/>
    <w:rsid w:val="007556BD"/>
    <w:rsid w:val="00973D55"/>
    <w:rsid w:val="00A1428A"/>
    <w:rsid w:val="00A1503E"/>
    <w:rsid w:val="00A24059"/>
    <w:rsid w:val="00A32922"/>
    <w:rsid w:val="00C25A29"/>
    <w:rsid w:val="00CA7D39"/>
    <w:rsid w:val="00CB7D2F"/>
    <w:rsid w:val="00D55D69"/>
    <w:rsid w:val="00DA3F21"/>
    <w:rsid w:val="00E03C5D"/>
    <w:rsid w:val="00E46986"/>
    <w:rsid w:val="07CB0680"/>
    <w:rsid w:val="20823833"/>
    <w:rsid w:val="222F5786"/>
    <w:rsid w:val="2FB715B0"/>
    <w:rsid w:val="31F25A42"/>
    <w:rsid w:val="381A56B1"/>
    <w:rsid w:val="41F474C3"/>
    <w:rsid w:val="47DB5B06"/>
    <w:rsid w:val="61017113"/>
    <w:rsid w:val="76105FB8"/>
    <w:rsid w:val="780C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1210</Words>
  <Characters>1277</Characters>
  <Lines>9</Lines>
  <Paragraphs>2</Paragraphs>
  <TotalTime>116</TotalTime>
  <ScaleCrop>false</ScaleCrop>
  <LinksUpToDate>false</LinksUpToDate>
  <CharactersWithSpaces>1321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2022-05-29T10:27:00Z</dcterms:created>
  <dc:creator>Administrator</dc:creator>
  <cp:lastModifiedBy>Administrator</cp:lastModifiedBy>
  <cp:lastPrinted>2023-05-30T01:04:00Z</cp:lastPrinted>
  <dcterms:modified xsi:type="dcterms:W3CDTF">2023-05-30T08:44:01Z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26363F880187435689BA9F5DC9C7D887_12</vt:lpwstr>
  </property>
</Properties>
</file>